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ADAR Library Design Summary — Set 2</w:t>
      </w:r>
    </w:p>
    <w:p>
      <w:r>
        <w:t>This document summarises the second two-part sequence variant library generated from 10 ADAR parent hairpin substrates (Set 2), together with the experimental hypotheses underlying each mutation class.</w:t>
      </w:r>
    </w:p>
    <w:p>
      <w:pPr>
        <w:pStyle w:val="Heading1"/>
        <w:jc w:val="left"/>
      </w:pPr>
      <w:r>
        <w:t>Table 1: Library Summary by Parent Substrate</w:t>
      </w:r>
    </w:p>
    <w:p>
      <w:r>
        <w:t>Combined Set 2 library: 3,717 entries (Library 1: 2,000; Library 2: 1,717). GRIA2_R/G_1 and GRIA2_R/G_2 did not reach 200 entries in Library 2 due to exhaustion of unique variant space in their short sequences.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Parent</w:t>
            </w:r>
          </w:p>
        </w:tc>
        <w:tc>
          <w:tcPr>
            <w:tcW w:type="dxa" w:w="10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Endogenous Substrate</w:t>
            </w:r>
          </w:p>
        </w:tc>
        <w:tc>
          <w:tcPr>
            <w:tcW w:type="dxa" w:w="10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Edit Site(s)</w:t>
            </w:r>
          </w:p>
        </w:tc>
        <w:tc>
          <w:tcPr>
            <w:tcW w:type="dxa" w:w="10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Lib 1</w:t>
            </w:r>
          </w:p>
        </w:tc>
        <w:tc>
          <w:tcPr>
            <w:tcW w:type="dxa" w:w="10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Lib 2</w:t>
            </w:r>
          </w:p>
        </w:tc>
        <w:tc>
          <w:tcPr>
            <w:tcW w:type="dxa" w:w="10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0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Length Range</w:t>
            </w:r>
          </w:p>
        </w:tc>
        <w:tc>
          <w:tcPr>
            <w:tcW w:type="dxa" w:w="10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GC Range</w:t>
            </w:r>
          </w:p>
        </w:tc>
      </w:tr>
      <w:tr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GRIA2_Q/R_1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GRIA2 — glutamate receptor B, Q/R site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A6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46–60 nt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40–63%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GRIA2_R/G_1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GRIA2 — glutamate receptor B, R/G site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16–30 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17–80%</w:t>
            </w:r>
          </w:p>
        </w:tc>
      </w:tr>
      <w:tr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GRIA2_R/G_2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GRIA2 — R/G site variant 2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A6, A17–19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215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15–23 nt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13–84%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GRIK2_Q_R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GRIK2 — glutamate receptor kainate 2, Q/R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24–40 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27–70%</w:t>
            </w:r>
          </w:p>
        </w:tc>
      </w:tr>
      <w:tr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FLNA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FLNA — filamin A pre-mRNA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A17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28–46 nt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29–66%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MIRROR_1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Synthetic mirror substrate 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26–44 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27–67%</w:t>
            </w:r>
          </w:p>
        </w:tc>
      </w:tr>
      <w:tr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MIRROR_2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Synthetic mirror substrate 2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A23, A52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74–84 nt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40–61%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MIRROR_3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Synthetic mirror substrate 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39–55 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28–59%</w:t>
            </w:r>
          </w:p>
        </w:tc>
      </w:tr>
      <w:tr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LEAPER3_FLNA_30bp_AC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LEAPER3 FLNA 30bp AC substrate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A19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48–64 nt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35–58%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LEAPER3_FLNA_50bp_AC_ext_bulge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LEAPER3 FLNA 50bp AC external bulge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92–108 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44–57%</w:t>
            </w:r>
          </w:p>
        </w:tc>
      </w:tr>
      <w:tr>
        <w:tc>
          <w:tcPr>
            <w:tcW w:type="dxa" w:w="1080"/>
            <w:shd w:val="clear" w:color="auto" w:fill="BDD7EE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080"/>
            <w:shd w:val="clear" w:color="auto" w:fill="BDD7EE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080"/>
            <w:shd w:val="clear" w:color="auto" w:fill="BDD7EE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080"/>
            <w:shd w:val="clear" w:color="auto" w:fill="BDD7EE"/>
          </w:tcPr>
          <w:p>
            <w:r>
              <w:rPr>
                <w:b/>
                <w:sz w:val="18"/>
              </w:rPr>
              <w:t>2,000</w:t>
            </w:r>
          </w:p>
        </w:tc>
        <w:tc>
          <w:tcPr>
            <w:tcW w:type="dxa" w:w="1080"/>
            <w:shd w:val="clear" w:color="auto" w:fill="BDD7EE"/>
          </w:tcPr>
          <w:p>
            <w:r>
              <w:rPr>
                <w:b/>
                <w:sz w:val="18"/>
              </w:rPr>
              <w:t>1,717</w:t>
            </w:r>
          </w:p>
        </w:tc>
        <w:tc>
          <w:tcPr>
            <w:tcW w:type="dxa" w:w="1080"/>
            <w:shd w:val="clear" w:color="auto" w:fill="BDD7EE"/>
          </w:tcPr>
          <w:p>
            <w:r>
              <w:rPr>
                <w:b/>
                <w:sz w:val="18"/>
              </w:rPr>
              <w:t>3,717</w:t>
            </w:r>
          </w:p>
        </w:tc>
        <w:tc>
          <w:tcPr>
            <w:tcW w:type="dxa" w:w="1080"/>
            <w:shd w:val="clear" w:color="auto" w:fill="BDD7EE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080"/>
            <w:shd w:val="clear" w:color="auto" w:fill="BDD7EE"/>
          </w:tcPr>
          <w:p>
            <w:r>
              <w:rPr>
                <w:b/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Overall Hypothesis</w:t>
      </w:r>
    </w:p>
    <w:p>
      <w:r>
        <w:t>ADAR editing efficiency is jointly determined by three kinetic parameters: (1) kfold — the thermodynamic stability of the dsRNA hairpin conformation; (2) kbind — the efficiency with which ADAR engages the duplex; and (3) kflip — the energetic cost of extruding the target adenosine from the helix for deamination. By systematically varying base-pair identity, stem length, and the identity of the base opposing the edit site, combined with DMS-MaPseq structural probing to validate solution conformation, we can deconvolve the contribution of each parameter to overall editing efficiency across a diverse set of endogenous and synthetic ADAR substrates.</w:t>
      </w:r>
    </w:p>
    <w:p>
      <w:pPr>
        <w:pStyle w:val="Heading1"/>
        <w:jc w:val="left"/>
      </w:pPr>
      <w:r>
        <w:t>Table 2: Mutation Classes and Experimental Hypotheses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Variant Class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What Changes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Primary Parameter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Hypothesis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b/>
                <w:sz w:val="18"/>
              </w:rPr>
              <w:t>Length trimming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8"/>
              </w:rPr>
              <w:t>Stem shortened inward from both ends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8"/>
              </w:rPr>
              <w:t>kfold, kbind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8"/>
              </w:rPr>
              <w:t>A minimum duplex length is required for stable folding and productive ADAR engagement. Shorter stems reduce kbind by limiting the dsRNA footprint (~15 bp optimal). DMS-MaPseq confirms which truncations maintain the native fold.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Above mutations</w:t>
              <w:br/>
              <w:t>(1–5 bp, cumulative)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bp identity 5′ of edit site changed</w:t>
              <w:br/>
              <w:t>to all-GC or all-AU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kbind, kfold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GC-rich regions above the edit site stabilise the duplex (↑kfold) and enhance ADAR binding affinity (↑kbind). AU-rich regions destabilise the duplex, reduce local melting temperature, and lower editing efficiency.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b/>
                <w:sz w:val="18"/>
              </w:rPr>
              <w:t>Below mutations</w:t>
              <w:br/>
              <w:t>(1–5 bp, cumulative)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8"/>
              </w:rPr>
              <w:t>bp identity 3′ of edit site</w:t>
              <w:br/>
              <w:t>(toward loop) changed</w:t>
              <w:br/>
              <w:t>to all-GC or all-AU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8"/>
              </w:rPr>
              <w:t>kflip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8"/>
              </w:rPr>
              <w:t>The bp immediately closing the edit site on the loop side resists base flipping. GC pairs below the edit site raise the energetic barrier to kflip and suppress editing; AU pairs facilitate flipping and increase editing efficiency.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Across mutations</w:t>
              <w:br/>
              <w:t>(C, G, 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Base paired with the A edit site</w:t>
              <w:br/>
              <w:t>changed from U to C, G, or 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kflip, editing 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opposing base directly sets the mismatch energy at the edit site. A·C mismatches are preferred by ADAR over A·U Watson-Crick pairs (lower kflip barrier). A·G and A·A mismatches test how local instability drives or inhibits deamination independently of global duplex stability.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b/>
                <w:sz w:val="18"/>
              </w:rPr>
              <w:t>Combined above+below</w:t>
              <w:br/>
              <w:t>(all 5×5 combinations)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8"/>
              </w:rPr>
              <w:t>Both flanking regions mutated</w:t>
              <w:br/>
              <w:t>simultaneously, GC or AU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8"/>
              </w:rPr>
              <w:t>kfold + kflip</w:t>
              <w:br/>
              <w:t>(interaction)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8"/>
              </w:rPr>
              <w:t>Tests whether the effects of above and below mutations are independent or cooperative. A stable duplex above with a weak bp below may optimally balance kbind and kflip; fully GC or fully AU surroundings reveal the upper and lower bounds of editing efficiency.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DMS-MaPseq</w:t>
              <w:br/>
              <w:t>structural validation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sequence change — chemical</w:t>
              <w:br/>
              <w:t>probing of all variants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kfold (structural)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Confirms that designed mutations produce the intended structural changes in solution. Unpaired A/C reactivity maps validate the assumed dot-bracket topology and reveal unexpected misfolding or alternative structures that could confound kinetic interpretation.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