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54AF" w14:textId="77777777" w:rsidR="008039BA" w:rsidRDefault="008039BA" w:rsidP="00AC083D">
      <w:pPr>
        <w:pStyle w:val="Citt"/>
        <w:pageBreakBefore/>
        <w:spacing w:line="276" w:lineRule="auto"/>
        <w:rPr>
          <w:lang w:val="en-GB"/>
        </w:rPr>
      </w:pPr>
      <w:r w:rsidRPr="008039BA">
        <w:rPr>
          <w:lang w:val="en-GB"/>
        </w:rPr>
        <w:t>This is true Liberty when free born men</w:t>
      </w:r>
      <w:r w:rsidRPr="008039BA">
        <w:rPr>
          <w:lang w:val="en-GB"/>
        </w:rPr>
        <w:br/>
        <w:t>Having to advise the public may speak free,</w:t>
      </w:r>
      <w:r w:rsidRPr="008039BA">
        <w:rPr>
          <w:lang w:val="en-GB"/>
        </w:rPr>
        <w:br/>
        <w:t>Which he who can, and will, </w:t>
      </w:r>
      <w:proofErr w:type="spellStart"/>
      <w:r w:rsidRPr="008039BA">
        <w:rPr>
          <w:lang w:val="en-GB"/>
        </w:rPr>
        <w:t>deserv's</w:t>
      </w:r>
      <w:proofErr w:type="spellEnd"/>
      <w:r w:rsidRPr="008039BA">
        <w:rPr>
          <w:lang w:val="en-GB"/>
        </w:rPr>
        <w:t> high praise,</w:t>
      </w:r>
      <w:r w:rsidRPr="008039BA">
        <w:rPr>
          <w:lang w:val="en-GB"/>
        </w:rPr>
        <w:br/>
        <w:t>Who neither can nor will, may hold his peace;</w:t>
      </w:r>
      <w:r w:rsidRPr="008039BA">
        <w:rPr>
          <w:lang w:val="en-GB"/>
        </w:rPr>
        <w:br/>
        <w:t>What can be juster in a State then this?</w:t>
      </w:r>
    </w:p>
    <w:p w14:paraId="3065ECEC" w14:textId="498D6F20" w:rsidR="008039BA" w:rsidRPr="008039BA" w:rsidRDefault="008039BA" w:rsidP="008039BA">
      <w:pPr>
        <w:jc w:val="center"/>
        <w:rPr>
          <w:i/>
          <w:iCs/>
          <w:lang w:val="en-GB"/>
        </w:rPr>
      </w:pPr>
      <w:r w:rsidRPr="008039BA">
        <w:rPr>
          <w:i/>
          <w:iCs/>
          <w:lang w:val="en-GB"/>
        </w:rPr>
        <w:t>Eurip</w:t>
      </w:r>
      <w:r>
        <w:rPr>
          <w:i/>
          <w:iCs/>
          <w:lang w:val="en-GB"/>
        </w:rPr>
        <w:t>ides,</w:t>
      </w:r>
      <w:r w:rsidRPr="008039BA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The Suppliants</w:t>
      </w:r>
    </w:p>
    <w:p w14:paraId="668268E1" w14:textId="77777777" w:rsidR="008039BA" w:rsidRDefault="008039BA" w:rsidP="008039BA"/>
    <w:p w14:paraId="5BB60173" w14:textId="36753139" w:rsidR="007A4467" w:rsidRDefault="009F7668" w:rsidP="007227D2">
      <w:r>
        <w:t>S</w:t>
      </w:r>
      <w:r w:rsidR="007A4467">
        <w:t xml:space="preserve">voboda slova je základním předpokladem </w:t>
      </w:r>
      <w:r w:rsidR="00401AFC">
        <w:t xml:space="preserve">fungování </w:t>
      </w:r>
      <w:r w:rsidR="007A4467">
        <w:t xml:space="preserve">demokratického </w:t>
      </w:r>
      <w:r w:rsidR="00401AFC">
        <w:t xml:space="preserve">právního </w:t>
      </w:r>
      <w:r w:rsidR="007A4467">
        <w:t>státu.</w:t>
      </w:r>
      <w:r w:rsidR="005A16A6">
        <w:t xml:space="preserve"> </w:t>
      </w:r>
      <w:r w:rsidR="004858A5">
        <w:t>Již</w:t>
      </w:r>
      <w:r w:rsidR="005A16A6">
        <w:t xml:space="preserve"> </w:t>
      </w:r>
      <w:r w:rsidR="007A4467">
        <w:t xml:space="preserve">Deklarace práv </w:t>
      </w:r>
      <w:r w:rsidR="005A16A6">
        <w:t>č</w:t>
      </w:r>
      <w:r w:rsidR="007A4467">
        <w:t xml:space="preserve">lověka </w:t>
      </w:r>
      <w:r w:rsidR="005A16A6">
        <w:t>a o</w:t>
      </w:r>
      <w:r w:rsidR="007A4467">
        <w:t>bčana</w:t>
      </w:r>
      <w:r w:rsidR="005A16A6">
        <w:t xml:space="preserve"> </w:t>
      </w:r>
      <w:r w:rsidR="00E249EB">
        <w:t>a</w:t>
      </w:r>
      <w:r w:rsidR="005A16A6">
        <w:t xml:space="preserve"> Bill </w:t>
      </w:r>
      <w:proofErr w:type="spellStart"/>
      <w:r w:rsidR="005A16A6">
        <w:t>of</w:t>
      </w:r>
      <w:proofErr w:type="spellEnd"/>
      <w:r w:rsidR="005A16A6">
        <w:t xml:space="preserve"> </w:t>
      </w:r>
      <w:proofErr w:type="spellStart"/>
      <w:r w:rsidR="005A16A6">
        <w:t>Rights</w:t>
      </w:r>
      <w:proofErr w:type="spellEnd"/>
      <w:r w:rsidR="005A16A6">
        <w:t xml:space="preserve"> Spojených států Amerických </w:t>
      </w:r>
      <w:r w:rsidR="004858A5">
        <w:t>ji zakotv</w:t>
      </w:r>
      <w:r w:rsidR="0024022D">
        <w:t>ily</w:t>
      </w:r>
      <w:r w:rsidR="004858A5">
        <w:t xml:space="preserve"> jako jednu z nejdůležitějších základních svobod a s</w:t>
      </w:r>
      <w:r w:rsidR="005A16A6">
        <w:t xml:space="preserve">těží </w:t>
      </w:r>
      <w:r w:rsidR="004858A5">
        <w:t xml:space="preserve">lze </w:t>
      </w:r>
      <w:r w:rsidR="005A16A6">
        <w:t>pomyslet na ústavní systém</w:t>
      </w:r>
      <w:r w:rsidR="00117761">
        <w:t xml:space="preserve"> demokratického </w:t>
      </w:r>
      <w:r w:rsidR="00401AFC">
        <w:t>právního státu,</w:t>
      </w:r>
      <w:r w:rsidR="007A4467">
        <w:t xml:space="preserve"> ve které</w:t>
      </w:r>
      <w:r w:rsidR="006C2200">
        <w:t>m</w:t>
      </w:r>
      <w:r w:rsidR="007A4467">
        <w:t xml:space="preserve"> by </w:t>
      </w:r>
      <w:r w:rsidR="007B0A19">
        <w:t>nebyla zaručena</w:t>
      </w:r>
      <w:r w:rsidR="007A4467">
        <w:t xml:space="preserve">. </w:t>
      </w:r>
    </w:p>
    <w:p w14:paraId="5C9602C1" w14:textId="785104B4" w:rsidR="00E35725" w:rsidRDefault="000F7A86" w:rsidP="007227D2">
      <w:r>
        <w:t xml:space="preserve">Stejně tak si ale stěží lze představit </w:t>
      </w:r>
      <w:r w:rsidR="007B0A19">
        <w:t>společnost</w:t>
      </w:r>
      <w:r>
        <w:t xml:space="preserve">, ve které by svoboda slova </w:t>
      </w:r>
      <w:r w:rsidR="0024022D">
        <w:t>neměla mezí</w:t>
      </w:r>
      <w:r>
        <w:t xml:space="preserve">. </w:t>
      </w:r>
      <w:r w:rsidR="00AE3F97">
        <w:t xml:space="preserve">Její omezení je nutné </w:t>
      </w:r>
      <w:r w:rsidR="000C01E3">
        <w:t xml:space="preserve">při kolizi s ostatními základními právy nebo jinými </w:t>
      </w:r>
      <w:r w:rsidR="00AE3F97">
        <w:t>hodnot</w:t>
      </w:r>
      <w:r w:rsidR="000C01E3">
        <w:t xml:space="preserve">ami jako je </w:t>
      </w:r>
      <w:r w:rsidR="00AE3F97">
        <w:t xml:space="preserve">bezpečnost státu nebo veřejný pořádek. Pokud bychom chtěli zůstat ve Francii, již </w:t>
      </w:r>
      <w:proofErr w:type="spellStart"/>
      <w:r w:rsidR="00AE3F97">
        <w:t>Code</w:t>
      </w:r>
      <w:proofErr w:type="spellEnd"/>
      <w:r w:rsidR="00AE3F97">
        <w:t xml:space="preserve"> </w:t>
      </w:r>
      <w:proofErr w:type="spellStart"/>
      <w:r w:rsidR="00AE3F97">
        <w:t>Penal</w:t>
      </w:r>
      <w:proofErr w:type="spellEnd"/>
      <w:r w:rsidR="00AE3F97">
        <w:t xml:space="preserve"> z roku 1810 svobodu slova </w:t>
      </w:r>
      <w:r w:rsidR="000C01E3">
        <w:t>sledujíce tyto hodnoty</w:t>
      </w:r>
      <w:r w:rsidR="00E63E76">
        <w:t xml:space="preserve"> omezoval</w:t>
      </w:r>
      <w:r w:rsidR="000C01E3">
        <w:t xml:space="preserve"> (odkaz)</w:t>
      </w:r>
      <w:r w:rsidR="00AE3F97">
        <w:t xml:space="preserve">. </w:t>
      </w:r>
      <w:r w:rsidR="00E35725">
        <w:t xml:space="preserve">Rozsah omezení </w:t>
      </w:r>
      <w:r w:rsidR="00AE3F97">
        <w:t xml:space="preserve">svobody slova ve společnosti </w:t>
      </w:r>
      <w:r w:rsidR="00E35725">
        <w:t xml:space="preserve">se přitom odnepaměti vyvíjí, když zrcadlí společenské události a trendy. </w:t>
      </w:r>
    </w:p>
    <w:p w14:paraId="4B4588FA" w14:textId="766F98A3" w:rsidR="00E35725" w:rsidRDefault="007B0A19" w:rsidP="007227D2">
      <w:r>
        <w:t xml:space="preserve">Klíčovou společenskou </w:t>
      </w:r>
      <w:r w:rsidR="00E35725">
        <w:t>událostí</w:t>
      </w:r>
      <w:r>
        <w:t>, která ovlivnila vývoj omezení svobody projevu</w:t>
      </w:r>
      <w:r w:rsidR="00E35725">
        <w:t xml:space="preserve"> byla jedna z</w:t>
      </w:r>
      <w:r>
        <w:t> </w:t>
      </w:r>
      <w:r w:rsidR="00E35725">
        <w:t>nejtemnějších kapitol dějin 20. století – holocaust. Holocaust ukázal nebezpečí, která mohou vzniknout z </w:t>
      </w:r>
      <w:r w:rsidR="0018357B">
        <w:t xml:space="preserve">nekontrolovaného </w:t>
      </w:r>
      <w:r w:rsidR="00E35725">
        <w:t>šíření nenávisti</w:t>
      </w:r>
      <w:r w:rsidR="0018357B">
        <w:t xml:space="preserve"> proti rasám a národům</w:t>
      </w:r>
      <w:r w:rsidR="00E35725">
        <w:t xml:space="preserve">. V období po Druhé světové válce v reakci na něj </w:t>
      </w:r>
      <w:r w:rsidR="0018357B">
        <w:t>vznikl</w:t>
      </w:r>
      <w:r w:rsidR="00AE3F97">
        <w:t>a pod hlavičkou OSN Všeobecná deklarace</w:t>
      </w:r>
      <w:r w:rsidR="00E35725">
        <w:t xml:space="preserve"> </w:t>
      </w:r>
      <w:r w:rsidR="00AE3F97">
        <w:t>lidských práv a rovněž mnohé t</w:t>
      </w:r>
      <w:r w:rsidR="0092727C">
        <w:t xml:space="preserve">restněprávní </w:t>
      </w:r>
      <w:r w:rsidR="00E35725">
        <w:t>regulace omezující svobodu slova</w:t>
      </w:r>
      <w:r w:rsidR="0092727C">
        <w:t xml:space="preserve"> </w:t>
      </w:r>
      <w:r w:rsidR="000C01E3">
        <w:t>ohledně</w:t>
      </w:r>
      <w:r w:rsidR="0092727C">
        <w:t> projevů</w:t>
      </w:r>
      <w:r w:rsidR="000C01E3">
        <w:t xml:space="preserve"> </w:t>
      </w:r>
      <w:r w:rsidR="0092727C">
        <w:t>podněcující</w:t>
      </w:r>
      <w:r w:rsidR="000C01E3">
        <w:t>ch</w:t>
      </w:r>
      <w:r w:rsidR="0092727C">
        <w:t xml:space="preserve"> rasovou nenávist</w:t>
      </w:r>
      <w:r w:rsidR="00381BFE">
        <w:t xml:space="preserve"> (</w:t>
      </w:r>
      <w:r w:rsidR="00381BFE" w:rsidRPr="00790CFD">
        <w:rPr>
          <w:i/>
          <w:iCs/>
          <w:lang w:val="en-GB"/>
        </w:rPr>
        <w:t>Beauharnais v. Illinois</w:t>
      </w:r>
      <w:r w:rsidR="00381BFE">
        <w:t>)</w:t>
      </w:r>
      <w:r w:rsidR="000C01E3">
        <w:t xml:space="preserve"> nebo popírajících válečné zločiny</w:t>
      </w:r>
      <w:r w:rsidR="0092727C">
        <w:t xml:space="preserve">. </w:t>
      </w:r>
    </w:p>
    <w:p w14:paraId="6B6569B3" w14:textId="142543C7" w:rsidR="008A0854" w:rsidRDefault="007A466E" w:rsidP="007227D2">
      <w:r>
        <w:t xml:space="preserve">Na přelomu 80. a 90. let se v akademickém světě i mimo něj začalo používat ustálené slovní spojení „hate speech“. Původně spojení označovalo zejména projevy </w:t>
      </w:r>
      <w:r w:rsidR="008A0854">
        <w:t xml:space="preserve">podněcující k </w:t>
      </w:r>
      <w:r>
        <w:t>rasové</w:t>
      </w:r>
      <w:r w:rsidR="00A9106B">
        <w:t xml:space="preserve">, případně národnostní </w:t>
      </w:r>
      <w:r>
        <w:t>nenávisti (</w:t>
      </w:r>
      <w:r w:rsidRPr="007A466E">
        <w:rPr>
          <w:lang w:val="en-GB"/>
        </w:rPr>
        <w:t>Victoria Guillén-Nieto</w:t>
      </w:r>
      <w:r>
        <w:rPr>
          <w:lang w:val="en-GB"/>
        </w:rPr>
        <w:t xml:space="preserve"> – Hate speech, Linguistic perspectives, 2023</w:t>
      </w:r>
      <w:r w:rsidR="008A0854">
        <w:rPr>
          <w:lang w:val="en-GB"/>
        </w:rPr>
        <w:t>)</w:t>
      </w:r>
      <w:r w:rsidR="007227D2">
        <w:t xml:space="preserve">, nicméně </w:t>
      </w:r>
      <w:r w:rsidR="006B3254">
        <w:t xml:space="preserve">brzy došlo k ustálení jeho </w:t>
      </w:r>
      <w:r w:rsidR="007227D2">
        <w:t>spoj</w:t>
      </w:r>
      <w:r w:rsidR="006B3254">
        <w:t xml:space="preserve">ení </w:t>
      </w:r>
      <w:r w:rsidR="007227D2">
        <w:t xml:space="preserve">i s projevy podněcujícími nenávist na základě </w:t>
      </w:r>
      <w:r w:rsidR="007B0A19">
        <w:t>dalších charakteristik</w:t>
      </w:r>
      <w:r w:rsidR="008A0854">
        <w:t xml:space="preserve"> </w:t>
      </w:r>
      <w:r w:rsidR="001E19D1">
        <w:t>jako pohlaví</w:t>
      </w:r>
      <w:r w:rsidR="008A0854">
        <w:t>,</w:t>
      </w:r>
      <w:r w:rsidR="002571A2">
        <w:t xml:space="preserve"> </w:t>
      </w:r>
      <w:r w:rsidR="001E19D1">
        <w:t>sexuální orientace</w:t>
      </w:r>
      <w:r w:rsidR="00AE3F97">
        <w:t xml:space="preserve"> (</w:t>
      </w:r>
      <w:r w:rsidR="00984EB2">
        <w:t xml:space="preserve">srov. např. </w:t>
      </w:r>
      <w:r w:rsidR="00AE3F97">
        <w:t xml:space="preserve">Cambridge </w:t>
      </w:r>
      <w:proofErr w:type="spellStart"/>
      <w:r w:rsidR="00AE3F97">
        <w:t>dictionary</w:t>
      </w:r>
      <w:proofErr w:type="spellEnd"/>
      <w:r w:rsidR="008A0854">
        <w:t>/</w:t>
      </w:r>
      <w:r w:rsidR="008A0854" w:rsidRPr="008A0854">
        <w:rPr>
          <w:lang w:val="en-GB"/>
        </w:rPr>
        <w:t xml:space="preserve"> </w:t>
      </w:r>
      <w:r w:rsidR="008A0854" w:rsidRPr="00A9106B">
        <w:rPr>
          <w:lang w:val="en-GB"/>
        </w:rPr>
        <w:t>Council of Europe Recommendation No. R (97) 20</w:t>
      </w:r>
      <w:r w:rsidR="008A0854">
        <w:t>)</w:t>
      </w:r>
      <w:r w:rsidR="00AE3F97">
        <w:t>)</w:t>
      </w:r>
      <w:r w:rsidR="008A0854">
        <w:t xml:space="preserve"> či postižení</w:t>
      </w:r>
      <w:r w:rsidR="002571A2">
        <w:t xml:space="preserve">. </w:t>
      </w:r>
      <w:r w:rsidR="008A0854">
        <w:t xml:space="preserve">V současnosti je pojem často chápán ještě šířeji, a </w:t>
      </w:r>
      <w:proofErr w:type="gramStart"/>
      <w:r w:rsidR="008A0854">
        <w:t>to</w:t>
      </w:r>
      <w:proofErr w:type="gramEnd"/>
      <w:r w:rsidR="008A0854">
        <w:t xml:space="preserve"> jak z pohledu charakteristik které mohou být pohnutkou projevu tak z perspektivy toho, že se jako hate speech označují nejen veřejné projevy a nejen projevy nutně podněcující k násilí nebo nenávisti ale i projevy útočné nebo obecně difamační (srov. </w:t>
      </w:r>
      <w:r w:rsidR="008A0854" w:rsidRPr="008A0854">
        <w:t xml:space="preserve">United </w:t>
      </w:r>
      <w:proofErr w:type="spellStart"/>
      <w:r w:rsidR="008A0854" w:rsidRPr="008A0854">
        <w:t>Nations</w:t>
      </w:r>
      <w:proofErr w:type="spellEnd"/>
      <w:r w:rsidR="008A0854" w:rsidRPr="008A0854">
        <w:t xml:space="preserve"> </w:t>
      </w:r>
      <w:proofErr w:type="spellStart"/>
      <w:r w:rsidR="008A0854" w:rsidRPr="008A0854">
        <w:t>Strategy</w:t>
      </w:r>
      <w:proofErr w:type="spellEnd"/>
      <w:r w:rsidR="008A0854" w:rsidRPr="008A0854">
        <w:t xml:space="preserve"> and </w:t>
      </w:r>
      <w:proofErr w:type="spellStart"/>
      <w:r w:rsidR="008A0854" w:rsidRPr="008A0854">
        <w:t>Plan</w:t>
      </w:r>
      <w:proofErr w:type="spellEnd"/>
      <w:r w:rsidR="008A0854" w:rsidRPr="008A0854">
        <w:t xml:space="preserve"> </w:t>
      </w:r>
      <w:proofErr w:type="spellStart"/>
      <w:r w:rsidR="008A0854" w:rsidRPr="008A0854">
        <w:t>of</w:t>
      </w:r>
      <w:proofErr w:type="spellEnd"/>
      <w:r w:rsidR="008A0854" w:rsidRPr="008A0854">
        <w:t xml:space="preserve"> </w:t>
      </w:r>
      <w:proofErr w:type="spellStart"/>
      <w:r w:rsidR="008A0854" w:rsidRPr="008A0854">
        <w:t>Action</w:t>
      </w:r>
      <w:proofErr w:type="spellEnd"/>
      <w:r w:rsidR="008A0854" w:rsidRPr="008A0854">
        <w:t xml:space="preserve"> on Hate Speech</w:t>
      </w:r>
      <w:r w:rsidR="008A0854">
        <w:t xml:space="preserve">). </w:t>
      </w:r>
    </w:p>
    <w:p w14:paraId="19B187A3" w14:textId="5F76029E" w:rsidR="00BB0963" w:rsidRDefault="00BB0963" w:rsidP="007227D2">
      <w:r>
        <w:lastRenderedPageBreak/>
        <w:t xml:space="preserve">Práce pro své účely bude označení hate speech používat v tomto širším smyslu, tedy zhruba jako </w:t>
      </w:r>
      <w:r w:rsidRPr="00F72BAE">
        <w:rPr>
          <w:b/>
          <w:bCs/>
        </w:rPr>
        <w:t xml:space="preserve">jakýkoli </w:t>
      </w:r>
      <w:r w:rsidR="00F72BAE" w:rsidRPr="00F72BAE">
        <w:rPr>
          <w:b/>
          <w:bCs/>
        </w:rPr>
        <w:t>projev,</w:t>
      </w:r>
      <w:r w:rsidRPr="00F72BAE">
        <w:rPr>
          <w:b/>
          <w:bCs/>
        </w:rPr>
        <w:t xml:space="preserve"> který podněcuje k nenávisti či násilí proti jednotlivci nebo skupině </w:t>
      </w:r>
      <w:r w:rsidR="00E54166" w:rsidRPr="00F72BAE">
        <w:rPr>
          <w:b/>
          <w:bCs/>
        </w:rPr>
        <w:t xml:space="preserve">osob </w:t>
      </w:r>
      <w:r w:rsidRPr="00F72BAE">
        <w:rPr>
          <w:b/>
          <w:bCs/>
        </w:rPr>
        <w:t>na základě</w:t>
      </w:r>
      <w:r w:rsidR="00E54166" w:rsidRPr="00F72BAE">
        <w:rPr>
          <w:b/>
          <w:bCs/>
        </w:rPr>
        <w:t xml:space="preserve"> jejich skutečné či domnělé rasy, národnosti, jazyka, náboženství</w:t>
      </w:r>
      <w:r w:rsidRPr="00F72BAE">
        <w:rPr>
          <w:b/>
          <w:bCs/>
        </w:rPr>
        <w:t>,</w:t>
      </w:r>
      <w:r w:rsidR="00E54166" w:rsidRPr="00F72BAE">
        <w:rPr>
          <w:b/>
          <w:bCs/>
        </w:rPr>
        <w:t xml:space="preserve"> pohlaví, postižení, sexuální nebo jiných charakteristik,</w:t>
      </w:r>
      <w:r w:rsidRPr="00F72BAE">
        <w:rPr>
          <w:b/>
          <w:bCs/>
        </w:rPr>
        <w:t xml:space="preserve"> případně znevažuje či </w:t>
      </w:r>
      <w:proofErr w:type="gramStart"/>
      <w:r w:rsidRPr="00F72BAE">
        <w:rPr>
          <w:b/>
          <w:bCs/>
        </w:rPr>
        <w:t>útočí</w:t>
      </w:r>
      <w:proofErr w:type="gramEnd"/>
      <w:r w:rsidRPr="00F72BAE">
        <w:rPr>
          <w:b/>
          <w:bCs/>
        </w:rPr>
        <w:t xml:space="preserve"> na takovou skupinu</w:t>
      </w:r>
      <w:r>
        <w:t>.</w:t>
      </w:r>
      <w:r w:rsidR="00F72BAE">
        <w:t xml:space="preserve"> </w:t>
      </w:r>
    </w:p>
    <w:p w14:paraId="21B45757" w14:textId="6AA2517D" w:rsidR="00DB493E" w:rsidRDefault="00A655F9" w:rsidP="007227D2">
      <w:r>
        <w:t>Další, poněkud odlišnou, ale neméně zásadní událostí ovlivňující svobodu projevu byl příchod internetu a sociálních sítí</w:t>
      </w:r>
      <w:r w:rsidR="00DB493E">
        <w:t xml:space="preserve">. </w:t>
      </w:r>
      <w:r w:rsidR="008376C5">
        <w:t>Zejména velké sociální sítě jako je Facebook nebo Twitter umožňují komukoli ihned šířit názory takřka neomezeně velkému publiku pomocí pouze pár kliknutí prstu (</w:t>
      </w:r>
      <w:proofErr w:type="spellStart"/>
      <w:r w:rsidR="008376C5">
        <w:t>ht</w:t>
      </w:r>
      <w:proofErr w:type="spellEnd"/>
      <w:r w:rsidR="008376C5">
        <w:t xml:space="preserve"> </w:t>
      </w:r>
      <w:proofErr w:type="spellStart"/>
      <w:r w:rsidR="008376C5">
        <w:t>ESLP</w:t>
      </w:r>
      <w:proofErr w:type="spellEnd"/>
      <w:r w:rsidR="008376C5">
        <w:t>). Tím vzniklo dříve nevídané jeviště pro výkon svobody slova (</w:t>
      </w:r>
      <w:proofErr w:type="spellStart"/>
      <w:r w:rsidR="008376C5">
        <w:t>Delfi</w:t>
      </w:r>
      <w:proofErr w:type="spellEnd"/>
      <w:r w:rsidR="008376C5">
        <w:t xml:space="preserve">, § 110), které umocňuje dosah nejen „pozitivních projevů“ které hodnotně přispívají k politické a společenské debatě, ale i k šíření projevů nenávistných a hate speech. </w:t>
      </w:r>
      <w:r w:rsidR="00D14626">
        <w:t xml:space="preserve">Mohlo by být dokonce argumentováno, že projevy nenávistné a „šokujícího charakteru“ se mezi lidmi </w:t>
      </w:r>
      <w:proofErr w:type="gramStart"/>
      <w:r w:rsidR="00D14626">
        <w:t>šíří</w:t>
      </w:r>
      <w:proofErr w:type="gramEnd"/>
      <w:r w:rsidR="00D14626">
        <w:t xml:space="preserve"> rychleji než projevy umírněné.</w:t>
      </w:r>
    </w:p>
    <w:p w14:paraId="74188175" w14:textId="4ED796A4" w:rsidR="00D14626" w:rsidRDefault="00D14626" w:rsidP="007227D2">
      <w:r>
        <w:t>Další společenské události a jevy, které nastaly po globálním rozšíření internetu</w:t>
      </w:r>
      <w:r w:rsidR="00E63E76">
        <w:t xml:space="preserve">, </w:t>
      </w:r>
      <w:r>
        <w:t>ukázaly, jakým způsobem může internet umocnit šíření nenávistných projevů oproti dříve dostupným prostředkům. Z těchto událostí lze jmenovat například růst tématu genderu ve společnosti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asi)</w:t>
      </w:r>
      <w:r w:rsidR="005F1BEE">
        <w:t>,</w:t>
      </w:r>
      <w:r>
        <w:t xml:space="preserve"> růst počtu transsexuálních lidí v</w:t>
      </w:r>
      <w:r w:rsidR="005F1BEE">
        <w:t> </w:t>
      </w:r>
      <w:r>
        <w:t>populaci</w:t>
      </w:r>
      <w:r w:rsidR="005F1BEE">
        <w:t xml:space="preserve"> (</w:t>
      </w:r>
      <w:proofErr w:type="spellStart"/>
      <w:r w:rsidR="005F1BEE">
        <w:t>proof</w:t>
      </w:r>
      <w:proofErr w:type="spellEnd"/>
      <w:r w:rsidR="005F1BEE">
        <w:t>)</w:t>
      </w:r>
      <w:r>
        <w:t xml:space="preserve"> nebo nedávná „migrační vlna“ do Evropě po válkách v Sýrii (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?) či na Ukrajině. </w:t>
      </w:r>
    </w:p>
    <w:p w14:paraId="24F8302C" w14:textId="004A2DED" w:rsidR="005843AA" w:rsidRDefault="005843AA" w:rsidP="009F56D9">
      <w:r>
        <w:t>Zdá se rozumné, aby regulace hate speech nové aspekty svobody projevu</w:t>
      </w:r>
      <w:r w:rsidR="00D14626">
        <w:t xml:space="preserve">, které přišly společně s internetem, </w:t>
      </w:r>
      <w:r>
        <w:t xml:space="preserve">zohlednila a </w:t>
      </w:r>
      <w:r w:rsidR="00D14626">
        <w:t>její regulace</w:t>
      </w:r>
      <w:r>
        <w:t xml:space="preserve"> byla zpřísněna</w:t>
      </w:r>
      <w:r w:rsidR="00D14626">
        <w:t xml:space="preserve">. To </w:t>
      </w:r>
      <w:r>
        <w:t>se do určité</w:t>
      </w:r>
      <w:r w:rsidR="00D14626">
        <w:t xml:space="preserve"> míry</w:t>
      </w:r>
      <w:r w:rsidR="001E19D1">
        <w:t>, jak bude ukázáno,</w:t>
      </w:r>
      <w:r>
        <w:t xml:space="preserve"> </w:t>
      </w:r>
      <w:r w:rsidR="00D14626">
        <w:t>stalo</w:t>
      </w:r>
      <w:r>
        <w:t xml:space="preserve">. </w:t>
      </w:r>
      <w:r w:rsidR="009F56D9">
        <w:t xml:space="preserve">Část společnosti ale začala poukazovat na závažné zásahy do svobody projevu, které regulace přinesly, </w:t>
      </w:r>
      <w:r>
        <w:t xml:space="preserve">zdůrazňujíce důležitost </w:t>
      </w:r>
      <w:r w:rsidR="009F56D9">
        <w:t xml:space="preserve">svobody slova </w:t>
      </w:r>
      <w:r>
        <w:t xml:space="preserve">pro zdravou demokratickou společnost.  </w:t>
      </w:r>
    </w:p>
    <w:p w14:paraId="78B7F41D" w14:textId="743FA01C" w:rsidR="009F56D9" w:rsidRDefault="009F56D9" w:rsidP="007227D2">
      <w:r>
        <w:t>Problematika hate speech je tak aktuálnější než kdykoli dříve</w:t>
      </w:r>
      <w:r w:rsidR="0066006B">
        <w:rPr>
          <w:rStyle w:val="Znakapoznpodarou"/>
        </w:rPr>
        <w:footnoteReference w:id="1"/>
      </w:r>
      <w:r>
        <w:t xml:space="preserve">. Kde by měla ležet regulační hranice mezi svobodou projevu a jinými výše zmíněnými hodnotami v ideálním světě lze stěží jednoznačně určit. Je ovšem možné poukázat na některé nedostatky její legislativní úpravy a aplikace těchto norem v praxi. </w:t>
      </w:r>
    </w:p>
    <w:p w14:paraId="5057CE72" w14:textId="3EDAE799" w:rsidR="009E59AC" w:rsidRDefault="009F56D9" w:rsidP="009F56D9">
      <w:r>
        <w:t xml:space="preserve">Přesně to si klade za cíl tato diplomová práce. Práce se pokusí </w:t>
      </w:r>
      <w:r w:rsidR="009C046B">
        <w:t>prozkoumat situaci v České republice</w:t>
      </w:r>
      <w:r>
        <w:t xml:space="preserve"> s tím, že</w:t>
      </w:r>
      <w:r w:rsidR="009C046B">
        <w:t xml:space="preserve"> </w:t>
      </w:r>
      <w:r w:rsidR="000B5923">
        <w:t>analyz</w:t>
      </w:r>
      <w:r>
        <w:t xml:space="preserve">uje </w:t>
      </w:r>
      <w:r w:rsidR="000B5923">
        <w:t>legislativní úpravu</w:t>
      </w:r>
      <w:r w:rsidR="009C046B">
        <w:t xml:space="preserve"> </w:t>
      </w:r>
      <w:r w:rsidR="006C2200">
        <w:t>hate speech</w:t>
      </w:r>
      <w:r w:rsidR="000B5923">
        <w:t xml:space="preserve"> a její materiální prameny</w:t>
      </w:r>
      <w:r w:rsidR="009C046B">
        <w:t>,</w:t>
      </w:r>
      <w:r w:rsidR="00D04BDB">
        <w:t xml:space="preserve"> prozkoum</w:t>
      </w:r>
      <w:r>
        <w:t>á</w:t>
      </w:r>
      <w:r w:rsidR="00D04BDB">
        <w:t xml:space="preserve"> </w:t>
      </w:r>
      <w:r w:rsidR="009C046B">
        <w:t>jej</w:t>
      </w:r>
      <w:r>
        <w:t xml:space="preserve">ich </w:t>
      </w:r>
      <w:r w:rsidR="00D04BDB">
        <w:t xml:space="preserve">aplikaci v praxi a </w:t>
      </w:r>
      <w:r w:rsidR="000B5923">
        <w:t>pouká</w:t>
      </w:r>
      <w:r>
        <w:t xml:space="preserve">že </w:t>
      </w:r>
      <w:r w:rsidR="000B5923">
        <w:t>na možné nedostatky zjištěné reality</w:t>
      </w:r>
      <w:r w:rsidR="00D04BDB">
        <w:t xml:space="preserve">. </w:t>
      </w:r>
    </w:p>
    <w:p w14:paraId="55DAA1A5" w14:textId="4431F49F" w:rsidR="00EF4E30" w:rsidRDefault="000B5923" w:rsidP="00C766C0">
      <w:r>
        <w:lastRenderedPageBreak/>
        <w:t xml:space="preserve">Práce bude rozdělena na 3 části. </w:t>
      </w:r>
      <w:r w:rsidR="009E59AC">
        <w:t>V</w:t>
      </w:r>
      <w:r>
        <w:t xml:space="preserve"> </w:t>
      </w:r>
      <w:r w:rsidR="009E59AC">
        <w:t xml:space="preserve">první části práce </w:t>
      </w:r>
      <w:r>
        <w:t xml:space="preserve">bude cílem analyzovat aktuální regulaci hate speech v ČR. Práce se </w:t>
      </w:r>
      <w:r w:rsidR="009E59AC">
        <w:t xml:space="preserve">pokusí odhalit, zda lze sledovat </w:t>
      </w:r>
      <w:r>
        <w:t>rozšiřování</w:t>
      </w:r>
      <w:r w:rsidR="009E59AC">
        <w:t xml:space="preserve"> restrikci </w:t>
      </w:r>
      <w:r>
        <w:t>svobody projevu</w:t>
      </w:r>
      <w:r w:rsidR="009E59AC">
        <w:t xml:space="preserve"> na úkor hate speech i na našem území</w:t>
      </w:r>
      <w:r>
        <w:t>…</w:t>
      </w:r>
      <w:r w:rsidR="009E59AC">
        <w:t xml:space="preserve"> </w:t>
      </w:r>
    </w:p>
    <w:p w14:paraId="318A0B7F" w14:textId="77777777" w:rsidR="00136374" w:rsidRDefault="00136374" w:rsidP="00136374">
      <w:r>
        <w:t>(zhodnocení zdrojů ideálně provést zvlášť u každé části)</w:t>
      </w:r>
    </w:p>
    <w:p w14:paraId="17E7D72A" w14:textId="77777777" w:rsidR="00136374" w:rsidRDefault="00136374" w:rsidP="00136374">
      <w:r>
        <w:t xml:space="preserve">(u každé části uvést jaký výzkum byl proveden těmi </w:t>
      </w:r>
      <w:proofErr w:type="spellStart"/>
      <w:r>
        <w:t>fancy</w:t>
      </w:r>
      <w:proofErr w:type="spellEnd"/>
      <w:r>
        <w:t xml:space="preserve"> slovy)</w:t>
      </w:r>
    </w:p>
    <w:p w14:paraId="3436196F" w14:textId="031B8C1E" w:rsidR="00136374" w:rsidRDefault="00136374" w:rsidP="00136374">
      <w:pPr>
        <w:pStyle w:val="Odstavecseseznamem"/>
        <w:numPr>
          <w:ilvl w:val="0"/>
          <w:numId w:val="1"/>
        </w:numPr>
      </w:pPr>
      <w:r>
        <w:t>V části I.  – prozkoumat právní úpravu její vývoj a posoud</w:t>
      </w:r>
      <w:r w:rsidR="007B0A19">
        <w:t>it</w:t>
      </w:r>
      <w:r>
        <w:t xml:space="preserve">, zda skutečně dochází ke zpřísňování trestněprávní represe omezující </w:t>
      </w:r>
      <w:proofErr w:type="spellStart"/>
      <w:r>
        <w:t>FoS</w:t>
      </w:r>
      <w:proofErr w:type="spellEnd"/>
    </w:p>
    <w:p w14:paraId="2C28CDCB" w14:textId="1FBA002C" w:rsidR="007B0A19" w:rsidRDefault="007B0A19" w:rsidP="007B0A19">
      <w:pPr>
        <w:pStyle w:val="Odstavecseseznamem"/>
        <w:numPr>
          <w:ilvl w:val="1"/>
          <w:numId w:val="1"/>
        </w:numPr>
      </w:pPr>
      <w:r>
        <w:t>Postupovat chronologicky</w:t>
      </w:r>
    </w:p>
    <w:p w14:paraId="1E11892B" w14:textId="45FB2E24" w:rsidR="007B0A19" w:rsidRDefault="007B0A19" w:rsidP="007B0A19">
      <w:pPr>
        <w:pStyle w:val="Odstavecseseznamem"/>
        <w:numPr>
          <w:ilvl w:val="1"/>
          <w:numId w:val="1"/>
        </w:numPr>
      </w:pPr>
      <w:r>
        <w:t>Práce se bude soustředit na trestněprávní regulaci</w:t>
      </w:r>
    </w:p>
    <w:p w14:paraId="5B964884" w14:textId="71A9E20A" w:rsidR="007B0A19" w:rsidRDefault="007B0A19" w:rsidP="007B0A19">
      <w:pPr>
        <w:pStyle w:val="Odstavecseseznamem"/>
        <w:numPr>
          <w:ilvl w:val="2"/>
          <w:numId w:val="1"/>
        </w:numPr>
      </w:pPr>
      <w:r>
        <w:t xml:space="preserve">Např. přestupky nebo antidiskriminační zákon je možné zmínit ale jsou </w:t>
      </w:r>
      <w:proofErr w:type="spellStart"/>
      <w:r>
        <w:t>OT</w:t>
      </w:r>
      <w:proofErr w:type="spellEnd"/>
    </w:p>
    <w:p w14:paraId="61B0F1D1" w14:textId="4CA195DD" w:rsidR="00427C27" w:rsidRDefault="00427C27" w:rsidP="00427C27">
      <w:pPr>
        <w:pStyle w:val="Odstavecseseznamem"/>
        <w:numPr>
          <w:ilvl w:val="1"/>
          <w:numId w:val="1"/>
        </w:numPr>
      </w:pPr>
      <w:r>
        <w:t xml:space="preserve">Pro zhodnocení přísnosti úpravy bude práce analyzovat aspekty jako trestní sazby nebo znaky </w:t>
      </w:r>
      <w:proofErr w:type="spellStart"/>
      <w:r>
        <w:t>SPTČ</w:t>
      </w:r>
      <w:proofErr w:type="spellEnd"/>
      <w:r>
        <w:t xml:space="preserve"> (počet charakteristik, zda existují zvláštní sazby </w:t>
      </w:r>
      <w:proofErr w:type="spellStart"/>
      <w:r>
        <w:t>etc</w:t>
      </w:r>
      <w:proofErr w:type="spellEnd"/>
      <w:r>
        <w:t>…)</w:t>
      </w:r>
    </w:p>
    <w:p w14:paraId="22129A23" w14:textId="77777777" w:rsidR="00136374" w:rsidRDefault="00136374" w:rsidP="00136374">
      <w:pPr>
        <w:pStyle w:val="Odstavecseseznamem"/>
        <w:numPr>
          <w:ilvl w:val="1"/>
          <w:numId w:val="1"/>
        </w:numPr>
      </w:pPr>
      <w:r>
        <w:t>Pro úplnost úprava jiných států i? (Irsko? Litva? Itálie? Maďarsko?)</w:t>
      </w:r>
    </w:p>
    <w:p w14:paraId="3EAFFC78" w14:textId="77777777" w:rsidR="00136374" w:rsidRDefault="00136374" w:rsidP="00136374">
      <w:pPr>
        <w:pStyle w:val="Odstavecseseznamem"/>
        <w:numPr>
          <w:ilvl w:val="0"/>
          <w:numId w:val="1"/>
        </w:numPr>
      </w:pPr>
      <w:r>
        <w:t>V části II.  – prozkoumat aplikaci těchto předpisů soudy a policejními orgány. Tedy udělat studii</w:t>
      </w:r>
    </w:p>
    <w:p w14:paraId="00755393" w14:textId="77777777" w:rsidR="00136374" w:rsidRDefault="00136374" w:rsidP="00136374">
      <w:pPr>
        <w:pStyle w:val="Odstavecseseznamem"/>
        <w:numPr>
          <w:ilvl w:val="1"/>
          <w:numId w:val="1"/>
        </w:numPr>
      </w:pPr>
      <w:r>
        <w:t xml:space="preserve">Soudních rozhodnutí </w:t>
      </w:r>
    </w:p>
    <w:p w14:paraId="3013E8EC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>Statistiky z justice</w:t>
      </w:r>
    </w:p>
    <w:p w14:paraId="06DB7A42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 xml:space="preserve">Examinovat dostupná rozhodnutí </w:t>
      </w:r>
    </w:p>
    <w:p w14:paraId="2CEDF0C2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>Vyžádat rozhodnutí od obecných soudů</w:t>
      </w:r>
    </w:p>
    <w:p w14:paraId="3F3A1C34" w14:textId="77777777" w:rsidR="00136374" w:rsidRDefault="00136374" w:rsidP="00136374">
      <w:pPr>
        <w:pStyle w:val="Odstavecseseznamem"/>
        <w:numPr>
          <w:ilvl w:val="1"/>
          <w:numId w:val="1"/>
        </w:numPr>
      </w:pPr>
      <w:r>
        <w:t>Statistik od PČR</w:t>
      </w:r>
    </w:p>
    <w:p w14:paraId="3358D14B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>Počty trestních stíhání</w:t>
      </w:r>
    </w:p>
    <w:p w14:paraId="7161F6AC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 xml:space="preserve">Povrchní studie </w:t>
      </w:r>
      <w:proofErr w:type="gramStart"/>
      <w:r>
        <w:t>ukazující</w:t>
      </w:r>
      <w:proofErr w:type="gramEnd"/>
      <w:r>
        <w:t xml:space="preserve"> zda odpovídají realitě</w:t>
      </w:r>
    </w:p>
    <w:p w14:paraId="564108D0" w14:textId="77777777" w:rsidR="00136374" w:rsidRDefault="00136374" w:rsidP="00136374">
      <w:pPr>
        <w:pStyle w:val="Odstavecseseznamem"/>
        <w:numPr>
          <w:ilvl w:val="2"/>
          <w:numId w:val="1"/>
        </w:numPr>
      </w:pPr>
      <w:r>
        <w:t xml:space="preserve">Jak </w:t>
      </w:r>
      <w:proofErr w:type="spellStart"/>
      <w:r>
        <w:t>TS</w:t>
      </w:r>
      <w:proofErr w:type="spellEnd"/>
      <w:r>
        <w:t xml:space="preserve"> dopadají (jak často </w:t>
      </w:r>
      <w:proofErr w:type="gramStart"/>
      <w:r>
        <w:t>končí</w:t>
      </w:r>
      <w:proofErr w:type="gramEnd"/>
      <w:r>
        <w:t xml:space="preserve"> u soudu)</w:t>
      </w:r>
    </w:p>
    <w:p w14:paraId="17FBF5CC" w14:textId="77777777" w:rsidR="00136374" w:rsidRDefault="00136374" w:rsidP="00136374">
      <w:pPr>
        <w:pStyle w:val="Odstavecseseznamem"/>
        <w:numPr>
          <w:ilvl w:val="1"/>
          <w:numId w:val="1"/>
        </w:numPr>
      </w:pPr>
      <w:r>
        <w:t xml:space="preserve">Posoudit, zda tu je zdrženlivost v aplikaci norem. </w:t>
      </w:r>
    </w:p>
    <w:p w14:paraId="38114B9B" w14:textId="77777777" w:rsidR="00136374" w:rsidRDefault="00136374" w:rsidP="00136374">
      <w:pPr>
        <w:pStyle w:val="Odstavecseseznamem"/>
        <w:numPr>
          <w:ilvl w:val="1"/>
          <w:numId w:val="1"/>
        </w:numPr>
      </w:pPr>
      <w:r>
        <w:t xml:space="preserve">Pokud ano je asi </w:t>
      </w:r>
      <w:proofErr w:type="spellStart"/>
      <w:r>
        <w:t>reasonable</w:t>
      </w:r>
      <w:proofErr w:type="spellEnd"/>
      <w:r>
        <w:t xml:space="preserve"> tvrdit, že téma ochrany osobnosti </w:t>
      </w:r>
      <w:proofErr w:type="spellStart"/>
      <w:r>
        <w:t>etc</w:t>
      </w:r>
      <w:proofErr w:type="spellEnd"/>
      <w:r>
        <w:t xml:space="preserve">. je ve společnosti nafouklé a parlamenty ho </w:t>
      </w:r>
      <w:proofErr w:type="spellStart"/>
      <w:r>
        <w:t>přehrocují</w:t>
      </w:r>
      <w:proofErr w:type="spellEnd"/>
      <w:r>
        <w:t xml:space="preserve"> a schvalované zpřísňující zákony jsou spíše politická agenda a ve finále stejně nejsou aplikovány</w:t>
      </w:r>
    </w:p>
    <w:p w14:paraId="0A8E5181" w14:textId="77777777" w:rsidR="00136374" w:rsidRDefault="00136374" w:rsidP="00136374">
      <w:pPr>
        <w:pStyle w:val="Odstavecseseznamem"/>
        <w:numPr>
          <w:ilvl w:val="0"/>
          <w:numId w:val="1"/>
        </w:numPr>
      </w:pPr>
      <w:r>
        <w:t xml:space="preserve">V části III. – zkusím pak z různých pramenů </w:t>
      </w:r>
      <w:proofErr w:type="spellStart"/>
      <w:r>
        <w:t>vyvěštit</w:t>
      </w:r>
      <w:proofErr w:type="spellEnd"/>
      <w:r>
        <w:t xml:space="preserve"> jaký „společenskohistorický kontext“/motivace in </w:t>
      </w:r>
      <w:proofErr w:type="spellStart"/>
      <w:r>
        <w:t>general</w:t>
      </w:r>
      <w:proofErr w:type="spellEnd"/>
      <w:r>
        <w:t xml:space="preserve"> vedou lidičky a orgány k normotvorbě a aplikaci toho co jsem zjistil. </w:t>
      </w:r>
    </w:p>
    <w:p w14:paraId="10D96D53" w14:textId="77777777" w:rsidR="00136374" w:rsidRDefault="00136374" w:rsidP="00136374">
      <w:pPr>
        <w:pStyle w:val="Odstavecseseznamem"/>
        <w:numPr>
          <w:ilvl w:val="0"/>
          <w:numId w:val="1"/>
        </w:numPr>
      </w:pPr>
      <w:r>
        <w:t>V závěru – zhodnotit kriticky úpravu – jak z legislativně-technického a aplikačního pohledu tak i z toho filozofického, tedy diskutovat to kde tato hranice v rámci testu proporcionality v současnosti je a kde by měla být (ano, budu to dělat v závěru, nikoli v části III)</w:t>
      </w:r>
    </w:p>
    <w:p w14:paraId="0043CA1F" w14:textId="77777777" w:rsidR="00136374" w:rsidRDefault="00136374" w:rsidP="00136374">
      <w:r>
        <w:lastRenderedPageBreak/>
        <w:t xml:space="preserve">Zhodnocení zdrojů </w:t>
      </w:r>
      <w:proofErr w:type="spellStart"/>
      <w:r>
        <w:t>overall</w:t>
      </w:r>
      <w:proofErr w:type="spellEnd"/>
      <w:r>
        <w:t xml:space="preserve"> (?)</w:t>
      </w:r>
    </w:p>
    <w:p w14:paraId="30BBD93F" w14:textId="77777777" w:rsidR="00136374" w:rsidRDefault="00136374" w:rsidP="00C766C0"/>
    <w:p w14:paraId="5B6E4A3D" w14:textId="53BBF566" w:rsidR="00ED4CBB" w:rsidRDefault="00ED4CBB" w:rsidP="00C766C0">
      <w:proofErr w:type="spellStart"/>
      <w:r>
        <w:t>Code</w:t>
      </w:r>
      <w:proofErr w:type="spellEnd"/>
      <w:r>
        <w:t xml:space="preserve"> </w:t>
      </w:r>
      <w:proofErr w:type="spellStart"/>
      <w:r>
        <w:t>penal</w:t>
      </w:r>
      <w:proofErr w:type="spellEnd"/>
      <w:r>
        <w:t xml:space="preserve"> </w:t>
      </w:r>
    </w:p>
    <w:p w14:paraId="35E37B97" w14:textId="11997DF8" w:rsidR="00ED4CBB" w:rsidRDefault="00000000" w:rsidP="00ED4CBB">
      <w:pPr>
        <w:pStyle w:val="Odstavecseseznamem"/>
        <w:numPr>
          <w:ilvl w:val="0"/>
          <w:numId w:val="1"/>
        </w:numPr>
      </w:pPr>
      <w:hyperlink r:id="rId8" w:history="1">
        <w:r w:rsidR="00ED4CBB" w:rsidRPr="00990F81">
          <w:rPr>
            <w:rStyle w:val="Hypertextovodkaz"/>
          </w:rPr>
          <w:t>https://www.napoleon.org/en/history-of-the-two-empires/close-up/a-close-up-on-the-code-penal/</w:t>
        </w:r>
      </w:hyperlink>
    </w:p>
    <w:p w14:paraId="74A57C29" w14:textId="2007FBE2" w:rsidR="00ED4CBB" w:rsidRPr="00AC682E" w:rsidRDefault="00ED4CBB" w:rsidP="00ED4CBB">
      <w:pPr>
        <w:pStyle w:val="Odstavecseseznamem"/>
        <w:numPr>
          <w:ilvl w:val="0"/>
          <w:numId w:val="1"/>
        </w:numPr>
      </w:pPr>
      <w:r>
        <w:t xml:space="preserve">§ </w:t>
      </w:r>
      <w:proofErr w:type="gramStart"/>
      <w:r>
        <w:t>375 - 378</w:t>
      </w:r>
      <w:proofErr w:type="gramEnd"/>
    </w:p>
    <w:sectPr w:rsidR="00ED4CBB" w:rsidRPr="00AC682E" w:rsidSect="00DA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00475" w14:textId="77777777" w:rsidR="00483F00" w:rsidRDefault="00483F00" w:rsidP="0066006B">
      <w:pPr>
        <w:spacing w:after="0" w:line="240" w:lineRule="auto"/>
      </w:pPr>
      <w:r>
        <w:separator/>
      </w:r>
    </w:p>
  </w:endnote>
  <w:endnote w:type="continuationSeparator" w:id="0">
    <w:p w14:paraId="0E4D1CDF" w14:textId="77777777" w:rsidR="00483F00" w:rsidRDefault="00483F00" w:rsidP="006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16822" w14:textId="77777777" w:rsidR="00483F00" w:rsidRDefault="00483F00" w:rsidP="0066006B">
      <w:pPr>
        <w:spacing w:after="0" w:line="240" w:lineRule="auto"/>
      </w:pPr>
      <w:r>
        <w:separator/>
      </w:r>
    </w:p>
  </w:footnote>
  <w:footnote w:type="continuationSeparator" w:id="0">
    <w:p w14:paraId="687EA5A1" w14:textId="77777777" w:rsidR="00483F00" w:rsidRDefault="00483F00" w:rsidP="0066006B">
      <w:pPr>
        <w:spacing w:after="0" w:line="240" w:lineRule="auto"/>
      </w:pPr>
      <w:r>
        <w:continuationSeparator/>
      </w:r>
    </w:p>
  </w:footnote>
  <w:footnote w:id="1">
    <w:p w14:paraId="69DBD16D" w14:textId="77777777" w:rsidR="0066006B" w:rsidRPr="0066006B" w:rsidRDefault="0066006B" w:rsidP="0066006B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r w:rsidRPr="0066006B">
        <w:rPr>
          <w:lang w:val="en-GB"/>
        </w:rPr>
        <w:t>Online othering: Exploring</w:t>
      </w:r>
    </w:p>
    <w:p w14:paraId="30FE2BA6" w14:textId="77777777" w:rsidR="0066006B" w:rsidRPr="0066006B" w:rsidRDefault="0066006B" w:rsidP="0066006B">
      <w:pPr>
        <w:pStyle w:val="Textpoznpodarou"/>
        <w:rPr>
          <w:lang w:val="en-GB"/>
        </w:rPr>
      </w:pPr>
      <w:r w:rsidRPr="0066006B">
        <w:rPr>
          <w:lang w:val="en-GB"/>
        </w:rPr>
        <w:t>digital violence and discrimination on the web (Lumsden &amp; Harmer 2019); Digital</w:t>
      </w:r>
    </w:p>
    <w:p w14:paraId="21DD4C1C" w14:textId="77777777" w:rsidR="0066006B" w:rsidRPr="0066006B" w:rsidRDefault="0066006B" w:rsidP="0066006B">
      <w:pPr>
        <w:pStyle w:val="Textpoznpodarou"/>
        <w:rPr>
          <w:lang w:val="en-GB"/>
        </w:rPr>
      </w:pPr>
      <w:r w:rsidRPr="0066006B">
        <w:rPr>
          <w:lang w:val="en-GB"/>
        </w:rPr>
        <w:t xml:space="preserve">hate: The global conjuncture of extreme speech (Udupa, </w:t>
      </w:r>
      <w:proofErr w:type="spellStart"/>
      <w:r w:rsidRPr="0066006B">
        <w:rPr>
          <w:lang w:val="en-GB"/>
        </w:rPr>
        <w:t>Gagliardone</w:t>
      </w:r>
      <w:proofErr w:type="spellEnd"/>
      <w:r w:rsidRPr="0066006B">
        <w:rPr>
          <w:lang w:val="en-GB"/>
        </w:rPr>
        <w:t xml:space="preserve"> &amp; Hervik</w:t>
      </w:r>
    </w:p>
    <w:p w14:paraId="41BD889E" w14:textId="77777777" w:rsidR="0066006B" w:rsidRPr="0066006B" w:rsidRDefault="0066006B" w:rsidP="0066006B">
      <w:pPr>
        <w:pStyle w:val="Textpoznpodarou"/>
        <w:rPr>
          <w:lang w:val="en-GB"/>
        </w:rPr>
      </w:pPr>
      <w:r w:rsidRPr="0066006B">
        <w:rPr>
          <w:lang w:val="en-GB"/>
        </w:rPr>
        <w:t xml:space="preserve">2021); </w:t>
      </w:r>
      <w:proofErr w:type="gramStart"/>
      <w:r w:rsidRPr="0066006B">
        <w:rPr>
          <w:lang w:val="en-GB"/>
        </w:rPr>
        <w:t>Social media</w:t>
      </w:r>
      <w:proofErr w:type="gramEnd"/>
      <w:r w:rsidRPr="0066006B">
        <w:rPr>
          <w:lang w:val="en-GB"/>
        </w:rPr>
        <w:t xml:space="preserve"> and hate (Banaji &amp; Bhat 2022); and Cyberhate in the context</w:t>
      </w:r>
    </w:p>
    <w:p w14:paraId="47EE3EBE" w14:textId="1F2EE2F4" w:rsidR="0066006B" w:rsidRDefault="0066006B" w:rsidP="0066006B">
      <w:pPr>
        <w:pStyle w:val="Textpoznpodarou"/>
      </w:pPr>
      <w:r w:rsidRPr="0066006B">
        <w:rPr>
          <w:lang w:val="en-GB"/>
        </w:rPr>
        <w:t xml:space="preserve">of migrations (Monnier, Boursier &amp; </w:t>
      </w:r>
      <w:proofErr w:type="spellStart"/>
      <w:r w:rsidRPr="0066006B">
        <w:rPr>
          <w:lang w:val="en-GB"/>
        </w:rPr>
        <w:t>Seoana</w:t>
      </w:r>
      <w:proofErr w:type="spellEnd"/>
      <w:r w:rsidRPr="0066006B">
        <w:rPr>
          <w:lang w:val="en-GB"/>
        </w:rPr>
        <w:t xml:space="preserve"> 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862EB"/>
    <w:multiLevelType w:val="hybridMultilevel"/>
    <w:tmpl w:val="45C05E2A"/>
    <w:lvl w:ilvl="0" w:tplc="6456B9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6E10"/>
    <w:multiLevelType w:val="hybridMultilevel"/>
    <w:tmpl w:val="02CEFE0C"/>
    <w:lvl w:ilvl="0" w:tplc="FC001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85AFC"/>
    <w:multiLevelType w:val="multilevel"/>
    <w:tmpl w:val="A1B2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060796">
    <w:abstractNumId w:val="1"/>
  </w:num>
  <w:num w:numId="2" w16cid:durableId="788858961">
    <w:abstractNumId w:val="2"/>
  </w:num>
  <w:num w:numId="3" w16cid:durableId="167479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79"/>
    <w:rsid w:val="000337B2"/>
    <w:rsid w:val="00045747"/>
    <w:rsid w:val="000603A9"/>
    <w:rsid w:val="000B5923"/>
    <w:rsid w:val="000C01E3"/>
    <w:rsid w:val="000F7A86"/>
    <w:rsid w:val="00112309"/>
    <w:rsid w:val="00117761"/>
    <w:rsid w:val="00136374"/>
    <w:rsid w:val="00167701"/>
    <w:rsid w:val="0018357B"/>
    <w:rsid w:val="001D12DD"/>
    <w:rsid w:val="001E19D1"/>
    <w:rsid w:val="001F179E"/>
    <w:rsid w:val="0024022D"/>
    <w:rsid w:val="00240A56"/>
    <w:rsid w:val="00251B23"/>
    <w:rsid w:val="002571A2"/>
    <w:rsid w:val="00276420"/>
    <w:rsid w:val="00294A2F"/>
    <w:rsid w:val="002A0130"/>
    <w:rsid w:val="002A15FE"/>
    <w:rsid w:val="002E117B"/>
    <w:rsid w:val="002E4B02"/>
    <w:rsid w:val="002F1D17"/>
    <w:rsid w:val="003060B0"/>
    <w:rsid w:val="0037091D"/>
    <w:rsid w:val="003770B6"/>
    <w:rsid w:val="00381BFE"/>
    <w:rsid w:val="003A57FF"/>
    <w:rsid w:val="003C7838"/>
    <w:rsid w:val="00401AFC"/>
    <w:rsid w:val="00417040"/>
    <w:rsid w:val="00422715"/>
    <w:rsid w:val="00427C27"/>
    <w:rsid w:val="004470E6"/>
    <w:rsid w:val="004632C7"/>
    <w:rsid w:val="00483F00"/>
    <w:rsid w:val="004858A5"/>
    <w:rsid w:val="004D6A1F"/>
    <w:rsid w:val="004F1D85"/>
    <w:rsid w:val="00534932"/>
    <w:rsid w:val="005453DE"/>
    <w:rsid w:val="005843AA"/>
    <w:rsid w:val="00597349"/>
    <w:rsid w:val="005A16A6"/>
    <w:rsid w:val="005E53DA"/>
    <w:rsid w:val="005F1BEE"/>
    <w:rsid w:val="0066006B"/>
    <w:rsid w:val="006B3254"/>
    <w:rsid w:val="006B5DBE"/>
    <w:rsid w:val="006C2200"/>
    <w:rsid w:val="006E5D7E"/>
    <w:rsid w:val="007016A2"/>
    <w:rsid w:val="00715477"/>
    <w:rsid w:val="007227D2"/>
    <w:rsid w:val="0073245D"/>
    <w:rsid w:val="00787370"/>
    <w:rsid w:val="00790CFD"/>
    <w:rsid w:val="00792A12"/>
    <w:rsid w:val="00795892"/>
    <w:rsid w:val="007A4467"/>
    <w:rsid w:val="007A466E"/>
    <w:rsid w:val="007B0A19"/>
    <w:rsid w:val="007B7234"/>
    <w:rsid w:val="007F2D81"/>
    <w:rsid w:val="008039BA"/>
    <w:rsid w:val="008376C5"/>
    <w:rsid w:val="00867A21"/>
    <w:rsid w:val="008711E3"/>
    <w:rsid w:val="008A0854"/>
    <w:rsid w:val="008E10D7"/>
    <w:rsid w:val="00926535"/>
    <w:rsid w:val="0092727C"/>
    <w:rsid w:val="00933E3E"/>
    <w:rsid w:val="00965B13"/>
    <w:rsid w:val="009755E3"/>
    <w:rsid w:val="00984EB2"/>
    <w:rsid w:val="009B3C21"/>
    <w:rsid w:val="009C046B"/>
    <w:rsid w:val="009E59AC"/>
    <w:rsid w:val="009F04EA"/>
    <w:rsid w:val="009F56D9"/>
    <w:rsid w:val="009F7668"/>
    <w:rsid w:val="00A12420"/>
    <w:rsid w:val="00A439BB"/>
    <w:rsid w:val="00A4792D"/>
    <w:rsid w:val="00A60891"/>
    <w:rsid w:val="00A655F9"/>
    <w:rsid w:val="00A83C9F"/>
    <w:rsid w:val="00A9106B"/>
    <w:rsid w:val="00AA77DD"/>
    <w:rsid w:val="00AC083D"/>
    <w:rsid w:val="00AC4CD9"/>
    <w:rsid w:val="00AC682E"/>
    <w:rsid w:val="00AE3F97"/>
    <w:rsid w:val="00AE5854"/>
    <w:rsid w:val="00B33F73"/>
    <w:rsid w:val="00B54084"/>
    <w:rsid w:val="00B86ABD"/>
    <w:rsid w:val="00B86F8E"/>
    <w:rsid w:val="00B87679"/>
    <w:rsid w:val="00B96261"/>
    <w:rsid w:val="00BB0963"/>
    <w:rsid w:val="00BB3278"/>
    <w:rsid w:val="00BF36BF"/>
    <w:rsid w:val="00C21338"/>
    <w:rsid w:val="00C766C0"/>
    <w:rsid w:val="00D04BDB"/>
    <w:rsid w:val="00D14626"/>
    <w:rsid w:val="00DA08A0"/>
    <w:rsid w:val="00DB493E"/>
    <w:rsid w:val="00E249EB"/>
    <w:rsid w:val="00E35725"/>
    <w:rsid w:val="00E54166"/>
    <w:rsid w:val="00E63E76"/>
    <w:rsid w:val="00E85E41"/>
    <w:rsid w:val="00ED4CBB"/>
    <w:rsid w:val="00EF4E30"/>
    <w:rsid w:val="00F03A6C"/>
    <w:rsid w:val="00F26580"/>
    <w:rsid w:val="00F72BAE"/>
    <w:rsid w:val="00F77BE9"/>
    <w:rsid w:val="00F928DD"/>
    <w:rsid w:val="00F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7B8"/>
  <w15:chartTrackingRefBased/>
  <w15:docId w15:val="{42663401-DB53-4569-98D8-6EC1EA3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F04EA"/>
    <w:pPr>
      <w:spacing w:line="360" w:lineRule="auto"/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8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8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8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8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8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8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8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8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8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8767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8767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8767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8767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8767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8767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8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8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8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8767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8767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8767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8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8767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8767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9626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96261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6006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6006B"/>
    <w:rPr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600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33">
          <w:marLeft w:val="4558"/>
          <w:marRight w:val="45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397">
          <w:marLeft w:val="4558"/>
          <w:marRight w:val="45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poleon.org/en/history-of-the-two-empires/close-up/a-close-up-on-the-code-pen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F8C0-871F-4900-B9AE-AB1446D1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75</cp:revision>
  <dcterms:created xsi:type="dcterms:W3CDTF">2024-07-06T09:57:00Z</dcterms:created>
  <dcterms:modified xsi:type="dcterms:W3CDTF">2024-07-29T08:57:00Z</dcterms:modified>
</cp:coreProperties>
</file>