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6819" w14:textId="507C2529" w:rsidR="0002432E" w:rsidRDefault="006C543D" w:rsidP="0002432E">
      <w:pPr>
        <w:pStyle w:val="Nadpis1"/>
      </w:pPr>
      <w:r>
        <w:t xml:space="preserve">Příloha č. 2 - </w:t>
      </w:r>
      <w:r w:rsidR="0002432E">
        <w:t>Poznámky k</w:t>
      </w:r>
      <w:r w:rsidR="007C165B">
        <w:t xml:space="preserve"> použitým</w:t>
      </w:r>
      <w:r w:rsidR="0081778B">
        <w:t> </w:t>
      </w:r>
      <w:r w:rsidR="0002432E">
        <w:t>datům</w:t>
      </w:r>
    </w:p>
    <w:p w14:paraId="7D3A30D0" w14:textId="00D03F30" w:rsidR="0078543B" w:rsidRDefault="0078543B" w:rsidP="0078543B">
      <w:pPr>
        <w:jc w:val="both"/>
      </w:pPr>
    </w:p>
    <w:p w14:paraId="2968B9B5" w14:textId="77777777" w:rsidR="00ED58DD" w:rsidRDefault="00ED58DD" w:rsidP="00A03A9C">
      <w:pPr>
        <w:jc w:val="both"/>
      </w:pPr>
      <w:r>
        <w:t xml:space="preserve">Příloha č. 1 k této práci je „excel </w:t>
      </w:r>
      <w:proofErr w:type="spellStart"/>
      <w:r>
        <w:t>sheet</w:t>
      </w:r>
      <w:proofErr w:type="spellEnd"/>
      <w:r>
        <w:t xml:space="preserve">“ obsahující tabulku s daty zahájených trestních stíhání, podaných obžalob a pravomocných odsouzení za TČ, které lze spáchat prostřednictvím </w:t>
      </w:r>
      <w:r w:rsidRPr="00ED58DD">
        <w:rPr>
          <w:i/>
          <w:iCs/>
        </w:rPr>
        <w:t>hate speech</w:t>
      </w:r>
      <w:r>
        <w:t xml:space="preserve"> (dále jen „Tabulka“). Poznámky ohledně výběru evidovaných TČ a možných nedostatků evidence jsou uvedeny níže. </w:t>
      </w:r>
    </w:p>
    <w:p w14:paraId="35C1EFB6" w14:textId="347F85E7" w:rsidR="00ED58DD" w:rsidRPr="00ED58DD" w:rsidRDefault="00ED58DD" w:rsidP="00A03A9C">
      <w:pPr>
        <w:jc w:val="both"/>
        <w:rPr>
          <w:b/>
          <w:bCs/>
        </w:rPr>
      </w:pPr>
      <w:r>
        <w:t xml:space="preserve">Sloupec </w:t>
      </w:r>
      <w:r w:rsidRPr="00EB0606">
        <w:rPr>
          <w:i/>
          <w:iCs/>
        </w:rPr>
        <w:t xml:space="preserve">"% </w:t>
      </w:r>
      <w:proofErr w:type="spellStart"/>
      <w:r w:rsidRPr="00EB0606">
        <w:rPr>
          <w:i/>
          <w:iCs/>
        </w:rPr>
        <w:t>Obž</w:t>
      </w:r>
      <w:proofErr w:type="spellEnd"/>
      <w:r w:rsidRPr="00EB0606">
        <w:rPr>
          <w:i/>
          <w:iCs/>
        </w:rPr>
        <w:t>.</w:t>
      </w:r>
      <w:r w:rsidRPr="00A47C96">
        <w:t xml:space="preserve">" uvádí </w:t>
      </w:r>
      <w:r>
        <w:t xml:space="preserve">kolik </w:t>
      </w:r>
      <w:r w:rsidRPr="00A47C96">
        <w:t>%</w:t>
      </w:r>
      <w:r>
        <w:t xml:space="preserve"> z celkového počtu zahájených stíhání činí celkový počet podaných obžalob v daném roce. Sloupec </w:t>
      </w:r>
      <w:r w:rsidRPr="00EB0606">
        <w:rPr>
          <w:i/>
          <w:iCs/>
        </w:rPr>
        <w:t xml:space="preserve">"% </w:t>
      </w:r>
      <w:proofErr w:type="spellStart"/>
      <w:r w:rsidRPr="00EB0606">
        <w:rPr>
          <w:i/>
          <w:iCs/>
        </w:rPr>
        <w:t>Ods</w:t>
      </w:r>
      <w:proofErr w:type="spellEnd"/>
      <w:r w:rsidRPr="00EB0606">
        <w:rPr>
          <w:i/>
          <w:iCs/>
        </w:rPr>
        <w:t>.</w:t>
      </w:r>
      <w:r w:rsidRPr="00A47C96">
        <w:t>"</w:t>
      </w:r>
      <w:r>
        <w:t xml:space="preserve"> uvádí, kolik % z celkového počtu zahájených stíhání činí celkový počet pravomocných odsouzení v daném roce. Není-li daný údaj uveden, nepodařilo se jej spolehlivě zjistit. U d</w:t>
      </w:r>
      <w:r w:rsidRPr="00ED58DD">
        <w:t>at TČ Popírání, zpochybňování, schvalování a ospravedlňování genocidia podle § 405 t.z.</w:t>
      </w:r>
      <w:r>
        <w:t xml:space="preserve"> je třeba </w:t>
      </w:r>
      <w:proofErr w:type="gramStart"/>
      <w:r>
        <w:t>míti</w:t>
      </w:r>
      <w:proofErr w:type="gramEnd"/>
      <w:r>
        <w:t xml:space="preserve"> na paměti, že tento TČ byl do zakotven novelou č. 405/2000 Sb., vstoupivší v účinnost v roce 2001. </w:t>
      </w:r>
    </w:p>
    <w:p w14:paraId="11D99D9F" w14:textId="64809E79" w:rsidR="007C165B" w:rsidRDefault="00ED58DD" w:rsidP="00A03A9C">
      <w:pPr>
        <w:jc w:val="both"/>
      </w:pPr>
      <w:r>
        <w:t>V trestním zákoně č. 140/1961 Sb. byly zkoumané TČ zakotveny v jiných paragrafech, pro zjednodušení je na ně však odkazováno paragrafy, ve kterých jsou zakotveny v</w:t>
      </w:r>
      <w:r w:rsidR="007C165B">
        <w:t xml:space="preserve"> trestním zákoníku platném od r. 2010, tedy zákoně č. 40/2009 Sb. </w:t>
      </w:r>
    </w:p>
    <w:p w14:paraId="504F5979" w14:textId="6FBE6439" w:rsidR="0081778B" w:rsidRPr="000D7CE5" w:rsidRDefault="0081778B" w:rsidP="00A03A9C">
      <w:pPr>
        <w:jc w:val="both"/>
      </w:pPr>
      <w:r w:rsidRPr="000D7CE5">
        <w:t>Oficiální statistika nenávistné trestné činnosti v ČR začala být vykazována v roce 1996</w:t>
      </w:r>
      <w:r w:rsidR="00A6409C" w:rsidRPr="000D7CE5">
        <w:rPr>
          <w:rStyle w:val="Znakapoznpodarou"/>
        </w:rPr>
        <w:footnoteReference w:id="1"/>
      </w:r>
      <w:r w:rsidRPr="000D7CE5">
        <w:t>, a</w:t>
      </w:r>
      <w:r w:rsidR="00CE08A4" w:rsidRPr="000D7CE5">
        <w:t> </w:t>
      </w:r>
      <w:r w:rsidRPr="000D7CE5">
        <w:t xml:space="preserve">to zejména v návaznosti na události, </w:t>
      </w:r>
      <w:proofErr w:type="gramStart"/>
      <w:r w:rsidRPr="000D7CE5">
        <w:t>důsledkem</w:t>
      </w:r>
      <w:proofErr w:type="gramEnd"/>
      <w:r w:rsidRPr="000D7CE5">
        <w:t xml:space="preserve"> kterých začaly být vypracovávány i</w:t>
      </w:r>
      <w:r w:rsidR="00CE08A4" w:rsidRPr="000D7CE5">
        <w:t> </w:t>
      </w:r>
      <w:r w:rsidRPr="000D7CE5">
        <w:t xml:space="preserve">zprávy </w:t>
      </w:r>
      <w:proofErr w:type="spellStart"/>
      <w:r w:rsidRPr="000D7CE5">
        <w:t>MVČR</w:t>
      </w:r>
      <w:proofErr w:type="spellEnd"/>
      <w:r w:rsidRPr="000D7CE5">
        <w:t xml:space="preserve"> o extremismu</w:t>
      </w:r>
      <w:r w:rsidR="000D7CE5" w:rsidRPr="000D7CE5">
        <w:t xml:space="preserve">. Tyto události jsou popsány na začátku kapitoly práce „Stručná historie nenávistné trestné činnosti v ČR“. </w:t>
      </w:r>
      <w:r w:rsidRPr="000D7CE5">
        <w:t>Již dříve byla do určité míry evidována</w:t>
      </w:r>
      <w:r w:rsidR="00A6409C" w:rsidRPr="000D7CE5">
        <w:rPr>
          <w:rStyle w:val="Znakapoznpodarou"/>
        </w:rPr>
        <w:footnoteReference w:id="2"/>
      </w:r>
      <w:r w:rsidRPr="000D7CE5">
        <w:t>, tato evidence ale není úplná a není tak pro účely práce použitelná. V současnosti je mechanismus sběru dat o nenávistné trestné činnosti v ČR na dobré úrovni</w:t>
      </w:r>
      <w:r w:rsidRPr="000D7CE5">
        <w:rPr>
          <w:rStyle w:val="Znakapoznpodarou"/>
        </w:rPr>
        <w:footnoteReference w:id="3"/>
      </w:r>
      <w:r w:rsidRPr="000D7CE5">
        <w:t xml:space="preserve">. </w:t>
      </w:r>
      <w:r w:rsidR="00A6409C" w:rsidRPr="000D7CE5">
        <w:t xml:space="preserve">Přesto existují určité nedostatky dat, které je při práci s nimi třeba zdůraznit. </w:t>
      </w:r>
    </w:p>
    <w:p w14:paraId="316E453A" w14:textId="0A73E9DA" w:rsidR="00A6409C" w:rsidRPr="00A6409C" w:rsidRDefault="00A6409C" w:rsidP="00A03A9C">
      <w:pPr>
        <w:jc w:val="both"/>
      </w:pPr>
      <w:r w:rsidRPr="00A6409C">
        <w:t xml:space="preserve">Zaprvé data představují relativně malý soubor. Přestože se zdá rozumné z některých trendů v nich učinit určité závěry, je třeba mít na paměti, že odchylky v datech mohou být stejně tak dobře způsobeny dílem náhody. </w:t>
      </w:r>
      <w:r>
        <w:t>To platí z</w:t>
      </w:r>
      <w:r w:rsidRPr="00A6409C">
        <w:t xml:space="preserve">ejména při hodnocení statistik týkajících se méně často </w:t>
      </w:r>
      <w:r>
        <w:t>registrovaných</w:t>
      </w:r>
      <w:r w:rsidRPr="00A6409C">
        <w:t xml:space="preserve"> TČ (např. TČ Popírání, zpochybňování, schvalování a ospravedlňování genocidia podle § 405 t.z.)</w:t>
      </w:r>
      <w:r>
        <w:t xml:space="preserve">, u nichž jsou evidovány jednotky až nižší desítky případů ročně. Každý případ, který je nesprávně kvalifikován nebo </w:t>
      </w:r>
      <w:r>
        <w:lastRenderedPageBreak/>
        <w:t xml:space="preserve">např. není nahlášen, tak může způsobit velkou percentuálně odchylku v meziroční evidenci. Na tuto skutečnost poukazuje i samo </w:t>
      </w:r>
      <w:proofErr w:type="spellStart"/>
      <w:r>
        <w:t>MVČR</w:t>
      </w:r>
      <w:proofErr w:type="spellEnd"/>
      <w:r>
        <w:rPr>
          <w:rStyle w:val="Znakapoznpodarou"/>
        </w:rPr>
        <w:footnoteReference w:id="4"/>
      </w:r>
      <w:r>
        <w:t xml:space="preserve">. </w:t>
      </w:r>
    </w:p>
    <w:p w14:paraId="0FF39853" w14:textId="4526DA54" w:rsidR="00CA48BD" w:rsidRDefault="00CA48BD" w:rsidP="00A03A9C">
      <w:pPr>
        <w:spacing w:after="120" w:line="259" w:lineRule="auto"/>
        <w:jc w:val="both"/>
      </w:pPr>
      <w:r>
        <w:t xml:space="preserve">S evidencí vedenou PČR se práce rozhodla nepracovat. Učinila tak zejména kvůli dvěma faktorům. Prvním z nich </w:t>
      </w:r>
      <w:r w:rsidR="00AB5DB0">
        <w:t>jsou</w:t>
      </w:r>
      <w:r>
        <w:t xml:space="preserve"> </w:t>
      </w:r>
      <w:r w:rsidR="00AB5DB0">
        <w:t xml:space="preserve">víceré podstatné </w:t>
      </w:r>
      <w:r>
        <w:t>změn</w:t>
      </w:r>
      <w:r w:rsidR="00AB5DB0">
        <w:t>y</w:t>
      </w:r>
      <w:r>
        <w:t xml:space="preserve"> v evidenci </w:t>
      </w:r>
      <w:r w:rsidR="00AB5DB0">
        <w:t>PČR</w:t>
      </w:r>
      <w:r>
        <w:t xml:space="preserve">. </w:t>
      </w:r>
      <w:r w:rsidR="00AB5DB0">
        <w:t>Vedle změny v informačních systémech při evidenci používaných lze zmínit např. to, že v evidenci PČR byl původně</w:t>
      </w:r>
      <w:r>
        <w:t xml:space="preserve"> každý skutek evidován jen jako nejzávažnější TČ, který jím byl spáchán</w:t>
      </w:r>
      <w:r>
        <w:rPr>
          <w:rStyle w:val="Znakapoznpodarou"/>
        </w:rPr>
        <w:footnoteReference w:id="5"/>
      </w:r>
      <w:r>
        <w:t xml:space="preserve">. Pokud bylo jedním skutkem spácháno více TČ, takový skutek nebyl evidován ve statistice méně závažných </w:t>
      </w:r>
      <w:r w:rsidR="00543406">
        <w:t>TČ,</w:t>
      </w:r>
      <w:r>
        <w:t xml:space="preserve"> které jím mohly být spáchány v jednočinném souběhu společně se</w:t>
      </w:r>
      <w:r w:rsidR="00CE08A4">
        <w:t> </w:t>
      </w:r>
      <w:r>
        <w:t>závažnějším TČ. Druhým nedostatkem statistiky PČR je zřejmá odlišnost metodiky a pravděpodobně i kvality sběru dat. Statistika PČR pravidelně vykázala výrazně méně evidovaných případů než statistika zahájených trestních stíhání.</w:t>
      </w:r>
      <w:r w:rsidR="00AB5DB0">
        <w:t xml:space="preserve"> Protože </w:t>
      </w:r>
      <w:proofErr w:type="spellStart"/>
      <w:r w:rsidR="00AB5DB0">
        <w:t>TS</w:t>
      </w:r>
      <w:proofErr w:type="spellEnd"/>
      <w:r w:rsidR="00AB5DB0">
        <w:t xml:space="preserve"> </w:t>
      </w:r>
      <w:r w:rsidR="00093B1B">
        <w:t xml:space="preserve">bývá bez pouhého vědomí PČR zahájeno a vedeno jen vzácně, jedna ze statistik musí být evidentně značně nepřesná. Práce se rozhodla upřednostnit evidenci </w:t>
      </w:r>
      <w:proofErr w:type="spellStart"/>
      <w:r w:rsidR="00093B1B">
        <w:t>NSZ</w:t>
      </w:r>
      <w:proofErr w:type="spellEnd"/>
      <w:r w:rsidR="00093B1B">
        <w:t xml:space="preserve"> a soudů ČR. </w:t>
      </w:r>
    </w:p>
    <w:p w14:paraId="4B6450E5" w14:textId="5AF5D7E8" w:rsidR="00CA48BD" w:rsidRDefault="00E83D9C" w:rsidP="00A03A9C">
      <w:pPr>
        <w:spacing w:line="259" w:lineRule="auto"/>
        <w:jc w:val="both"/>
      </w:pPr>
      <w:r>
        <w:t xml:space="preserve">Nejvyšší státní zastupitelství ČR dlouhodobě eviduje počty ročně zahájených </w:t>
      </w:r>
      <w:proofErr w:type="spellStart"/>
      <w:r>
        <w:t>TS</w:t>
      </w:r>
      <w:proofErr w:type="spellEnd"/>
      <w:r>
        <w:t xml:space="preserve"> a podaných obžalob. Statistika odsouzení je </w:t>
      </w:r>
      <w:r w:rsidR="00D066AB">
        <w:t xml:space="preserve">dodávána </w:t>
      </w:r>
      <w:proofErr w:type="spellStart"/>
      <w:r w:rsidR="00D066AB">
        <w:t>MSČR</w:t>
      </w:r>
      <w:proofErr w:type="spellEnd"/>
      <w:r w:rsidR="00D066AB">
        <w:t>.</w:t>
      </w:r>
      <w:r>
        <w:t xml:space="preserve"> Práce tyto statistiky čerpá ze Zpráv </w:t>
      </w:r>
      <w:proofErr w:type="spellStart"/>
      <w:r>
        <w:t>MVČR</w:t>
      </w:r>
      <w:proofErr w:type="spellEnd"/>
      <w:r>
        <w:t>, ve kterých jsou každoročně zveřejňovány. Tyto statistiky bezpochyby také nejsou dokonalé a mohou se v nich vyskytovat chyby</w:t>
      </w:r>
      <w:r>
        <w:rPr>
          <w:rStyle w:val="Znakapoznpodarou"/>
        </w:rPr>
        <w:footnoteReference w:id="6"/>
      </w:r>
      <w:r>
        <w:t xml:space="preserve">, přesto je obecně lze předpokládat za kvalitní zdroj dat. </w:t>
      </w:r>
    </w:p>
    <w:p w14:paraId="54E7CFF3" w14:textId="63D442D6" w:rsidR="00E62A13" w:rsidRPr="00E62A13" w:rsidRDefault="00E62A13" w:rsidP="00A03A9C">
      <w:pPr>
        <w:spacing w:line="259" w:lineRule="auto"/>
        <w:jc w:val="both"/>
      </w:pPr>
      <w:r>
        <w:t xml:space="preserve">Ohledně metodiky nakládání s daty v práci je třeba uvést, že pro zjednodušení došlo ke zúžení zkoumaných TČ na okruh TČ </w:t>
      </w:r>
      <w:r w:rsidR="00703949">
        <w:t xml:space="preserve">podle § 352 odst. 2 a odst. 3 t.z., § 355 t.z., § 356 t.z., § 403 t.z., § 404 t.z. a § 405 t.z. </w:t>
      </w:r>
      <w:r>
        <w:t xml:space="preserve">Je na místě zdůraznit, že prostřednictvím </w:t>
      </w:r>
      <w:r w:rsidRPr="00E62A13">
        <w:rPr>
          <w:i/>
          <w:iCs/>
        </w:rPr>
        <w:t>hate speech</w:t>
      </w:r>
      <w:r>
        <w:t xml:space="preserve"> lze naplnit zejména kvalifikované skutkové podstaty některých jiných TČ – např. vraždy podle § 140 odst. 3 písm. g) t.z.</w:t>
      </w:r>
      <w:r>
        <w:rPr>
          <w:rStyle w:val="Znakapoznpodarou"/>
        </w:rPr>
        <w:footnoteReference w:id="7"/>
      </w:r>
      <w:r>
        <w:t xml:space="preserve">. S těmito případy ale vzhledem k absenci ucelené evidence a složitosti takového procesu není nakládáno. TČ </w:t>
      </w:r>
      <w:r w:rsidRPr="00E62A13">
        <w:t>Šíření díla k propagaci hnutí směřujícího k potlačení práv a svobod člověka</w:t>
      </w:r>
      <w:r>
        <w:t xml:space="preserve"> nebyl do evidence zahrnut, protože není evidován žádný případ jeho trestního stíhání, když tento TČ byl zákonodárcem schválen v reakci na rozhodnutí NS, které již bylo překonáno</w:t>
      </w:r>
      <w:r>
        <w:rPr>
          <w:rStyle w:val="Znakapoznpodarou"/>
        </w:rPr>
        <w:footnoteReference w:id="8"/>
      </w:r>
      <w:r>
        <w:t>. Existence tohoto TČ byla státními orgány označena za zbytečnou a do budoucna lze očekávat její zrušení</w:t>
      </w:r>
      <w:r>
        <w:rPr>
          <w:rStyle w:val="Znakapoznpodarou"/>
        </w:rPr>
        <w:footnoteReference w:id="9"/>
      </w:r>
      <w:r>
        <w:t xml:space="preserve">. </w:t>
      </w:r>
    </w:p>
    <w:p w14:paraId="3AF6EF15" w14:textId="737FD987" w:rsidR="00093B1B" w:rsidRDefault="00E62A13" w:rsidP="00A03A9C">
      <w:pPr>
        <w:spacing w:line="259" w:lineRule="auto"/>
        <w:jc w:val="both"/>
      </w:pPr>
      <w:r w:rsidRPr="00CE08A4">
        <w:lastRenderedPageBreak/>
        <w:t xml:space="preserve">Z praktických důvodů rovněž bylo při práci se získanými daty přistoupeno na některá zjednodušení. </w:t>
      </w:r>
      <w:r w:rsidR="00CE08A4" w:rsidRPr="00CE08A4">
        <w:t>Zaprvé došlo ke sloučení statistik za TČ Založení, podpory a propagace hnutí směřujícího k potlačení práv a svobod člověka podle § 403 a TČ Projevu sympatií k hnutí směřujícímu k potlačení práv a svobod člověka 404 t</w:t>
      </w:r>
      <w:r w:rsidR="00CE08A4">
        <w:t xml:space="preserve">.z. Statistika těchto TČ byla </w:t>
      </w:r>
      <w:r w:rsidR="00F57F68">
        <w:t>sloučena,</w:t>
      </w:r>
      <w:r w:rsidR="00CE08A4">
        <w:t xml:space="preserve"> protože se jedná o typově podobné TČ, které byly slučovány i ve zprávách </w:t>
      </w:r>
      <w:proofErr w:type="spellStart"/>
      <w:r w:rsidR="00CE08A4">
        <w:t>MVČR</w:t>
      </w:r>
      <w:proofErr w:type="spellEnd"/>
      <w:r w:rsidR="00CE08A4">
        <w:t xml:space="preserve">, zejména v dřívějších letech. </w:t>
      </w:r>
    </w:p>
    <w:p w14:paraId="30F27F15" w14:textId="4776B45A" w:rsidR="00CE08A4" w:rsidRDefault="00CE08A4" w:rsidP="00A03A9C">
      <w:pPr>
        <w:spacing w:line="259" w:lineRule="auto"/>
        <w:jc w:val="both"/>
      </w:pPr>
      <w:r w:rsidRPr="00CE08A4">
        <w:t>Stejně tak byly v letech 1998-2004 a 2014</w:t>
      </w:r>
      <w:r w:rsidR="006B5B96">
        <w:t xml:space="preserve"> (v Tabulce)</w:t>
      </w:r>
      <w:r w:rsidRPr="00CE08A4">
        <w:t xml:space="preserve"> vedeny společně statistiky odsouzení za TČ Hanobení národa, rasy, etnické nebo jiné skupiny osob podle § 355 t.z. a TČ Podněcování k nenávisti vůči skupině osob nebo k omezování jejich práv a svobod podle § 356 t.z.</w:t>
      </w:r>
      <w:r>
        <w:t xml:space="preserve"> Statistika těchto TČ je vzhledem k pozdější změně v jejich poměru vedena odděleně</w:t>
      </w:r>
      <w:r w:rsidR="006B5B96">
        <w:t xml:space="preserve">. V letech, ve kterých byla odsouzení za tyto TČ vedena společně, byla všechna tato odsouzení zahrnuta do statistiky odsouzení za TČ podle § 355 t.z. Bylo tak učiněno proto, že odsouzení za tento TČ nepochybně činila drtivou většinu odsouzení za oba TČ, když poměr odsouzení za TČ podle § 355 t.z. a podle § 366 byl v letech </w:t>
      </w:r>
      <w:r w:rsidR="006B5B96" w:rsidRPr="00CE08A4">
        <w:t>1998-2004 a 2014</w:t>
      </w:r>
      <w:r w:rsidR="006B5B96">
        <w:t xml:space="preserve"> větší než 10:1. </w:t>
      </w:r>
    </w:p>
    <w:p w14:paraId="693FF7E9" w14:textId="4A32543E" w:rsidR="006B5B96" w:rsidRDefault="006B5B96" w:rsidP="00A03A9C">
      <w:pPr>
        <w:spacing w:line="259" w:lineRule="auto"/>
        <w:jc w:val="both"/>
      </w:pPr>
      <w:r w:rsidRPr="006B5B96">
        <w:t xml:space="preserve">Možná největší potenciální nedostatek dat spočívá v neevidování poměru TČ Násilí proti skupině obyvatelů a proti jednotlivci podle § 352 </w:t>
      </w:r>
      <w:r w:rsidR="00905700">
        <w:t xml:space="preserve">odst. 2 a 3 </w:t>
      </w:r>
      <w:r w:rsidRPr="006B5B96">
        <w:t xml:space="preserve">t.z. </w:t>
      </w:r>
      <w:r>
        <w:t xml:space="preserve">spáchaných </w:t>
      </w:r>
      <w:r w:rsidR="00905700">
        <w:t>násilím</w:t>
      </w:r>
      <w:r>
        <w:t xml:space="preserve"> a</w:t>
      </w:r>
      <w:r w:rsidR="00905700">
        <w:t xml:space="preserve"> verbálně, tedy výhružkami. Stejně tak nebyl evidován poměr TČ podle § 352 odst. 3 spáchaných z pohnutky nenávistné a pohnutky jiné. Práci vzhledem k absenci této statistiky nezbylo než užít fikce, že všechny TČ podle § 352 odst. 2 i odst. 3 byly spáchány verbálně a z nenávistné pohnutky. Přestože je taková fikce zjednodušující, </w:t>
      </w:r>
      <w:r w:rsidR="00095E94">
        <w:t>některé zdroje</w:t>
      </w:r>
      <w:r w:rsidR="00905700">
        <w:t xml:space="preserve"> nasvědčují tomu, že </w:t>
      </w:r>
      <w:r w:rsidR="00F57F68">
        <w:t>výhružky násilím jsou skutečně častější než násilí samotné</w:t>
      </w:r>
      <w:r w:rsidR="00905700">
        <w:rPr>
          <w:rStyle w:val="Znakapoznpodarou"/>
        </w:rPr>
        <w:footnoteReference w:id="10"/>
      </w:r>
      <w:r w:rsidR="00905700">
        <w:t xml:space="preserve">. </w:t>
      </w:r>
    </w:p>
    <w:p w14:paraId="18763F48" w14:textId="10C2F81B" w:rsidR="007C165B" w:rsidRPr="006B5B96" w:rsidRDefault="007C165B" w:rsidP="00A03A9C">
      <w:pPr>
        <w:spacing w:line="259" w:lineRule="auto"/>
        <w:jc w:val="both"/>
      </w:pPr>
      <w:r>
        <w:t xml:space="preserve">Nepřesnosti mohou rovněž vyplývat z časových odstupů mezi zahájením trestních stíhání a pravomocných odsouzení. Ty jednak mohou trvat i několik let a dále mohou být nerovnoměrné, když </w:t>
      </w:r>
      <w:r w:rsidR="00241CDA">
        <w:t xml:space="preserve">např. </w:t>
      </w:r>
      <w:r w:rsidR="00E41948">
        <w:t>počet trestních</w:t>
      </w:r>
      <w:r w:rsidR="00241CDA">
        <w:t xml:space="preserve"> řízení ve kterých proběhlo tzv. zkrácené přípravné řízení dlouhodobě kolísá</w:t>
      </w:r>
      <w:r>
        <w:rPr>
          <w:rStyle w:val="Znakapoznpodarou"/>
        </w:rPr>
        <w:footnoteReference w:id="11"/>
      </w:r>
      <w:r>
        <w:t xml:space="preserve">. Přesné dopady těchto faktorů však není možné dovodit, a tak </w:t>
      </w:r>
      <w:r w:rsidR="00241CDA">
        <w:t>nezbývá,</w:t>
      </w:r>
      <w:r>
        <w:t xml:space="preserve"> než pracovat s daty tak jak jsou</w:t>
      </w:r>
      <w:r w:rsidR="00EF4262">
        <w:t xml:space="preserve">, tedy porovnávat statistiku odsouzení se statistikou </w:t>
      </w:r>
      <w:proofErr w:type="spellStart"/>
      <w:r w:rsidR="00EF4262">
        <w:t>TS</w:t>
      </w:r>
      <w:proofErr w:type="spellEnd"/>
      <w:r w:rsidR="00EF4262">
        <w:t xml:space="preserve"> ačkoli je oproti ní do určité míry zpožděná. </w:t>
      </w:r>
    </w:p>
    <w:p w14:paraId="5ABC12C3" w14:textId="150F841E" w:rsidR="00C7737B" w:rsidRPr="00BF624E" w:rsidRDefault="00095E94" w:rsidP="00A03A9C">
      <w:pPr>
        <w:spacing w:line="259" w:lineRule="auto"/>
        <w:jc w:val="both"/>
      </w:pPr>
      <w:r w:rsidRPr="00095E94">
        <w:t>Pro úplnost je třeba rovněž zmínit, že TČ § 403 t.z.</w:t>
      </w:r>
      <w:r>
        <w:t xml:space="preserve"> a § 404 t.z. je možné spáchat i z jiné než diskriminační pohnutky. Typicky může být spáchán s pohnutkou zisku – např. nakladatelem který vydá dílo propagující hnutí směřující </w:t>
      </w:r>
      <w:r w:rsidRPr="00095E94">
        <w:t>k potlačení práv a svobod člověka</w:t>
      </w:r>
      <w:r>
        <w:t xml:space="preserve">. Z dostupných informací není jasné, zda jsou takové případy do evidence nenávistných TČ zahrnuty. Takové případy ale pravděpodobně představují spíše menšinu celkově spáchaných nenávistných TČ. </w:t>
      </w:r>
    </w:p>
    <w:sectPr w:rsidR="00C7737B" w:rsidRPr="00BF624E" w:rsidSect="00B8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BB76E" w14:textId="77777777" w:rsidR="00912C5B" w:rsidRDefault="00912C5B" w:rsidP="0081778B">
      <w:pPr>
        <w:spacing w:after="0" w:line="240" w:lineRule="auto"/>
      </w:pPr>
      <w:r>
        <w:separator/>
      </w:r>
    </w:p>
  </w:endnote>
  <w:endnote w:type="continuationSeparator" w:id="0">
    <w:p w14:paraId="139DBBB7" w14:textId="77777777" w:rsidR="00912C5B" w:rsidRDefault="00912C5B" w:rsidP="0081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C20BA" w14:textId="77777777" w:rsidR="00912C5B" w:rsidRDefault="00912C5B" w:rsidP="0081778B">
      <w:pPr>
        <w:spacing w:after="0" w:line="240" w:lineRule="auto"/>
      </w:pPr>
      <w:r>
        <w:separator/>
      </w:r>
    </w:p>
  </w:footnote>
  <w:footnote w:type="continuationSeparator" w:id="0">
    <w:p w14:paraId="6767828A" w14:textId="77777777" w:rsidR="00912C5B" w:rsidRDefault="00912C5B" w:rsidP="0081778B">
      <w:pPr>
        <w:spacing w:after="0" w:line="240" w:lineRule="auto"/>
      </w:pPr>
      <w:r>
        <w:continuationSeparator/>
      </w:r>
    </w:p>
  </w:footnote>
  <w:footnote w:id="1">
    <w:p w14:paraId="2B9639F3" w14:textId="01447259" w:rsidR="00A6409C" w:rsidRDefault="00A6409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6A76FC">
        <w:t>MINISTERSTVO VNITRA</w:t>
      </w:r>
      <w:r w:rsidR="006A76FC" w:rsidRPr="00B817ED">
        <w:t xml:space="preserve"> ČR. </w:t>
      </w:r>
      <w:r w:rsidR="006A76FC" w:rsidRPr="00777DA3">
        <w:rPr>
          <w:i/>
          <w:iCs/>
        </w:rPr>
        <w:t>Extremismus – Zpráva o postupu státních orgánů při postihu trestných činů motivovaných rasismem a xenofobií</w:t>
      </w:r>
      <w:r w:rsidR="006A76FC" w:rsidRPr="00B817ED">
        <w:t xml:space="preserve">. Online.  Praha: </w:t>
      </w:r>
      <w:proofErr w:type="spellStart"/>
      <w:r w:rsidR="006A76FC" w:rsidRPr="00B817ED">
        <w:t>MVČR</w:t>
      </w:r>
      <w:proofErr w:type="spellEnd"/>
      <w:r w:rsidR="006A76FC" w:rsidRPr="00B817ED">
        <w:t xml:space="preserve">, </w:t>
      </w:r>
      <w:r w:rsidR="006A76FC">
        <w:t>1997</w:t>
      </w:r>
      <w:r w:rsidR="00862C20">
        <w:t>, kapitola 4.4</w:t>
      </w:r>
    </w:p>
  </w:footnote>
  <w:footnote w:id="2">
    <w:p w14:paraId="1CD38EB1" w14:textId="2AE1B1AB" w:rsidR="00A6409C" w:rsidRDefault="00A6409C" w:rsidP="00A03A9C">
      <w:pPr>
        <w:pStyle w:val="Textpoznpodarou"/>
      </w:pPr>
      <w:r w:rsidRPr="00A03A9C">
        <w:rPr>
          <w:rStyle w:val="Znakapoznpodarou"/>
        </w:rPr>
        <w:footnoteRef/>
      </w:r>
      <w:r w:rsidRPr="00A03A9C">
        <w:rPr>
          <w:rStyle w:val="Znakapoznpodarou"/>
        </w:rPr>
        <w:t xml:space="preserve"> </w:t>
      </w:r>
      <w:r w:rsidR="00A03A9C" w:rsidRPr="00A03A9C">
        <w:rPr>
          <w:i/>
          <w:iCs/>
        </w:rPr>
        <w:t xml:space="preserve">MINISTERSTVO VNITRA ČR, ODBOR BEZPEČNOSTNÍ POLITIKY. Informace o problematice extremismu na území České republiky v roce 2006. Online.  Praha: </w:t>
      </w:r>
      <w:proofErr w:type="spellStart"/>
      <w:r w:rsidR="00A03A9C" w:rsidRPr="00A03A9C">
        <w:rPr>
          <w:i/>
          <w:iCs/>
        </w:rPr>
        <w:t>MVČR</w:t>
      </w:r>
      <w:proofErr w:type="spellEnd"/>
      <w:r w:rsidR="00A03A9C" w:rsidRPr="00A03A9C">
        <w:rPr>
          <w:i/>
          <w:iCs/>
        </w:rPr>
        <w:t>, 2007</w:t>
      </w:r>
      <w:r w:rsidR="008B4826" w:rsidRPr="00A03A9C">
        <w:rPr>
          <w:i/>
          <w:iCs/>
        </w:rPr>
        <w:t>, s. 41-42</w:t>
      </w:r>
    </w:p>
  </w:footnote>
  <w:footnote w:id="3">
    <w:p w14:paraId="0EF26D2D" w14:textId="19EFCF29" w:rsidR="0081778B" w:rsidRPr="00A03A9C" w:rsidRDefault="0081778B" w:rsidP="00A03A9C">
      <w:pPr>
        <w:spacing w:line="240" w:lineRule="auto"/>
        <w:jc w:val="both"/>
      </w:pPr>
      <w:r w:rsidRPr="008B4826">
        <w:rPr>
          <w:rStyle w:val="Znakapoznpodarou"/>
        </w:rPr>
        <w:footnoteRef/>
      </w:r>
      <w:r w:rsidR="008B4826">
        <w:t>„</w:t>
      </w:r>
      <w:r w:rsidRPr="00A03A9C">
        <w:rPr>
          <w:i/>
          <w:iCs/>
          <w:sz w:val="20"/>
          <w:szCs w:val="20"/>
        </w:rPr>
        <w:t xml:space="preserve">Podle vyhodnocení Agentury EU pro lidská práva (EU </w:t>
      </w:r>
      <w:proofErr w:type="spellStart"/>
      <w:r w:rsidRPr="00A03A9C">
        <w:rPr>
          <w:i/>
          <w:iCs/>
          <w:sz w:val="20"/>
          <w:szCs w:val="20"/>
        </w:rPr>
        <w:t>Fundamental</w:t>
      </w:r>
      <w:proofErr w:type="spellEnd"/>
      <w:r w:rsidRPr="00A03A9C">
        <w:rPr>
          <w:i/>
          <w:iCs/>
          <w:sz w:val="20"/>
          <w:szCs w:val="20"/>
        </w:rPr>
        <w:t xml:space="preserve"> </w:t>
      </w:r>
      <w:proofErr w:type="spellStart"/>
      <w:r w:rsidRPr="00A03A9C">
        <w:rPr>
          <w:i/>
          <w:iCs/>
          <w:sz w:val="20"/>
          <w:szCs w:val="20"/>
        </w:rPr>
        <w:t>Rights</w:t>
      </w:r>
      <w:proofErr w:type="spellEnd"/>
      <w:r w:rsidRPr="00A03A9C">
        <w:rPr>
          <w:i/>
          <w:iCs/>
          <w:sz w:val="20"/>
          <w:szCs w:val="20"/>
        </w:rPr>
        <w:t xml:space="preserve"> </w:t>
      </w:r>
      <w:proofErr w:type="spellStart"/>
      <w:r w:rsidRPr="00A03A9C">
        <w:rPr>
          <w:i/>
          <w:iCs/>
          <w:sz w:val="20"/>
          <w:szCs w:val="20"/>
        </w:rPr>
        <w:t>Agency</w:t>
      </w:r>
      <w:proofErr w:type="spellEnd"/>
      <w:r w:rsidRPr="00A03A9C">
        <w:rPr>
          <w:i/>
          <w:iCs/>
          <w:sz w:val="20"/>
          <w:szCs w:val="20"/>
        </w:rPr>
        <w:t xml:space="preserve"> – </w:t>
      </w:r>
      <w:proofErr w:type="spellStart"/>
      <w:r w:rsidRPr="00A03A9C">
        <w:rPr>
          <w:i/>
          <w:iCs/>
          <w:sz w:val="20"/>
          <w:szCs w:val="20"/>
        </w:rPr>
        <w:t>FRA</w:t>
      </w:r>
      <w:proofErr w:type="spellEnd"/>
      <w:r w:rsidRPr="00A03A9C">
        <w:rPr>
          <w:i/>
          <w:iCs/>
          <w:sz w:val="20"/>
          <w:szCs w:val="20"/>
        </w:rPr>
        <w:t>), která je nástupnickou organizací Evropského monitorovacího střediska rasismu a xenofobie (</w:t>
      </w:r>
      <w:proofErr w:type="spellStart"/>
      <w:r w:rsidRPr="00A03A9C">
        <w:rPr>
          <w:i/>
          <w:iCs/>
          <w:sz w:val="20"/>
          <w:szCs w:val="20"/>
        </w:rPr>
        <w:t>EUMC</w:t>
      </w:r>
      <w:proofErr w:type="spellEnd"/>
      <w:r w:rsidRPr="00A03A9C">
        <w:rPr>
          <w:i/>
          <w:iCs/>
          <w:sz w:val="20"/>
          <w:szCs w:val="20"/>
        </w:rPr>
        <w:t>) patřila ČR nadále mezi ty unijní státy, jejichž mechanismus sběru dat pro evidenci rasistických a jinak xenofobiích incidentů byl hodnocen jako dobrý</w:t>
      </w:r>
      <w:r w:rsidR="00A03A9C">
        <w:rPr>
          <w:sz w:val="20"/>
          <w:szCs w:val="20"/>
        </w:rPr>
        <w:t xml:space="preserve">“ </w:t>
      </w:r>
      <w:r w:rsidR="00A03A9C" w:rsidRPr="00A03A9C">
        <w:rPr>
          <w:sz w:val="20"/>
          <w:szCs w:val="20"/>
        </w:rPr>
        <w:t>(MINISTERSTVO VNITRA ČR, ODBOR BEZPEČNOSTNÍ POLITIKY.</w:t>
      </w:r>
      <w:r w:rsidR="00A03A9C" w:rsidRPr="00A03A9C">
        <w:rPr>
          <w:i/>
          <w:iCs/>
          <w:sz w:val="20"/>
          <w:szCs w:val="20"/>
        </w:rPr>
        <w:t xml:space="preserve"> Informace o problematice extremismu na území České republiky v roce 2007</w:t>
      </w:r>
      <w:r w:rsidR="00A03A9C" w:rsidRPr="00A03A9C">
        <w:rPr>
          <w:sz w:val="20"/>
          <w:szCs w:val="20"/>
        </w:rPr>
        <w:t xml:space="preserve">. Online.  Praha: </w:t>
      </w:r>
      <w:proofErr w:type="spellStart"/>
      <w:r w:rsidR="00A03A9C" w:rsidRPr="00A03A9C">
        <w:rPr>
          <w:sz w:val="20"/>
          <w:szCs w:val="20"/>
        </w:rPr>
        <w:t>MVČR</w:t>
      </w:r>
      <w:proofErr w:type="spellEnd"/>
      <w:r w:rsidR="00A03A9C" w:rsidRPr="00A03A9C">
        <w:rPr>
          <w:sz w:val="20"/>
          <w:szCs w:val="20"/>
        </w:rPr>
        <w:t>, 2008</w:t>
      </w:r>
      <w:r w:rsidRPr="00A03A9C">
        <w:rPr>
          <w:sz w:val="20"/>
          <w:szCs w:val="20"/>
        </w:rPr>
        <w:t xml:space="preserve">, s. </w:t>
      </w:r>
      <w:r w:rsidR="008B4826" w:rsidRPr="00A03A9C">
        <w:rPr>
          <w:sz w:val="20"/>
          <w:szCs w:val="20"/>
        </w:rPr>
        <w:t>48</w:t>
      </w:r>
      <w:r w:rsidR="00A6409C" w:rsidRPr="00A03A9C">
        <w:rPr>
          <w:sz w:val="20"/>
          <w:szCs w:val="20"/>
        </w:rPr>
        <w:t>)</w:t>
      </w:r>
    </w:p>
  </w:footnote>
  <w:footnote w:id="4">
    <w:p w14:paraId="1BDEF3CA" w14:textId="102CE18C" w:rsidR="00A6409C" w:rsidRDefault="00A6409C" w:rsidP="00CD4EE3">
      <w:pPr>
        <w:pStyle w:val="Textpoznpodarou"/>
      </w:pPr>
      <w:r w:rsidRPr="00CD4EE3">
        <w:rPr>
          <w:rStyle w:val="Znakapoznpodarou"/>
        </w:rPr>
        <w:footnoteRef/>
      </w:r>
      <w:r w:rsidRPr="00CD4EE3">
        <w:t xml:space="preserve"> </w:t>
      </w:r>
      <w:r w:rsidR="00703949" w:rsidRPr="00CD4EE3">
        <w:t xml:space="preserve">srov. </w:t>
      </w:r>
      <w:r w:rsidRPr="00CD4EE3">
        <w:t>„</w:t>
      </w:r>
      <w:r w:rsidRPr="00CD4EE3">
        <w:rPr>
          <w:i/>
          <w:iCs/>
        </w:rPr>
        <w:t>Nárůst počtu trestných činů s rasovým podtextem v r. 2009 však nemusí být signálem obratu v kvantitě těchto deliktů. Z hlediska Ministerstva spravedlnosti se jedná o relativně malý soubor dat, na jehož základě nelze stanovit vývojový trend, na tendenci by mohlo být usuzováno až po více letech. Navíc není možné přehlédnout fakt, že učinění závěru o tom, zda bude určitý delikt považován za delikt s rasovým podtextem, závisí na individuálních úvahách soudce v konkrétních případech, kdy jsou posuzovány někdy značně odlišné okolnosti případu</w:t>
      </w:r>
      <w:r w:rsidRPr="00CD4EE3">
        <w:t>.“ (</w:t>
      </w:r>
      <w:r w:rsidR="00CD4EE3" w:rsidRPr="00CD4EE3">
        <w:t xml:space="preserve">MINISTERSTVO VNITRA ČR, ODBOR BEZPEČNOSTNÍ POLITIKY. </w:t>
      </w:r>
      <w:r w:rsidR="00CD4EE3" w:rsidRPr="00CD4EE3">
        <w:rPr>
          <w:i/>
          <w:iCs/>
        </w:rPr>
        <w:t xml:space="preserve">Strategie boje proti extremismu v </w:t>
      </w:r>
      <w:proofErr w:type="spellStart"/>
      <w:r w:rsidR="00CD4EE3" w:rsidRPr="00CD4EE3">
        <w:rPr>
          <w:i/>
          <w:iCs/>
        </w:rPr>
        <w:t>roce</w:t>
      </w:r>
      <w:proofErr w:type="spellEnd"/>
      <w:r w:rsidR="00CD4EE3" w:rsidRPr="00CD4EE3">
        <w:rPr>
          <w:i/>
          <w:iCs/>
        </w:rPr>
        <w:t xml:space="preserve"> 2009</w:t>
      </w:r>
      <w:r w:rsidR="00CD4EE3" w:rsidRPr="00CD4EE3">
        <w:t xml:space="preserve">. Online.  Praha: </w:t>
      </w:r>
      <w:proofErr w:type="spellStart"/>
      <w:r w:rsidR="00CD4EE3" w:rsidRPr="00CD4EE3">
        <w:t>MVČR</w:t>
      </w:r>
      <w:proofErr w:type="spellEnd"/>
      <w:r w:rsidR="00CD4EE3" w:rsidRPr="00CD4EE3">
        <w:t>, 2010</w:t>
      </w:r>
      <w:r w:rsidRPr="00CD4EE3">
        <w:t>, s. 30)</w:t>
      </w:r>
    </w:p>
  </w:footnote>
  <w:footnote w:id="5">
    <w:p w14:paraId="1F796E6A" w14:textId="33769419" w:rsidR="00CA48BD" w:rsidRDefault="00CA48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A03A9C">
        <w:t>MINISTERSTVO VNITRA</w:t>
      </w:r>
      <w:r w:rsidR="00A03A9C" w:rsidRPr="00FC2FE6">
        <w:t xml:space="preserve"> ČR, </w:t>
      </w:r>
      <w:r w:rsidR="00A03A9C">
        <w:t>ODBOR BEZPEČNOSTNÍ POLITIKY</w:t>
      </w:r>
      <w:r w:rsidR="00A03A9C" w:rsidRPr="00FC2FE6">
        <w:t xml:space="preserve">. </w:t>
      </w:r>
      <w:r w:rsidR="00A03A9C" w:rsidRPr="00FC2FE6">
        <w:rPr>
          <w:i/>
          <w:iCs/>
        </w:rPr>
        <w:t>Zpráva o extremismu na území České republiky v roce 20</w:t>
      </w:r>
      <w:r w:rsidR="00A03A9C">
        <w:rPr>
          <w:i/>
          <w:iCs/>
        </w:rPr>
        <w:t>17</w:t>
      </w:r>
      <w:r w:rsidR="00A03A9C" w:rsidRPr="00FC2FE6">
        <w:t xml:space="preserve">. Online.  Praha: </w:t>
      </w:r>
      <w:proofErr w:type="spellStart"/>
      <w:r w:rsidR="00A03A9C" w:rsidRPr="00FC2FE6">
        <w:t>MVČR</w:t>
      </w:r>
      <w:proofErr w:type="spellEnd"/>
      <w:r w:rsidR="00A03A9C" w:rsidRPr="00FC2FE6">
        <w:t>, 20</w:t>
      </w:r>
      <w:r w:rsidR="00A03A9C">
        <w:t>18</w:t>
      </w:r>
      <w:r w:rsidRPr="001B1704">
        <w:t>, s. 21</w:t>
      </w:r>
    </w:p>
  </w:footnote>
  <w:footnote w:id="6">
    <w:p w14:paraId="26EF6690" w14:textId="4E515288" w:rsidR="00E83D9C" w:rsidRDefault="00E83D9C" w:rsidP="00703949">
      <w:pPr>
        <w:spacing w:after="0" w:line="259" w:lineRule="auto"/>
      </w:pPr>
      <w:r>
        <w:rPr>
          <w:rStyle w:val="Znakapoznpodarou"/>
        </w:rPr>
        <w:footnoteRef/>
      </w:r>
      <w:r>
        <w:t xml:space="preserve"> </w:t>
      </w:r>
      <w:r w:rsidRPr="00703949">
        <w:rPr>
          <w:sz w:val="20"/>
          <w:szCs w:val="20"/>
        </w:rPr>
        <w:t xml:space="preserve">vykazování </w:t>
      </w:r>
      <w:r w:rsidR="00543406">
        <w:rPr>
          <w:sz w:val="20"/>
          <w:szCs w:val="20"/>
        </w:rPr>
        <w:t>TČ</w:t>
      </w:r>
      <w:r w:rsidRPr="00703949">
        <w:rPr>
          <w:sz w:val="20"/>
          <w:szCs w:val="20"/>
        </w:rPr>
        <w:t xml:space="preserve"> </w:t>
      </w:r>
      <w:r w:rsidR="00543406">
        <w:rPr>
          <w:sz w:val="20"/>
          <w:szCs w:val="20"/>
        </w:rPr>
        <w:t>závisí</w:t>
      </w:r>
      <w:r w:rsidRPr="00703949">
        <w:rPr>
          <w:sz w:val="20"/>
          <w:szCs w:val="20"/>
        </w:rPr>
        <w:t xml:space="preserve"> na rozhodnutí </w:t>
      </w:r>
      <w:r w:rsidR="00543406">
        <w:rPr>
          <w:sz w:val="20"/>
          <w:szCs w:val="20"/>
        </w:rPr>
        <w:t>konkrétní osoby</w:t>
      </w:r>
      <w:r w:rsidR="00A03A9C">
        <w:rPr>
          <w:sz w:val="20"/>
          <w:szCs w:val="20"/>
        </w:rPr>
        <w:t xml:space="preserve"> -</w:t>
      </w:r>
      <w:r w:rsidR="00543406">
        <w:rPr>
          <w:sz w:val="20"/>
          <w:szCs w:val="20"/>
        </w:rPr>
        <w:t xml:space="preserve"> srov. např. </w:t>
      </w:r>
      <w:bookmarkStart w:id="0" w:name="_Hlk182578028"/>
      <w:r w:rsidR="00A03A9C" w:rsidRPr="00A03A9C">
        <w:rPr>
          <w:sz w:val="20"/>
          <w:szCs w:val="20"/>
        </w:rPr>
        <w:t>MINISTERSTVO VNITRA ČR, ODBOR BEZPEČNOSTNÍ POLITIKY.</w:t>
      </w:r>
      <w:r w:rsidR="00A03A9C" w:rsidRPr="00A03A9C">
        <w:rPr>
          <w:i/>
          <w:iCs/>
          <w:sz w:val="20"/>
          <w:szCs w:val="20"/>
        </w:rPr>
        <w:t xml:space="preserve"> Informace o problematice extremismu na území České republiky v roce 200</w:t>
      </w:r>
      <w:r w:rsidR="00A03A9C">
        <w:rPr>
          <w:i/>
          <w:iCs/>
          <w:sz w:val="20"/>
          <w:szCs w:val="20"/>
        </w:rPr>
        <w:t>5</w:t>
      </w:r>
      <w:r w:rsidR="00A03A9C" w:rsidRPr="00A03A9C">
        <w:rPr>
          <w:sz w:val="20"/>
          <w:szCs w:val="20"/>
        </w:rPr>
        <w:t xml:space="preserve">. Online.  Praha: </w:t>
      </w:r>
      <w:proofErr w:type="spellStart"/>
      <w:r w:rsidR="00A03A9C" w:rsidRPr="00A03A9C">
        <w:rPr>
          <w:sz w:val="20"/>
          <w:szCs w:val="20"/>
        </w:rPr>
        <w:t>MVČR</w:t>
      </w:r>
      <w:proofErr w:type="spellEnd"/>
      <w:r w:rsidR="00A03A9C" w:rsidRPr="00A03A9C">
        <w:rPr>
          <w:sz w:val="20"/>
          <w:szCs w:val="20"/>
        </w:rPr>
        <w:t>, 200</w:t>
      </w:r>
      <w:r w:rsidR="00A03A9C">
        <w:rPr>
          <w:sz w:val="20"/>
          <w:szCs w:val="20"/>
        </w:rPr>
        <w:t>6</w:t>
      </w:r>
      <w:bookmarkEnd w:id="0"/>
      <w:r w:rsidRPr="00703949">
        <w:rPr>
          <w:sz w:val="20"/>
          <w:szCs w:val="20"/>
        </w:rPr>
        <w:t>, s. 31</w:t>
      </w:r>
    </w:p>
  </w:footnote>
  <w:footnote w:id="7">
    <w:p w14:paraId="2DA38AF4" w14:textId="1C888806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Celý výčet viz pozn. č. </w:t>
      </w:r>
      <w:r w:rsidR="00543406">
        <w:t>44 práce</w:t>
      </w:r>
    </w:p>
  </w:footnote>
  <w:footnote w:id="8">
    <w:p w14:paraId="12D56185" w14:textId="0B709F7F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57F68">
        <w:t xml:space="preserve">srov. </w:t>
      </w:r>
      <w:r w:rsidR="00F57F68" w:rsidRPr="00F57F68">
        <w:t xml:space="preserve">usnesení </w:t>
      </w:r>
      <w:bookmarkStart w:id="1" w:name="_Hlk182578055"/>
      <w:r w:rsidR="00F57F68" w:rsidRPr="00F57F68">
        <w:t>Nejvyššího soudu sp. zn. 3 Tdo 982/2022</w:t>
      </w:r>
      <w:r w:rsidR="00F57F68">
        <w:t xml:space="preserve"> </w:t>
      </w:r>
      <w:r w:rsidR="00F57F68" w:rsidRPr="00F57F68">
        <w:t>ze dne 22. 11. 2022</w:t>
      </w:r>
      <w:bookmarkEnd w:id="1"/>
    </w:p>
  </w:footnote>
  <w:footnote w:id="9">
    <w:p w14:paraId="526A8E83" w14:textId="1E296252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A03A9C">
        <w:t>MINISTERSTVO VNITRA</w:t>
      </w:r>
      <w:r w:rsidR="00A03A9C" w:rsidRPr="00FC2FE6">
        <w:t xml:space="preserve"> ČR, </w:t>
      </w:r>
      <w:r w:rsidR="00A03A9C">
        <w:t>ODBOR BEZPEČNOSTNÍ POLITIKY</w:t>
      </w:r>
      <w:r w:rsidR="00A03A9C" w:rsidRPr="00FC2FE6">
        <w:t xml:space="preserve">. </w:t>
      </w:r>
      <w:r w:rsidR="00A03A9C" w:rsidRPr="00FC2FE6">
        <w:rPr>
          <w:i/>
          <w:iCs/>
        </w:rPr>
        <w:t>Zpráva o extremismu a předsudečné nenávisti na území České republiky v roce 2023</w:t>
      </w:r>
      <w:r w:rsidR="00A03A9C" w:rsidRPr="00FC2FE6">
        <w:t xml:space="preserve">. Online.  Praha: </w:t>
      </w:r>
      <w:proofErr w:type="spellStart"/>
      <w:r w:rsidR="00A03A9C" w:rsidRPr="00FC2FE6">
        <w:t>MVČR</w:t>
      </w:r>
      <w:proofErr w:type="spellEnd"/>
      <w:r w:rsidR="00A03A9C" w:rsidRPr="00FC2FE6">
        <w:t>, 2024</w:t>
      </w:r>
      <w:r w:rsidR="00F57F68">
        <w:t>, s. 18</w:t>
      </w:r>
    </w:p>
  </w:footnote>
  <w:footnote w:id="10">
    <w:p w14:paraId="0DD58FF0" w14:textId="3D0D02CB" w:rsidR="00905700" w:rsidRDefault="00905700">
      <w:pPr>
        <w:pStyle w:val="Textpoznpodarou"/>
      </w:pPr>
      <w:r>
        <w:rPr>
          <w:rStyle w:val="Znakapoznpodarou"/>
        </w:rPr>
        <w:footnoteRef/>
      </w:r>
      <w:r w:rsidR="00F57F68">
        <w:t xml:space="preserve"> </w:t>
      </w:r>
      <w:bookmarkStart w:id="2" w:name="_Hlk182578112"/>
      <w:r w:rsidR="00C7737B" w:rsidRPr="00C7737B">
        <w:t xml:space="preserve">WALACH, </w:t>
      </w:r>
      <w:r w:rsidR="00C7737B">
        <w:t>V.</w:t>
      </w:r>
      <w:r w:rsidR="00C7737B" w:rsidRPr="00C7737B">
        <w:t xml:space="preserve">, </w:t>
      </w:r>
      <w:proofErr w:type="spellStart"/>
      <w:r w:rsidR="00C7737B" w:rsidRPr="00C7737B">
        <w:t>PETRUŽELKA</w:t>
      </w:r>
      <w:proofErr w:type="spellEnd"/>
      <w:r w:rsidR="00C7737B">
        <w:t xml:space="preserve">, B., </w:t>
      </w:r>
      <w:proofErr w:type="spellStart"/>
      <w:r w:rsidR="00C7737B" w:rsidRPr="00C7737B">
        <w:t>KALIBOVÁ</w:t>
      </w:r>
      <w:proofErr w:type="spellEnd"/>
      <w:r w:rsidR="00C7737B">
        <w:t>, K</w:t>
      </w:r>
      <w:r w:rsidR="00C7737B" w:rsidRPr="00C7737B">
        <w:t xml:space="preserve">. </w:t>
      </w:r>
      <w:r w:rsidR="00C7737B" w:rsidRPr="00C7737B">
        <w:rPr>
          <w:i/>
          <w:iCs/>
        </w:rPr>
        <w:t xml:space="preserve">Zkušenosti lidí se zdravotním postižením s násilím a předsudečným násilím: </w:t>
      </w:r>
      <w:proofErr w:type="spellStart"/>
      <w:r w:rsidR="00C7737B" w:rsidRPr="00C7737B">
        <w:rPr>
          <w:i/>
          <w:iCs/>
        </w:rPr>
        <w:t>Factsheet</w:t>
      </w:r>
      <w:proofErr w:type="spellEnd"/>
      <w:r w:rsidR="00C7737B" w:rsidRPr="00C7737B">
        <w:rPr>
          <w:i/>
          <w:iCs/>
        </w:rPr>
        <w:t xml:space="preserve"> z kvantitativního výzkumu</w:t>
      </w:r>
      <w:r w:rsidR="00C7737B" w:rsidRPr="00C7737B">
        <w:t xml:space="preserve">. </w:t>
      </w:r>
      <w:r w:rsidR="00C7737B">
        <w:t xml:space="preserve">Online. </w:t>
      </w:r>
      <w:r w:rsidR="00C7737B" w:rsidRPr="00C7737B">
        <w:t xml:space="preserve">Upravená verze k 8. 2. 2023. In </w:t>
      </w:r>
      <w:proofErr w:type="spellStart"/>
      <w:r w:rsidR="00C7737B" w:rsidRPr="00C7737B">
        <w:t>IUSTITIA</w:t>
      </w:r>
      <w:proofErr w:type="spellEnd"/>
      <w:r w:rsidR="00C7737B" w:rsidRPr="00C7737B">
        <w:t xml:space="preserve">, 2023. Dostupné </w:t>
      </w:r>
      <w:r w:rsidR="00C7737B">
        <w:t xml:space="preserve">na: </w:t>
      </w:r>
      <w:hyperlink r:id="rId1" w:tgtFrame="_new" w:history="1">
        <w:r w:rsidR="00C7737B" w:rsidRPr="00C7737B">
          <w:t>https://</w:t>
        </w:r>
        <w:proofErr w:type="spellStart"/>
        <w:r w:rsidR="00C7737B" w:rsidRPr="00C7737B">
          <w:t>www.pravemprotipredsudkum.cz</w:t>
        </w:r>
        <w:proofErr w:type="spellEnd"/>
      </w:hyperlink>
      <w:r w:rsidR="00C7737B" w:rsidRPr="00C7737B">
        <w:t>.</w:t>
      </w:r>
      <w:r w:rsidR="00C7737B">
        <w:t xml:space="preserve"> </w:t>
      </w:r>
      <w:r w:rsidR="00C7737B">
        <w:rPr>
          <w:lang w:val="en-GB"/>
        </w:rPr>
        <w:t>[cit. 24-11-15]</w:t>
      </w:r>
      <w:bookmarkEnd w:id="2"/>
      <w:r w:rsidR="00B66339">
        <w:t xml:space="preserve">, </w:t>
      </w:r>
      <w:proofErr w:type="spellStart"/>
      <w:r w:rsidR="00B66339">
        <w:t>s.5</w:t>
      </w:r>
      <w:proofErr w:type="spellEnd"/>
    </w:p>
  </w:footnote>
  <w:footnote w:id="11">
    <w:p w14:paraId="7BF6EF24" w14:textId="76314A2F" w:rsidR="007C165B" w:rsidRDefault="007C165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241CDA">
        <w:t xml:space="preserve">srov. např. </w:t>
      </w:r>
      <w:r w:rsidR="00A03A9C">
        <w:t>MINISTERSTVO VNITRA</w:t>
      </w:r>
      <w:r w:rsidR="00A03A9C" w:rsidRPr="00FC2FE6">
        <w:t xml:space="preserve"> ČR, </w:t>
      </w:r>
      <w:r w:rsidR="00A03A9C">
        <w:t>ODBOR BEZPEČNOSTNÍ POLITIKY</w:t>
      </w:r>
      <w:r w:rsidR="00A03A9C" w:rsidRPr="00FC2FE6">
        <w:t xml:space="preserve">. </w:t>
      </w:r>
      <w:r w:rsidR="00A03A9C" w:rsidRPr="00FC2FE6">
        <w:rPr>
          <w:i/>
          <w:iCs/>
        </w:rPr>
        <w:t>Zpráva o extremismu a předsudečné nenávisti na území České republiky v roce 2023</w:t>
      </w:r>
      <w:r w:rsidR="00A03A9C" w:rsidRPr="00FC2FE6">
        <w:t xml:space="preserve">. Online.  Praha: </w:t>
      </w:r>
      <w:proofErr w:type="spellStart"/>
      <w:r w:rsidR="00A03A9C" w:rsidRPr="00FC2FE6">
        <w:t>MVČR</w:t>
      </w:r>
      <w:proofErr w:type="spellEnd"/>
      <w:r w:rsidR="00A03A9C" w:rsidRPr="00FC2FE6">
        <w:t>, 2024</w:t>
      </w:r>
      <w:r w:rsidR="00241CDA">
        <w:t>, s. 27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87B"/>
    <w:multiLevelType w:val="hybridMultilevel"/>
    <w:tmpl w:val="B32C405A"/>
    <w:lvl w:ilvl="0" w:tplc="9C80555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15347"/>
    <w:multiLevelType w:val="hybridMultilevel"/>
    <w:tmpl w:val="54E2B93E"/>
    <w:lvl w:ilvl="0" w:tplc="DA047B3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3712C"/>
    <w:multiLevelType w:val="hybridMultilevel"/>
    <w:tmpl w:val="188AB140"/>
    <w:lvl w:ilvl="0" w:tplc="0E7271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4575"/>
    <w:multiLevelType w:val="hybridMultilevel"/>
    <w:tmpl w:val="C96CEF40"/>
    <w:lvl w:ilvl="0" w:tplc="B0C4EE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358D8"/>
    <w:multiLevelType w:val="hybridMultilevel"/>
    <w:tmpl w:val="4A16A684"/>
    <w:lvl w:ilvl="0" w:tplc="A57050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B6617"/>
    <w:multiLevelType w:val="hybridMultilevel"/>
    <w:tmpl w:val="485A0914"/>
    <w:lvl w:ilvl="0" w:tplc="504E2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0142">
    <w:abstractNumId w:val="1"/>
  </w:num>
  <w:num w:numId="2" w16cid:durableId="1018889289">
    <w:abstractNumId w:val="2"/>
  </w:num>
  <w:num w:numId="3" w16cid:durableId="1427656063">
    <w:abstractNumId w:val="3"/>
  </w:num>
  <w:num w:numId="4" w16cid:durableId="1418865293">
    <w:abstractNumId w:val="5"/>
  </w:num>
  <w:num w:numId="5" w16cid:durableId="1897006472">
    <w:abstractNumId w:val="4"/>
  </w:num>
  <w:num w:numId="6" w16cid:durableId="4768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D1"/>
    <w:rsid w:val="0002432E"/>
    <w:rsid w:val="000252C2"/>
    <w:rsid w:val="00037CE9"/>
    <w:rsid w:val="00093B1B"/>
    <w:rsid w:val="00095E94"/>
    <w:rsid w:val="000C39A5"/>
    <w:rsid w:val="000D7CE5"/>
    <w:rsid w:val="00192101"/>
    <w:rsid w:val="001B1704"/>
    <w:rsid w:val="00241CDA"/>
    <w:rsid w:val="002678B0"/>
    <w:rsid w:val="00274B7A"/>
    <w:rsid w:val="00296FF0"/>
    <w:rsid w:val="002A15FE"/>
    <w:rsid w:val="003950D0"/>
    <w:rsid w:val="003F7B34"/>
    <w:rsid w:val="004B2597"/>
    <w:rsid w:val="004E5E35"/>
    <w:rsid w:val="00543406"/>
    <w:rsid w:val="0056744C"/>
    <w:rsid w:val="0060165D"/>
    <w:rsid w:val="00625673"/>
    <w:rsid w:val="00661488"/>
    <w:rsid w:val="006A76FC"/>
    <w:rsid w:val="006B5B96"/>
    <w:rsid w:val="006B6EE2"/>
    <w:rsid w:val="006C543D"/>
    <w:rsid w:val="007037D4"/>
    <w:rsid w:val="00703949"/>
    <w:rsid w:val="00745CAC"/>
    <w:rsid w:val="0077378C"/>
    <w:rsid w:val="0078543B"/>
    <w:rsid w:val="00794975"/>
    <w:rsid w:val="007C165B"/>
    <w:rsid w:val="00816489"/>
    <w:rsid w:val="0081778B"/>
    <w:rsid w:val="008307AC"/>
    <w:rsid w:val="00862C20"/>
    <w:rsid w:val="008B4826"/>
    <w:rsid w:val="00905700"/>
    <w:rsid w:val="00907D47"/>
    <w:rsid w:val="00912C5B"/>
    <w:rsid w:val="0099776A"/>
    <w:rsid w:val="009A4ED1"/>
    <w:rsid w:val="00A03A9C"/>
    <w:rsid w:val="00A32D1E"/>
    <w:rsid w:val="00A47C96"/>
    <w:rsid w:val="00A63451"/>
    <w:rsid w:val="00A6409C"/>
    <w:rsid w:val="00A81396"/>
    <w:rsid w:val="00AB5DB0"/>
    <w:rsid w:val="00AD02C2"/>
    <w:rsid w:val="00B04725"/>
    <w:rsid w:val="00B66339"/>
    <w:rsid w:val="00B84A77"/>
    <w:rsid w:val="00BE400C"/>
    <w:rsid w:val="00BF624E"/>
    <w:rsid w:val="00C21338"/>
    <w:rsid w:val="00C4543C"/>
    <w:rsid w:val="00C67862"/>
    <w:rsid w:val="00C7737B"/>
    <w:rsid w:val="00CA48BD"/>
    <w:rsid w:val="00CC31FB"/>
    <w:rsid w:val="00CD4EE3"/>
    <w:rsid w:val="00CE08A4"/>
    <w:rsid w:val="00D029A4"/>
    <w:rsid w:val="00D066AB"/>
    <w:rsid w:val="00DA08A0"/>
    <w:rsid w:val="00DB045C"/>
    <w:rsid w:val="00E14DEB"/>
    <w:rsid w:val="00E41948"/>
    <w:rsid w:val="00E62A13"/>
    <w:rsid w:val="00E83D9C"/>
    <w:rsid w:val="00E917A2"/>
    <w:rsid w:val="00E93A29"/>
    <w:rsid w:val="00EB0606"/>
    <w:rsid w:val="00ED58DD"/>
    <w:rsid w:val="00EF4262"/>
    <w:rsid w:val="00F57F68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9CC"/>
  <w15:chartTrackingRefBased/>
  <w15:docId w15:val="{C2BB69E5-3C03-44D1-9B52-9D507619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4E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4E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4E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4E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4E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4E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4E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4E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4E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4E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4ED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F624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F624E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1778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1778B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1778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CA4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48BD"/>
  </w:style>
  <w:style w:type="paragraph" w:styleId="Zpat">
    <w:name w:val="footer"/>
    <w:basedOn w:val="Normln"/>
    <w:link w:val="ZpatChar"/>
    <w:uiPriority w:val="99"/>
    <w:unhideWhenUsed/>
    <w:rsid w:val="00CA4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ravemprotipredsudkum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5528-6905-453A-95BB-FBA6060E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1041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Nikodým</dc:creator>
  <cp:keywords/>
  <dc:description/>
  <cp:lastModifiedBy>Damián Nikodým</cp:lastModifiedBy>
  <cp:revision>54</cp:revision>
  <dcterms:created xsi:type="dcterms:W3CDTF">2024-10-15T11:31:00Z</dcterms:created>
  <dcterms:modified xsi:type="dcterms:W3CDTF">2024-11-15T14:48:00Z</dcterms:modified>
</cp:coreProperties>
</file>