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40" w:before="0"/>
      </w:pPr>
      <w:r>
        <w:rPr>
          <w:rFonts w:ascii="Times New Roman" w:cs="Times New Roman" w:eastAsia="Times New Roman" w:hAnsi="Times New Roman"/>
          <w:b/>
          <w:bCs/>
          <w:color w:val="000000"/>
          <w:sz w:val="32"/>
          <w:szCs w:val="32"/>
        </w:rPr>
        <w:t xml:space="preserve">Stufe 1 — Regime-Forschung, Vorregistrierung</w:t>
      </w:r>
    </w:p>
    <w:p>
      <w:pPr>
        <w:spacing w:after="120" w:before="60" w:line="300"/>
        <w:jc w:val="both"/>
      </w:pPr>
      <w:r>
        <w:rPr>
          <w:rFonts w:ascii="Times New Roman" w:cs="Times New Roman" w:eastAsia="Times New Roman" w:hAnsi="Times New Roman"/>
          <w:b/>
          <w:bCs/>
          <w:sz w:val="22"/>
          <w:szCs w:val="22"/>
        </w:rPr>
        <w:t xml:space="preserve">Project Aurum II. Version 1.0 vom 15.09.2026. Status: EINGEFROREN am 15.09.2026, alle vier Punkte aus Abschnitt 12 bestätigt (Schwellen unverändert, Kalenderjahre plus Halving-Zyklen, zehn Coins, F1 mitgerechnet).</w:t>
      </w:r>
    </w:p>
    <w:p>
      <w:pPr>
        <w:spacing w:after="120" w:before="60" w:line="300"/>
        <w:jc w:val="both"/>
      </w:pPr>
      <w:r>
        <w:rPr>
          <w:rFonts w:ascii="Times New Roman" w:cs="Times New Roman" w:eastAsia="Times New Roman" w:hAnsi="Times New Roman"/>
          <w:sz w:val="22"/>
          <w:szCs w:val="22"/>
        </w:rPr>
        <w:t xml:space="preserve">Nach der Freigabe wird dieses Dokument mit Datum und Prüfsumme eingefroren. Danach wird keine Zahl darin mehr verändert. Alle Schwellen sind a priori gesetzte Vernunftgrenzen, keine Messwerte und nicht aus Daten abgeleitet.</w:t>
      </w:r>
    </w:p>
    <w:p>
      <w:pPr>
        <w:spacing w:after="120" w:before="60" w:line="300"/>
        <w:jc w:val="both"/>
      </w:pPr>
      <w:r>
        <w:rPr>
          <w:rFonts w:ascii="Times New Roman" w:cs="Times New Roman" w:eastAsia="Times New Roman" w:hAnsi="Times New Roman"/>
          <w:sz w:val="22"/>
          <w:szCs w:val="22"/>
        </w:rPr>
        <w:t xml:space="preserve">Grundlage ist die Stufe-1-Spezifikation der AURUM_CRYPTO_REGIME_RESEARCH_V1 vom 03.08.2026. Übernommen wird ihre Methodik vollständig. Geändert wird, was für ein System mit Long und Short auf Perpetuals nötig ist. Jede Änderung ist in Abschnitt 11 aufgeführt.</w:t>
      </w:r>
    </w:p>
    <w:p>
      <w:pPr>
        <w:pStyle w:val="Heading2"/>
        <w:keepNext/>
        <w:spacing w:after="140" w:before="300"/>
      </w:pPr>
      <w:r>
        <w:rPr>
          <w:rFonts w:ascii="Times New Roman" w:cs="Times New Roman" w:eastAsia="Times New Roman" w:hAnsi="Times New Roman"/>
          <w:b/>
          <w:bCs/>
          <w:color w:val="000000"/>
          <w:sz w:val="26"/>
          <w:szCs w:val="26"/>
        </w:rPr>
        <w:t xml:space="preserve">1. Frage und Nullhypothese</w:t>
      </w:r>
    </w:p>
    <w:p>
      <w:pPr>
        <w:spacing w:after="120" w:before="60" w:line="300"/>
        <w:jc w:val="both"/>
      </w:pPr>
      <w:r>
        <w:rPr>
          <w:rFonts w:ascii="Times New Roman" w:cs="Times New Roman" w:eastAsia="Times New Roman" w:hAnsi="Times New Roman"/>
          <w:b/>
          <w:bCs/>
          <w:sz w:val="22"/>
          <w:szCs w:val="22"/>
        </w:rPr>
        <w:t xml:space="preserve">Frage.</w:t>
      </w:r>
      <w:r>
        <w:rPr>
          <w:rFonts w:ascii="Times New Roman" w:cs="Times New Roman" w:eastAsia="Times New Roman" w:hAnsi="Times New Roman"/>
          <w:sz w:val="22"/>
          <w:szCs w:val="22"/>
        </w:rPr>
        <w:t xml:space="preserve"> Existieren im Krypto-Tageschart Zustände, die lange genug dauern, selten genug wechseln, gegen kleine Parameteränderungen unempfindlich sind und über Coins und Zeitblöcke hinweg stabil bleiben?</w:t>
      </w:r>
    </w:p>
    <w:p>
      <w:pPr>
        <w:spacing w:after="120" w:before="60" w:line="300"/>
        <w:jc w:val="both"/>
      </w:pPr>
      <w:r>
        <w:rPr>
          <w:rFonts w:ascii="Times New Roman" w:cs="Times New Roman" w:eastAsia="Times New Roman" w:hAnsi="Times New Roman"/>
          <w:b/>
          <w:bCs/>
          <w:sz w:val="22"/>
          <w:szCs w:val="22"/>
        </w:rPr>
        <w:t xml:space="preserve">Nullhypothese.</w:t>
      </w:r>
      <w:r>
        <w:rPr>
          <w:rFonts w:ascii="Times New Roman" w:cs="Times New Roman" w:eastAsia="Times New Roman" w:hAnsi="Times New Roman"/>
          <w:sz w:val="22"/>
          <w:szCs w:val="22"/>
        </w:rPr>
        <w:t xml:space="preserve"> Es existieren keine solchen Zustände. Jeder Kandidat muss sie widerlegen, indem er alle Schwellen aus Abschnitt 7 erfüllt.</w:t>
      </w:r>
    </w:p>
    <w:p>
      <w:pPr>
        <w:spacing w:after="120" w:before="60" w:line="300"/>
        <w:jc w:val="both"/>
      </w:pPr>
      <w:r>
        <w:rPr>
          <w:rFonts w:ascii="Times New Roman" w:cs="Times New Roman" w:eastAsia="Times New Roman" w:hAnsi="Times New Roman"/>
          <w:b/>
          <w:bCs/>
          <w:sz w:val="22"/>
          <w:szCs w:val="22"/>
        </w:rPr>
        <w:t xml:space="preserve">Was hier ausdrücklich nicht geschieht.</w:t>
      </w:r>
      <w:r>
        <w:rPr>
          <w:rFonts w:ascii="Times New Roman" w:cs="Times New Roman" w:eastAsia="Times New Roman" w:hAnsi="Times New Roman"/>
          <w:sz w:val="22"/>
          <w:szCs w:val="22"/>
        </w:rPr>
        <w:t xml:space="preserve"> Kein Gewinn, kein Verlust, kein Sharpe, kein Drawdown, keine Handelsregel. Ein Zustand wird ausschliesslich nach seinen Zustandseigenschaften beurteilt. Es gibt keinerlei Rückkopplung aus späteren Stufen auf diese Definitionen.</w:t>
      </w:r>
    </w:p>
    <w:p>
      <w:pPr>
        <w:pStyle w:val="Heading2"/>
        <w:keepNext/>
        <w:spacing w:after="140" w:before="300"/>
      </w:pPr>
      <w:r>
        <w:rPr>
          <w:rFonts w:ascii="Times New Roman" w:cs="Times New Roman" w:eastAsia="Times New Roman" w:hAnsi="Times New Roman"/>
          <w:b/>
          <w:bCs/>
          <w:color w:val="000000"/>
          <w:sz w:val="26"/>
          <w:szCs w:val="26"/>
        </w:rPr>
        <w:t xml:space="preserve">2. Datengrundlage</w:t>
      </w:r>
    </w:p>
    <w:p>
      <w:pPr>
        <w:spacing w:after="120" w:before="60" w:line="300"/>
        <w:jc w:val="both"/>
      </w:pPr>
      <w:r>
        <w:rPr>
          <w:rFonts w:ascii="Times New Roman" w:cs="Times New Roman" w:eastAsia="Times New Roman" w:hAnsi="Times New Roman"/>
          <w:b/>
          <w:bCs/>
          <w:sz w:val="22"/>
          <w:szCs w:val="22"/>
        </w:rPr>
        <w:t xml:space="preserve">Quelle.</w:t>
      </w:r>
      <w:r>
        <w:rPr>
          <w:rFonts w:ascii="Times New Roman" w:cs="Times New Roman" w:eastAsia="Times New Roman" w:hAnsi="Times New Roman"/>
          <w:sz w:val="22"/>
          <w:szCs w:val="22"/>
        </w:rPr>
        <w:t xml:space="preserve"> Binance Vision, Spot, Tageskerzen in USDT, ab dem jeweils ersten verfügbaren Monat, bis zum letzten abgeschlossenen Tag vor dem Rechenlauf. Geladen mit </w:t>
      </w:r>
      <w:r>
        <w:rPr>
          <w:rFonts w:ascii="Times New Roman" w:cs="Times New Roman" w:eastAsia="Times New Roman" w:hAnsi="Times New Roman"/>
          <w:i/>
          <w:iCs/>
          <w:sz w:val="22"/>
          <w:szCs w:val="22"/>
        </w:rPr>
        <w:t xml:space="preserve">02_daten/nachladen_historie.py</w:t>
      </w:r>
      <w:r>
        <w:rPr>
          <w:rFonts w:ascii="Times New Roman" w:cs="Times New Roman" w:eastAsia="Times New Roman" w:hAnsi="Times New Roman"/>
          <w:sz w:val="22"/>
          <w:szCs w:val="22"/>
        </w:rPr>
        <w:t xml:space="preserve">, validiert fail-closed, mit Prüfsumme in </w:t>
      </w:r>
      <w:r>
        <w:rPr>
          <w:rFonts w:ascii="Times New Roman" w:cs="Times New Roman" w:eastAsia="Times New Roman" w:hAnsi="Times New Roman"/>
          <w:i/>
          <w:iCs/>
          <w:sz w:val="22"/>
          <w:szCs w:val="22"/>
        </w:rPr>
        <w:t xml:space="preserve">provenance.json</w:t>
      </w:r>
      <w:r>
        <w:rPr>
          <w:rFonts w:ascii="Times New Roman" w:cs="Times New Roman" w:eastAsia="Times New Roman" w:hAnsi="Times New Roman"/>
          <w:sz w:val="22"/>
          <w:szCs w:val="22"/>
        </w:rPr>
        <w:t xml:space="preserve">.</w:t>
      </w:r>
    </w:p>
    <w:p>
      <w:pPr>
        <w:spacing w:after="120" w:before="60" w:line="300"/>
        <w:jc w:val="both"/>
      </w:pPr>
      <w:r>
        <w:rPr>
          <w:rFonts w:ascii="Times New Roman" w:cs="Times New Roman" w:eastAsia="Times New Roman" w:hAnsi="Times New Roman"/>
          <w:b/>
          <w:bCs/>
          <w:sz w:val="22"/>
          <w:szCs w:val="22"/>
        </w:rPr>
        <w:t xml:space="preserve">Assets.</w:t>
      </w:r>
      <w:r>
        <w:rPr>
          <w:rFonts w:ascii="Times New Roman" w:cs="Times New Roman" w:eastAsia="Times New Roman" w:hAnsi="Times New Roman"/>
          <w:sz w:val="22"/>
          <w:szCs w:val="22"/>
        </w:rPr>
        <w:t xml:space="preserve"> Kern BTC und ETH ab 2017-08, SOL ab 2020-08. Breite: XRP, ADA, AVAX, LINK, DOT, BNB, LTC, jeweils ab Listing. Ein Coin geht nur in die Auswertung ein, wenn er nach Warmup mindestens 750 Bars liefert.</w:t>
      </w:r>
    </w:p>
    <w:p>
      <w:pPr>
        <w:spacing w:after="120" w:before="60" w:line="300"/>
        <w:jc w:val="both"/>
      </w:pPr>
      <w:r>
        <w:rPr>
          <w:rFonts w:ascii="Times New Roman" w:cs="Times New Roman" w:eastAsia="Times New Roman" w:hAnsi="Times New Roman"/>
          <w:b/>
          <w:bCs/>
          <w:sz w:val="22"/>
          <w:szCs w:val="22"/>
        </w:rPr>
        <w:t xml:space="preserve">Gegenprobe.</w:t>
      </w:r>
      <w:r>
        <w:rPr>
          <w:rFonts w:ascii="Times New Roman" w:cs="Times New Roman" w:eastAsia="Times New Roman" w:hAnsi="Times New Roman"/>
          <w:sz w:val="22"/>
          <w:szCs w:val="22"/>
        </w:rPr>
        <w:t xml:space="preserve"> Kraken, Spot, USD, die letzten 720 Tage. Im Überlappungsfenster muss die Label-Übereinstimmung zwischen Binance- und Kraken-Reihe je Kandidat mindestens 90 Prozent betragen. Das ist eine Datenkonsistenz-Prüfung, kein Kandidatenkriterium. Die beiden Quellen werden nicht zu einer Reihe zusammengeführt.</w:t>
      </w:r>
    </w:p>
    <w:p>
      <w:pPr>
        <w:spacing w:after="120" w:before="60" w:line="300"/>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Kraken Perpetual, stündliche relative Funding-Rate, verfügbar ab 10.09.2025 für BTC, ETH, SOL. Nur für Dimension D5, siehe Abschnitt 4.5.</w:t>
      </w:r>
    </w:p>
    <w:p>
      <w:pPr>
        <w:spacing w:after="120" w:before="60" w:line="300"/>
        <w:jc w:val="both"/>
      </w:pPr>
      <w:r>
        <w:rPr>
          <w:rFonts w:ascii="Times New Roman" w:cs="Times New Roman" w:eastAsia="Times New Roman" w:hAnsi="Times New Roman"/>
          <w:b/>
          <w:bCs/>
          <w:sz w:val="22"/>
          <w:szCs w:val="22"/>
        </w:rPr>
        <w:t xml:space="preserve">Zeitrahmen.</w:t>
      </w:r>
      <w:r>
        <w:rPr>
          <w:rFonts w:ascii="Times New Roman" w:cs="Times New Roman" w:eastAsia="Times New Roman" w:hAnsi="Times New Roman"/>
          <w:sz w:val="22"/>
          <w:szCs w:val="22"/>
        </w:rPr>
        <w:t xml:space="preserve"> Tageskerzen, UTC-Tagesgrenze. Kein Intraday in Stufe 1.</w:t>
      </w:r>
    </w:p>
    <w:p>
      <w:pPr>
        <w:spacing w:after="120" w:before="60" w:line="300"/>
        <w:jc w:val="both"/>
      </w:pPr>
      <w:r>
        <w:rPr>
          <w:rFonts w:ascii="Times New Roman" w:cs="Times New Roman" w:eastAsia="Times New Roman" w:hAnsi="Times New Roman"/>
          <w:b/>
          <w:bCs/>
          <w:sz w:val="22"/>
          <w:szCs w:val="22"/>
        </w:rPr>
        <w:t xml:space="preserve">Warmup.</w:t>
      </w:r>
      <w:r>
        <w:rPr>
          <w:rFonts w:ascii="Times New Roman" w:cs="Times New Roman" w:eastAsia="Times New Roman" w:hAnsi="Times New Roman"/>
          <w:sz w:val="22"/>
          <w:szCs w:val="22"/>
        </w:rPr>
        <w:t xml:space="preserve"> Jede Kennzahl mit Lookback L oder Fenster W liefert erst nach Erreichen der Mindesthistorie ein Label. Vorher gilt </w:t>
      </w:r>
      <w:r>
        <w:rPr>
          <w:rFonts w:ascii="Times New Roman" w:cs="Times New Roman" w:eastAsia="Times New Roman" w:hAnsi="Times New Roman"/>
          <w:i/>
          <w:iCs/>
          <w:sz w:val="22"/>
          <w:szCs w:val="22"/>
        </w:rPr>
        <w:t xml:space="preserve">undefined</w:t>
      </w:r>
      <w:r>
        <w:rPr>
          <w:rFonts w:ascii="Times New Roman" w:cs="Times New Roman" w:eastAsia="Times New Roman" w:hAnsi="Times New Roman"/>
          <w:sz w:val="22"/>
          <w:szCs w:val="22"/>
        </w:rPr>
        <w:t xml:space="preserve">, und solche Bars gehen nicht in die Statistik ein.</w:t>
      </w:r>
    </w:p>
    <w:p>
      <w:pPr>
        <w:spacing w:after="120" w:before="60" w:line="300"/>
        <w:jc w:val="both"/>
      </w:pPr>
      <w:r>
        <w:rPr>
          <w:rFonts w:ascii="Times New Roman" w:cs="Times New Roman" w:eastAsia="Times New Roman" w:hAnsi="Times New Roman"/>
          <w:b/>
          <w:bCs/>
          <w:sz w:val="22"/>
          <w:szCs w:val="22"/>
        </w:rPr>
        <w:t xml:space="preserve">Datenflags.</w:t>
      </w:r>
      <w:r>
        <w:rPr>
          <w:rFonts w:ascii="Times New Roman" w:cs="Times New Roman" w:eastAsia="Times New Roman" w:hAnsi="Times New Roman"/>
          <w:sz w:val="22"/>
          <w:szCs w:val="22"/>
        </w:rPr>
        <w:t xml:space="preserve"> Extremsprünge über 400 Prozent an einem Tag, Lücken über einen Tag und Bars aus der Quarantäne werden markiert und in der Robustheitsauswertung gesondert ausgewiesen, nie stillschweigend geglättet.</w:t>
      </w:r>
    </w:p>
    <w:p>
      <w:pPr>
        <w:spacing w:after="120" w:before="60" w:line="300"/>
        <w:jc w:val="both"/>
      </w:pPr>
      <w:r>
        <w:rPr>
          <w:rFonts w:ascii="Times New Roman" w:cs="Times New Roman" w:eastAsia="Times New Roman" w:hAnsi="Times New Roman"/>
          <w:b/>
          <w:bCs/>
          <w:sz w:val="22"/>
          <w:szCs w:val="22"/>
        </w:rPr>
        <w:t xml:space="preserve">Point in time.</w:t>
      </w:r>
      <w:r>
        <w:rPr>
          <w:rFonts w:ascii="Times New Roman" w:cs="Times New Roman" w:eastAsia="Times New Roman" w:hAnsi="Times New Roman"/>
          <w:sz w:val="22"/>
          <w:szCs w:val="22"/>
        </w:rPr>
        <w:t xml:space="preserve"> Zum Bar t fliesst nur Information bis einschliesslich t ein. Alle Perzentile und Extrema auf trailing Fenstern.</w:t>
      </w:r>
    </w:p>
    <w:p>
      <w:pPr>
        <w:pStyle w:val="Heading2"/>
        <w:keepNext/>
        <w:spacing w:after="140" w:before="300"/>
      </w:pPr>
      <w:r>
        <w:rPr>
          <w:rFonts w:ascii="Times New Roman" w:cs="Times New Roman" w:eastAsia="Times New Roman" w:hAnsi="Times New Roman"/>
          <w:b/>
          <w:bCs/>
          <w:color w:val="000000"/>
          <w:sz w:val="26"/>
          <w:szCs w:val="26"/>
        </w:rPr>
        <w:t xml:space="preserve">3. Zustandsraum, fünf orthogonale Dimensionen</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tblHeader/>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Dimension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Werte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Zweck</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D1 Richtung</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i/>
                <w:iCs/>
                <w:sz w:val="19"/>
                <w:szCs w:val="19"/>
              </w:rPr>
              <w:t xml:space="preserve">UP</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RANGE</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DOWN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gerichtete Persistenz, symmetrisch</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D2 Volatilität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i/>
                <w:iCs/>
                <w:sz w:val="19"/>
                <w:szCs w:val="19"/>
              </w:rPr>
              <w:t xml:space="preserve">SQUEEZE</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NORMAL</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EXPANSION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Kompression und Ausdehnung</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D3 Stress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i/>
                <w:iCs/>
                <w:sz w:val="19"/>
                <w:szCs w:val="19"/>
              </w:rPr>
              <w:t xml:space="preserve">STRESS_DOWN</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STRESS_UP</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CALM</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Extremphasen in beide Richtungen</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D4 Bestätigung</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i/>
                <w:iCs/>
                <w:sz w:val="19"/>
                <w:szCs w:val="19"/>
              </w:rPr>
              <w:t xml:space="preserve">CONFIRMED</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UNCONFIRMED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Volumen, optional</w:t>
            </w:r>
          </w:p>
        </w:tc>
      </w:tr>
      <w:tr>
        <w:trPr>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D5 Funding</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i/>
                <w:iCs/>
                <w:sz w:val="19"/>
                <w:szCs w:val="19"/>
              </w:rPr>
              <w:t xml:space="preserve">NEG</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NEUTRAL</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POS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Perp-eigener Zustand, reduzierte Stichprobe</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Die Dimensionen werden einzeln geprüft. Ein konsolidiertes Einzel-Label entsteht nur über die vorregistrierte Präzedenz in Abschnitt 6.</w:t>
      </w:r>
    </w:p>
    <w:p>
      <w:pPr>
        <w:pStyle w:val="Heading2"/>
        <w:keepNext/>
        <w:spacing w:after="140" w:before="300"/>
      </w:pPr>
      <w:r>
        <w:rPr>
          <w:rFonts w:ascii="Times New Roman" w:cs="Times New Roman" w:eastAsia="Times New Roman" w:hAnsi="Times New Roman"/>
          <w:b/>
          <w:bCs/>
          <w:color w:val="000000"/>
          <w:sz w:val="26"/>
          <w:szCs w:val="26"/>
        </w:rPr>
        <w:t xml:space="preserve">4. Variablen und Ableitungen</w:t>
      </w:r>
    </w:p>
    <w:p>
      <w:pPr>
        <w:pStyle w:val="Heading3"/>
        <w:keepNext/>
        <w:spacing w:after="140" w:before="300"/>
      </w:pPr>
      <w:r>
        <w:rPr>
          <w:rFonts w:ascii="Times New Roman" w:cs="Times New Roman" w:eastAsia="Times New Roman" w:hAnsi="Times New Roman"/>
          <w:b/>
          <w:bCs/>
          <w:color w:val="000000"/>
          <w:sz w:val="22"/>
          <w:szCs w:val="22"/>
        </w:rPr>
        <w:t xml:space="preserve">4.1 Preislage und Steigung</w:t>
      </w:r>
    </w:p>
    <w:p>
      <w:pPr>
        <w:spacing w:after="120" w:before="60" w:line="300"/>
        <w:jc w:val="both"/>
      </w:pPr>
      <w:r>
        <w:rPr>
          <w:rFonts w:ascii="Times New Roman" w:cs="Times New Roman" w:eastAsia="Times New Roman" w:hAnsi="Times New Roman"/>
          <w:i/>
          <w:iCs/>
          <w:sz w:val="22"/>
          <w:szCs w:val="22"/>
        </w:rPr>
        <w:t xml:space="preserve">MA100 = SMA(Close, 100)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MA200 = SMA(Close, 200)</w:t>
      </w:r>
    </w:p>
    <w:p>
      <w:pPr>
        <w:spacing w:after="120" w:before="60" w:line="300"/>
        <w:jc w:val="both"/>
      </w:pPr>
      <w:r>
        <w:rPr>
          <w:rFonts w:ascii="Times New Roman" w:cs="Times New Roman" w:eastAsia="Times New Roman" w:hAnsi="Times New Roman"/>
          <w:i/>
          <w:iCs/>
          <w:sz w:val="22"/>
          <w:szCs w:val="22"/>
        </w:rPr>
        <w:t xml:space="preserve">dist100 = (Close − MA100) / MA100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above100 = Close &gt; MA100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above200 = Close &gt; MA200</w:t>
      </w:r>
    </w:p>
    <w:p>
      <w:pPr>
        <w:spacing w:after="120" w:before="60" w:line="300"/>
        <w:jc w:val="both"/>
      </w:pPr>
      <w:r>
        <w:rPr>
          <w:rFonts w:ascii="Times New Roman" w:cs="Times New Roman" w:eastAsia="Times New Roman" w:hAnsi="Times New Roman"/>
          <w:i/>
          <w:iCs/>
          <w:sz w:val="22"/>
          <w:szCs w:val="22"/>
        </w:rPr>
        <w:t xml:space="preserve">slope100 = sign(MA100_t − MA100_{t−10})</w:t>
      </w:r>
    </w:p>
    <w:p>
      <w:pPr>
        <w:pStyle w:val="Heading3"/>
        <w:keepNext/>
        <w:spacing w:after="140" w:before="300"/>
      </w:pPr>
      <w:r>
        <w:rPr>
          <w:rFonts w:ascii="Times New Roman" w:cs="Times New Roman" w:eastAsia="Times New Roman" w:hAnsi="Times New Roman"/>
          <w:b/>
          <w:bCs/>
          <w:color w:val="000000"/>
          <w:sz w:val="22"/>
          <w:szCs w:val="22"/>
        </w:rPr>
        <w:t xml:space="preserve">4.2 Trendstärke</w:t>
      </w:r>
    </w:p>
    <w:p>
      <w:pPr>
        <w:spacing w:after="120" w:before="60" w:line="300"/>
        <w:jc w:val="both"/>
      </w:pPr>
      <w:r>
        <w:rPr>
          <w:rFonts w:ascii="Times New Roman" w:cs="Times New Roman" w:eastAsia="Times New Roman" w:hAnsi="Times New Roman"/>
          <w:i/>
          <w:iCs/>
          <w:sz w:val="22"/>
          <w:szCs w:val="22"/>
        </w:rPr>
        <w:t xml:space="preserve">ADX14</w:t>
      </w:r>
      <w:r>
        <w:rPr>
          <w:rFonts w:ascii="Times New Roman" w:cs="Times New Roman" w:eastAsia="Times New Roman" w:hAnsi="Times New Roman"/>
          <w:sz w:val="22"/>
          <w:szCs w:val="22"/>
        </w:rPr>
        <w:t xml:space="preserve"> nach Wilder, Periode 14, fix. Schwellenfamilie </w:t>
      </w:r>
      <w:r>
        <w:rPr>
          <w:rFonts w:ascii="Times New Roman" w:cs="Times New Roman" w:eastAsia="Times New Roman" w:hAnsi="Times New Roman"/>
          <w:i/>
          <w:iCs/>
          <w:sz w:val="22"/>
          <w:szCs w:val="22"/>
        </w:rPr>
        <w:t xml:space="preserve">adx_thr ∈ {15, 20, 25}</w:t>
      </w:r>
      <w:r>
        <w:rPr>
          <w:rFonts w:ascii="Times New Roman" w:cs="Times New Roman" w:eastAsia="Times New Roman" w:hAnsi="Times New Roman"/>
          <w:sz w:val="22"/>
          <w:szCs w:val="22"/>
        </w:rPr>
        <w:t xml:space="preserve">, je Kandidat genau ein Wert.</w:t>
      </w:r>
    </w:p>
    <w:p>
      <w:pPr>
        <w:pStyle w:val="Heading3"/>
        <w:keepNext/>
        <w:spacing w:after="140" w:before="300"/>
      </w:pPr>
      <w:r>
        <w:rPr>
          <w:rFonts w:ascii="Times New Roman" w:cs="Times New Roman" w:eastAsia="Times New Roman" w:hAnsi="Times New Roman"/>
          <w:b/>
          <w:bCs/>
          <w:color w:val="000000"/>
          <w:sz w:val="22"/>
          <w:szCs w:val="22"/>
        </w:rPr>
        <w:t xml:space="preserve">4.3 Volatilität</w:t>
      </w:r>
    </w:p>
    <w:p>
      <w:pPr>
        <w:spacing w:after="120" w:before="60" w:line="300"/>
        <w:jc w:val="both"/>
      </w:pPr>
      <w:r>
        <w:rPr>
          <w:rFonts w:ascii="Times New Roman" w:cs="Times New Roman" w:eastAsia="Times New Roman" w:hAnsi="Times New Roman"/>
          <w:i/>
          <w:iCs/>
          <w:sz w:val="22"/>
          <w:szCs w:val="22"/>
        </w:rPr>
        <w:t xml:space="preserve">ATR14</w:t>
      </w:r>
      <w:r>
        <w:rPr>
          <w:rFonts w:ascii="Times New Roman" w:cs="Times New Roman" w:eastAsia="Times New Roman" w:hAnsi="Times New Roman"/>
          <w:sz w:val="22"/>
          <w:szCs w:val="22"/>
        </w:rPr>
        <w:t xml:space="preserve"> nach Wilder. </w:t>
      </w:r>
      <w:r>
        <w:rPr>
          <w:rFonts w:ascii="Times New Roman" w:cs="Times New Roman" w:eastAsia="Times New Roman" w:hAnsi="Times New Roman"/>
          <w:i/>
          <w:iCs/>
          <w:sz w:val="22"/>
          <w:szCs w:val="22"/>
        </w:rPr>
        <w:t xml:space="preserve">atr_norm = ATR14 / Close</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atr_pct</w:t>
      </w:r>
      <w:r>
        <w:rPr>
          <w:rFonts w:ascii="Times New Roman" w:cs="Times New Roman" w:eastAsia="Times New Roman" w:hAnsi="Times New Roman"/>
          <w:sz w:val="22"/>
          <w:szCs w:val="22"/>
        </w:rPr>
        <w:t xml:space="preserve"> = Perzentilrang von </w:t>
      </w:r>
      <w:r>
        <w:rPr>
          <w:rFonts w:ascii="Times New Roman" w:cs="Times New Roman" w:eastAsia="Times New Roman" w:hAnsi="Times New Roman"/>
          <w:i/>
          <w:iCs/>
          <w:sz w:val="22"/>
          <w:szCs w:val="22"/>
        </w:rPr>
        <w:t xml:space="preserve">atr_norm</w:t>
      </w:r>
      <w:r>
        <w:rPr>
          <w:rFonts w:ascii="Times New Roman" w:cs="Times New Roman" w:eastAsia="Times New Roman" w:hAnsi="Times New Roman"/>
          <w:sz w:val="22"/>
          <w:szCs w:val="22"/>
        </w:rPr>
        <w:t xml:space="preserve"> im trailing Fenster </w:t>
      </w:r>
      <w:r>
        <w:rPr>
          <w:rFonts w:ascii="Times New Roman" w:cs="Times New Roman" w:eastAsia="Times New Roman" w:hAnsi="Times New Roman"/>
          <w:i/>
          <w:iCs/>
          <w:sz w:val="22"/>
          <w:szCs w:val="22"/>
        </w:rPr>
        <w:t xml:space="preserve">W_vol = 252</w:t>
      </w:r>
      <w:r>
        <w:rPr>
          <w:rFonts w:ascii="Times New Roman" w:cs="Times New Roman" w:eastAsia="Times New Roman" w:hAnsi="Times New Roman"/>
          <w:sz w:val="22"/>
          <w:szCs w:val="22"/>
        </w:rPr>
        <w:t xml:space="preserve">.</w:t>
      </w:r>
    </w:p>
    <w:p>
      <w:pPr>
        <w:spacing w:after="120" w:before="60" w:line="300"/>
        <w:jc w:val="both"/>
      </w:pPr>
      <w:r>
        <w:rPr>
          <w:rFonts w:ascii="Times New Roman" w:cs="Times New Roman" w:eastAsia="Times New Roman" w:hAnsi="Times New Roman"/>
          <w:i/>
          <w:iCs/>
          <w:sz w:val="22"/>
          <w:szCs w:val="22"/>
        </w:rPr>
        <w:t xml:space="preserve">BBW = (2 · 2 · SD20) / MA20</w:t>
      </w:r>
      <w:r>
        <w:rPr>
          <w:rFonts w:ascii="Times New Roman" w:cs="Times New Roman" w:eastAsia="Times New Roman" w:hAnsi="Times New Roman"/>
          <w:sz w:val="22"/>
          <w:szCs w:val="22"/>
        </w:rPr>
        <w:t xml:space="preserve"> mit Stichproben-Standardabweichung. </w:t>
      </w:r>
      <w:r>
        <w:rPr>
          <w:rFonts w:ascii="Times New Roman" w:cs="Times New Roman" w:eastAsia="Times New Roman" w:hAnsi="Times New Roman"/>
          <w:i/>
          <w:iCs/>
          <w:sz w:val="22"/>
          <w:szCs w:val="22"/>
        </w:rPr>
        <w:t xml:space="preserve">bbw_pct</w:t>
      </w:r>
      <w:r>
        <w:rPr>
          <w:rFonts w:ascii="Times New Roman" w:cs="Times New Roman" w:eastAsia="Times New Roman" w:hAnsi="Times New Roman"/>
          <w:sz w:val="22"/>
          <w:szCs w:val="22"/>
        </w:rPr>
        <w:t xml:space="preserve"> = Perzentilrang im trailing Fenster 252.</w:t>
      </w:r>
    </w:p>
    <w:p>
      <w:pPr>
        <w:pStyle w:val="Heading3"/>
        <w:keepNext/>
        <w:spacing w:after="140" w:before="300"/>
      </w:pPr>
      <w:r>
        <w:rPr>
          <w:rFonts w:ascii="Times New Roman" w:cs="Times New Roman" w:eastAsia="Times New Roman" w:hAnsi="Times New Roman"/>
          <w:b/>
          <w:bCs/>
          <w:color w:val="000000"/>
          <w:sz w:val="22"/>
          <w:szCs w:val="22"/>
        </w:rPr>
        <w:t xml:space="preserve">4.4 Drawdown und Drawup</w:t>
      </w:r>
    </w:p>
    <w:p>
      <w:pPr>
        <w:spacing w:after="120" w:before="60" w:line="300"/>
        <w:jc w:val="both"/>
      </w:pPr>
      <w:r>
        <w:rPr>
          <w:rFonts w:ascii="Times New Roman" w:cs="Times New Roman" w:eastAsia="Times New Roman" w:hAnsi="Times New Roman"/>
          <w:i/>
          <w:iCs/>
          <w:sz w:val="22"/>
          <w:szCs w:val="22"/>
        </w:rPr>
        <w:t xml:space="preserve">roll_high = max(Close, letzte 100 Bars)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dd = Close / roll_high − 1</w:t>
      </w:r>
      <w:r>
        <w:rPr>
          <w:rFonts w:ascii="Times New Roman" w:cs="Times New Roman" w:eastAsia="Times New Roman" w:hAnsi="Times New Roman"/>
          <w:sz w:val="22"/>
          <w:szCs w:val="22"/>
        </w:rPr>
        <w:t xml:space="preserve">, Wertebereich kleiner oder gleich null.</w:t>
      </w:r>
    </w:p>
    <w:p>
      <w:pPr>
        <w:spacing w:after="120" w:before="60" w:line="300"/>
        <w:jc w:val="both"/>
      </w:pPr>
      <w:r>
        <w:rPr>
          <w:rFonts w:ascii="Times New Roman" w:cs="Times New Roman" w:eastAsia="Times New Roman" w:hAnsi="Times New Roman"/>
          <w:i/>
          <w:iCs/>
          <w:sz w:val="22"/>
          <w:szCs w:val="22"/>
        </w:rPr>
        <w:t xml:space="preserve">roll_low = min(Close, letzte 100 Bars)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du = Close / roll_low − 1</w:t>
      </w:r>
      <w:r>
        <w:rPr>
          <w:rFonts w:ascii="Times New Roman" w:cs="Times New Roman" w:eastAsia="Times New Roman" w:hAnsi="Times New Roman"/>
          <w:sz w:val="22"/>
          <w:szCs w:val="22"/>
        </w:rPr>
        <w:t xml:space="preserve">, Wertebereich grösser oder gleich null.</w:t>
      </w:r>
    </w:p>
    <w:p>
      <w:pPr>
        <w:pStyle w:val="Heading3"/>
        <w:keepNext/>
        <w:spacing w:after="140" w:before="300"/>
      </w:pPr>
      <w:r>
        <w:rPr>
          <w:rFonts w:ascii="Times New Roman" w:cs="Times New Roman" w:eastAsia="Times New Roman" w:hAnsi="Times New Roman"/>
          <w:b/>
          <w:bCs/>
          <w:color w:val="000000"/>
          <w:sz w:val="22"/>
          <w:szCs w:val="22"/>
        </w:rPr>
        <w:t xml:space="preserve">4.5 Funding</w:t>
      </w:r>
    </w:p>
    <w:p>
      <w:pPr>
        <w:spacing w:after="120" w:before="60" w:line="300"/>
        <w:jc w:val="both"/>
      </w:pPr>
      <w:r>
        <w:rPr>
          <w:rFonts w:ascii="Times New Roman" w:cs="Times New Roman" w:eastAsia="Times New Roman" w:hAnsi="Times New Roman"/>
          <w:i/>
          <w:iCs/>
          <w:sz w:val="22"/>
          <w:szCs w:val="22"/>
        </w:rPr>
        <w:t xml:space="preserve">f_rel</w:t>
      </w:r>
      <w:r>
        <w:rPr>
          <w:rFonts w:ascii="Times New Roman" w:cs="Times New Roman" w:eastAsia="Times New Roman" w:hAnsi="Times New Roman"/>
          <w:sz w:val="22"/>
          <w:szCs w:val="22"/>
        </w:rPr>
        <w:t xml:space="preserve"> = stündliche absolute Funding-Zahlung geteilt durch Kurs. </w:t>
      </w:r>
      <w:r>
        <w:rPr>
          <w:rFonts w:ascii="Times New Roman" w:cs="Times New Roman" w:eastAsia="Times New Roman" w:hAnsi="Times New Roman"/>
          <w:i/>
          <w:iCs/>
          <w:sz w:val="22"/>
          <w:szCs w:val="22"/>
        </w:rPr>
        <w:t xml:space="preserve">f_7d</w:t>
      </w:r>
      <w:r>
        <w:rPr>
          <w:rFonts w:ascii="Times New Roman" w:cs="Times New Roman" w:eastAsia="Times New Roman" w:hAnsi="Times New Roman"/>
          <w:sz w:val="22"/>
          <w:szCs w:val="22"/>
        </w:rPr>
        <w:t xml:space="preserve"> = Mittel von </w:t>
      </w:r>
      <w:r>
        <w:rPr>
          <w:rFonts w:ascii="Times New Roman" w:cs="Times New Roman" w:eastAsia="Times New Roman" w:hAnsi="Times New Roman"/>
          <w:i/>
          <w:iCs/>
          <w:sz w:val="22"/>
          <w:szCs w:val="22"/>
        </w:rPr>
        <w:t xml:space="preserve">f_rel</w:t>
      </w:r>
      <w:r>
        <w:rPr>
          <w:rFonts w:ascii="Times New Roman" w:cs="Times New Roman" w:eastAsia="Times New Roman" w:hAnsi="Times New Roman"/>
          <w:sz w:val="22"/>
          <w:szCs w:val="22"/>
        </w:rPr>
        <w:t xml:space="preserve"> über die letzten 168 Stunden, annualisiert mit Faktor 8760. Nur für Coins mit Funding-Reihe.</w:t>
      </w:r>
    </w:p>
    <w:p>
      <w:pPr>
        <w:pStyle w:val="Heading3"/>
        <w:keepNext/>
        <w:spacing w:after="140" w:before="300"/>
      </w:pPr>
      <w:r>
        <w:rPr>
          <w:rFonts w:ascii="Times New Roman" w:cs="Times New Roman" w:eastAsia="Times New Roman" w:hAnsi="Times New Roman"/>
          <w:b/>
          <w:bCs/>
          <w:color w:val="000000"/>
          <w:sz w:val="22"/>
          <w:szCs w:val="22"/>
        </w:rPr>
        <w:t xml:space="preserve">4.6 Bestätigung</w:t>
      </w:r>
    </w:p>
    <w:p>
      <w:pPr>
        <w:spacing w:after="120" w:before="60" w:line="300"/>
        <w:jc w:val="both"/>
      </w:pPr>
      <w:r>
        <w:rPr>
          <w:rFonts w:ascii="Times New Roman" w:cs="Times New Roman" w:eastAsia="Times New Roman" w:hAnsi="Times New Roman"/>
          <w:i/>
          <w:iCs/>
          <w:sz w:val="22"/>
          <w:szCs w:val="22"/>
        </w:rPr>
        <w:t xml:space="preserve">vol_pct</w:t>
      </w:r>
      <w:r>
        <w:rPr>
          <w:rFonts w:ascii="Times New Roman" w:cs="Times New Roman" w:eastAsia="Times New Roman" w:hAnsi="Times New Roman"/>
          <w:sz w:val="22"/>
          <w:szCs w:val="22"/>
        </w:rPr>
        <w:t xml:space="preserve"> = Perzentilrang des Volumens im trailing Fenster 252. </w:t>
      </w:r>
      <w:r>
        <w:rPr>
          <w:rFonts w:ascii="Times New Roman" w:cs="Times New Roman" w:eastAsia="Times New Roman" w:hAnsi="Times New Roman"/>
          <w:i/>
          <w:iCs/>
          <w:sz w:val="22"/>
          <w:szCs w:val="22"/>
        </w:rPr>
        <w:t xml:space="preserve">vol_confirm = vol_pct ≥ 0.5</w:t>
      </w:r>
      <w:r>
        <w:rPr>
          <w:rFonts w:ascii="Times New Roman" w:cs="Times New Roman" w:eastAsia="Times New Roman" w:hAnsi="Times New Roman"/>
          <w:sz w:val="22"/>
          <w:szCs w:val="22"/>
        </w:rPr>
        <w:t xml:space="preserve">.</w:t>
      </w:r>
    </w:p>
    <w:p>
      <w:pPr>
        <w:pStyle w:val="Heading2"/>
        <w:keepNext/>
        <w:spacing w:after="140" w:before="300"/>
      </w:pPr>
      <w:r>
        <w:rPr>
          <w:rFonts w:ascii="Times New Roman" w:cs="Times New Roman" w:eastAsia="Times New Roman" w:hAnsi="Times New Roman"/>
          <w:b/>
          <w:bCs/>
          <w:color w:val="000000"/>
          <w:sz w:val="26"/>
          <w:szCs w:val="26"/>
        </w:rPr>
        <w:t xml:space="preserve">5. Zustandsregeln</w:t>
      </w:r>
    </w:p>
    <w:p>
      <w:pPr>
        <w:pStyle w:val="Heading3"/>
        <w:keepNext/>
        <w:spacing w:after="140" w:before="300"/>
      </w:pPr>
      <w:r>
        <w:rPr>
          <w:rFonts w:ascii="Times New Roman" w:cs="Times New Roman" w:eastAsia="Times New Roman" w:hAnsi="Times New Roman"/>
          <w:b/>
          <w:bCs/>
          <w:color w:val="000000"/>
          <w:sz w:val="22"/>
          <w:szCs w:val="22"/>
        </w:rPr>
        <w:t xml:space="preserve">D1 Richtung</w:t>
      </w:r>
    </w:p>
    <w:p>
      <w:pPr>
        <w:spacing w:after="0" w:before="0"/>
      </w:pPr>
      <w:r>
        <w:rPr>
          <w:rFonts w:ascii="Courier New" w:cs="Courier New" w:eastAsia="Courier New" w:hAnsi="Courier New"/>
          <w:sz w:val="17"/>
          <w:szCs w:val="17"/>
        </w:rPr>
        <w:t xml:space="preserve">UP     falls ADX14 ≥ adx_thr und above100 = wahr   [D1b zusätzlich: slope100 = +1]</w:t>
      </w:r>
    </w:p>
    <w:p>
      <w:pPr>
        <w:spacing w:after="0" w:before="0"/>
      </w:pPr>
      <w:r>
        <w:rPr>
          <w:rFonts w:ascii="Courier New" w:cs="Courier New" w:eastAsia="Courier New" w:hAnsi="Courier New"/>
          <w:sz w:val="17"/>
          <w:szCs w:val="17"/>
        </w:rPr>
        <w:t xml:space="preserve">DOWN   falls ADX14 ≥ adx_thr und above100 = falsch [D1b zusätzlich: slope100 = −1]</w:t>
      </w:r>
    </w:p>
    <w:p>
      <w:pPr>
        <w:spacing w:after="0" w:before="0"/>
      </w:pPr>
      <w:r>
        <w:rPr>
          <w:rFonts w:ascii="Courier New" w:cs="Courier New" w:eastAsia="Courier New" w:hAnsi="Courier New"/>
          <w:sz w:val="17"/>
          <w:szCs w:val="17"/>
        </w:rPr>
        <w:t xml:space="preserve">RANGE  sonst</w:t>
      </w:r>
    </w:p>
    <w:p>
      <w:pPr>
        <w:spacing w:after="120" w:before="60" w:line="300"/>
        <w:jc w:val="both"/>
      </w:pPr>
      <w:r>
        <w:rPr>
          <w:rFonts w:ascii="Times New Roman" w:cs="Times New Roman" w:eastAsia="Times New Roman" w:hAnsi="Times New Roman"/>
          <w:sz w:val="22"/>
          <w:szCs w:val="22"/>
        </w:rPr>
        <w:t xml:space="preserve">Variante D1a ohne Steigungsbedingung, Variante D1b mit. Die Richtung kommt aus der Lage zum MA100, die Stärke aus dem ADX. Das ist die einzige Stelle, an der die alte Definition ihre Long-Färbung hatte. Jetzt ist </w:t>
      </w:r>
      <w:r>
        <w:rPr>
          <w:rFonts w:ascii="Times New Roman" w:cs="Times New Roman" w:eastAsia="Times New Roman" w:hAnsi="Times New Roman"/>
          <w:i/>
          <w:iCs/>
          <w:sz w:val="22"/>
          <w:szCs w:val="22"/>
        </w:rPr>
        <w:t xml:space="preserve">DOWN</w:t>
      </w:r>
      <w:r>
        <w:rPr>
          <w:rFonts w:ascii="Times New Roman" w:cs="Times New Roman" w:eastAsia="Times New Roman" w:hAnsi="Times New Roman"/>
          <w:sz w:val="22"/>
          <w:szCs w:val="22"/>
        </w:rPr>
        <w:t xml:space="preserve"> ein eigener Zustand mit denselben Anforderungen wie </w:t>
      </w:r>
      <w:r>
        <w:rPr>
          <w:rFonts w:ascii="Times New Roman" w:cs="Times New Roman" w:eastAsia="Times New Roman" w:hAnsi="Times New Roman"/>
          <w:i/>
          <w:iCs/>
          <w:sz w:val="22"/>
          <w:szCs w:val="22"/>
        </w:rPr>
        <w:t xml:space="preserve">UP</w:t>
      </w:r>
      <w:r>
        <w:rPr>
          <w:rFonts w:ascii="Times New Roman" w:cs="Times New Roman" w:eastAsia="Times New Roman" w:hAnsi="Times New Roman"/>
          <w:sz w:val="22"/>
          <w:szCs w:val="22"/>
        </w:rPr>
        <w:t xml:space="preserve">.</w:t>
      </w:r>
    </w:p>
    <w:p>
      <w:pPr>
        <w:pStyle w:val="Heading3"/>
        <w:keepNext/>
        <w:spacing w:after="140" w:before="300"/>
      </w:pPr>
      <w:r>
        <w:rPr>
          <w:rFonts w:ascii="Times New Roman" w:cs="Times New Roman" w:eastAsia="Times New Roman" w:hAnsi="Times New Roman"/>
          <w:b/>
          <w:bCs/>
          <w:color w:val="000000"/>
          <w:sz w:val="22"/>
          <w:szCs w:val="22"/>
        </w:rPr>
        <w:t xml:space="preserve">D2 Volatilität</w:t>
      </w:r>
    </w:p>
    <w:p>
      <w:pPr>
        <w:spacing w:after="0" w:before="0"/>
      </w:pPr>
      <w:r>
        <w:rPr>
          <w:rFonts w:ascii="Courier New" w:cs="Courier New" w:eastAsia="Courier New" w:hAnsi="Courier New"/>
          <w:sz w:val="17"/>
          <w:szCs w:val="17"/>
        </w:rPr>
        <w:t xml:space="preserve">SQUEEZE     falls bbw_pct ≤ 0.20</w:t>
      </w:r>
    </w:p>
    <w:p>
      <w:pPr>
        <w:spacing w:after="0" w:before="0"/>
      </w:pPr>
      <w:r>
        <w:rPr>
          <w:rFonts w:ascii="Courier New" w:cs="Courier New" w:eastAsia="Courier New" w:hAnsi="Courier New"/>
          <w:sz w:val="17"/>
          <w:szCs w:val="17"/>
        </w:rPr>
        <w:t xml:space="preserve">EXPANSION   falls bbw_pct ≥ 0.80</w:t>
      </w:r>
    </w:p>
    <w:p>
      <w:pPr>
        <w:spacing w:after="0" w:before="0"/>
      </w:pPr>
      <w:r>
        <w:rPr>
          <w:rFonts w:ascii="Courier New" w:cs="Courier New" w:eastAsia="Courier New" w:hAnsi="Courier New"/>
          <w:sz w:val="17"/>
          <w:szCs w:val="17"/>
        </w:rPr>
        <w:t xml:space="preserve">NORMAL      sonst</w:t>
      </w:r>
    </w:p>
    <w:p>
      <w:pPr>
        <w:spacing w:after="120" w:before="60" w:line="300"/>
        <w:jc w:val="both"/>
      </w:pPr>
      <w:r>
        <w:rPr>
          <w:rFonts w:ascii="Times New Roman" w:cs="Times New Roman" w:eastAsia="Times New Roman" w:hAnsi="Times New Roman"/>
          <w:sz w:val="22"/>
          <w:szCs w:val="22"/>
        </w:rPr>
        <w:t xml:space="preserve">Variante D2-atr verwendet </w:t>
      </w:r>
      <w:r>
        <w:rPr>
          <w:rFonts w:ascii="Times New Roman" w:cs="Times New Roman" w:eastAsia="Times New Roman" w:hAnsi="Times New Roman"/>
          <w:i/>
          <w:iCs/>
          <w:sz w:val="22"/>
          <w:szCs w:val="22"/>
        </w:rPr>
        <w:t xml:space="preserve">atr_pct</w:t>
      </w:r>
      <w:r>
        <w:rPr>
          <w:rFonts w:ascii="Times New Roman" w:cs="Times New Roman" w:eastAsia="Times New Roman" w:hAnsi="Times New Roman"/>
          <w:sz w:val="22"/>
          <w:szCs w:val="22"/>
        </w:rPr>
        <w:t xml:space="preserve"> mit denselben Bandkanten, nur als Gegenprobe in Kandidat R5.</w:t>
      </w:r>
    </w:p>
    <w:p>
      <w:pPr>
        <w:pStyle w:val="Heading3"/>
        <w:keepNext/>
        <w:spacing w:after="140" w:before="300"/>
      </w:pPr>
      <w:r>
        <w:rPr>
          <w:rFonts w:ascii="Times New Roman" w:cs="Times New Roman" w:eastAsia="Times New Roman" w:hAnsi="Times New Roman"/>
          <w:b/>
          <w:bCs/>
          <w:color w:val="000000"/>
          <w:sz w:val="22"/>
          <w:szCs w:val="22"/>
        </w:rPr>
        <w:t xml:space="preserve">D3 Stress</w:t>
      </w:r>
    </w:p>
    <w:p>
      <w:pPr>
        <w:spacing w:after="0" w:before="0"/>
      </w:pPr>
      <w:r>
        <w:rPr>
          <w:rFonts w:ascii="Courier New" w:cs="Courier New" w:eastAsia="Courier New" w:hAnsi="Courier New"/>
          <w:sz w:val="17"/>
          <w:szCs w:val="17"/>
        </w:rPr>
        <w:t xml:space="preserve">STRESS_DOWN  falls dd ≤ dd_thr  und atr_pct ≥ 0.70  und above200 = falsch</w:t>
      </w:r>
    </w:p>
    <w:p>
      <w:pPr>
        <w:spacing w:after="0" w:before="0"/>
      </w:pPr>
      <w:r>
        <w:rPr>
          <w:rFonts w:ascii="Courier New" w:cs="Courier New" w:eastAsia="Courier New" w:hAnsi="Courier New"/>
          <w:sz w:val="17"/>
          <w:szCs w:val="17"/>
        </w:rPr>
        <w:t xml:space="preserve">STRESS_UP    falls du ≥ du_thr  und atr_pct ≥ 0.70  und above200 = wahr</w:t>
      </w:r>
    </w:p>
    <w:p>
      <w:pPr>
        <w:spacing w:after="0" w:before="0"/>
      </w:pPr>
      <w:r>
        <w:rPr>
          <w:rFonts w:ascii="Courier New" w:cs="Courier New" w:eastAsia="Courier New" w:hAnsi="Courier New"/>
          <w:sz w:val="17"/>
          <w:szCs w:val="17"/>
        </w:rPr>
        <w:t xml:space="preserve">CALM         sonst</w:t>
      </w:r>
    </w:p>
    <w:p>
      <w:pPr>
        <w:spacing w:after="120" w:before="60" w:line="300"/>
        <w:jc w:val="both"/>
      </w:pPr>
      <w:r>
        <w:rPr>
          <w:rFonts w:ascii="Times New Roman" w:cs="Times New Roman" w:eastAsia="Times New Roman" w:hAnsi="Times New Roman"/>
          <w:i/>
          <w:iCs/>
          <w:sz w:val="22"/>
          <w:szCs w:val="22"/>
        </w:rPr>
        <w:t xml:space="preserve">dd_thr ∈ {−0.20, −0.30}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du_thr</w:t>
      </w:r>
      <w:r>
        <w:rPr>
          <w:rFonts w:ascii="Times New Roman" w:cs="Times New Roman" w:eastAsia="Times New Roman" w:hAnsi="Times New Roman"/>
          <w:sz w:val="22"/>
          <w:szCs w:val="22"/>
        </w:rPr>
        <w:t xml:space="preserve"> ist keine freie Grösse, sondern der Drawup, der den Drawdown genau umkehrt: </w:t>
      </w:r>
      <w:r>
        <w:rPr>
          <w:rFonts w:ascii="Times New Roman" w:cs="Times New Roman" w:eastAsia="Times New Roman" w:hAnsi="Times New Roman"/>
          <w:i/>
          <w:iCs/>
          <w:sz w:val="22"/>
          <w:szCs w:val="22"/>
        </w:rPr>
        <w:t xml:space="preserve">du_thr = |dd_thr| / (1 − |dd_thr|)</w:t>
      </w:r>
      <w:r>
        <w:rPr>
          <w:rFonts w:ascii="Times New Roman" w:cs="Times New Roman" w:eastAsia="Times New Roman" w:hAnsi="Times New Roman"/>
          <w:sz w:val="22"/>
          <w:szCs w:val="22"/>
        </w:rPr>
        <w:t xml:space="preserve">, also 0.25 für −0.20 und 0.43 für −0.30. Damit bleibt ein einziger Freiheitsgrad, und die Definition ist in Kursverhältnissen spiegelsymmetrisch.</w:t>
      </w:r>
    </w:p>
    <w:p>
      <w:pPr>
        <w:spacing w:after="120" w:before="60" w:line="300"/>
        <w:jc w:val="both"/>
      </w:pPr>
      <w:r>
        <w:rPr>
          <w:rFonts w:ascii="Times New Roman" w:cs="Times New Roman" w:eastAsia="Times New Roman" w:hAnsi="Times New Roman"/>
          <w:sz w:val="22"/>
          <w:szCs w:val="22"/>
        </w:rPr>
        <w:t xml:space="preserve">Drei gleichzeitige Bedingungen, damit Stress selten und eindeutig bleibt. </w:t>
      </w:r>
      <w:r>
        <w:rPr>
          <w:rFonts w:ascii="Times New Roman" w:cs="Times New Roman" w:eastAsia="Times New Roman" w:hAnsi="Times New Roman"/>
          <w:i/>
          <w:iCs/>
          <w:sz w:val="22"/>
          <w:szCs w:val="22"/>
        </w:rPr>
        <w:t xml:space="preserve">STRESS_UP</w:t>
      </w:r>
      <w:r>
        <w:rPr>
          <w:rFonts w:ascii="Times New Roman" w:cs="Times New Roman" w:eastAsia="Times New Roman" w:hAnsi="Times New Roman"/>
          <w:sz w:val="22"/>
          <w:szCs w:val="22"/>
        </w:rPr>
        <w:t xml:space="preserve"> ist neu und beschreibt parabolische Phasen mit hoher Volatilität, die für eine Short-Seite dasselbe sind wie ein Crash für eine Long-Seite.</w:t>
      </w:r>
    </w:p>
    <w:p>
      <w:pPr>
        <w:pStyle w:val="Heading3"/>
        <w:keepNext/>
        <w:spacing w:after="140" w:before="300"/>
      </w:pPr>
      <w:r>
        <w:rPr>
          <w:rFonts w:ascii="Times New Roman" w:cs="Times New Roman" w:eastAsia="Times New Roman" w:hAnsi="Times New Roman"/>
          <w:b/>
          <w:bCs/>
          <w:color w:val="000000"/>
          <w:sz w:val="22"/>
          <w:szCs w:val="22"/>
        </w:rPr>
        <w:t xml:space="preserve">D4 Bestätigung</w:t>
      </w:r>
    </w:p>
    <w:p>
      <w:pPr>
        <w:spacing w:after="0" w:before="0"/>
      </w:pPr>
      <w:r>
        <w:rPr>
          <w:rFonts w:ascii="Courier New" w:cs="Courier New" w:eastAsia="Courier New" w:hAnsi="Courier New"/>
          <w:sz w:val="17"/>
          <w:szCs w:val="17"/>
        </w:rPr>
        <w:t xml:space="preserve">CONFIRMED    falls vol_confirm</w:t>
      </w:r>
    </w:p>
    <w:p>
      <w:pPr>
        <w:spacing w:after="0" w:before="0"/>
      </w:pPr>
      <w:r>
        <w:rPr>
          <w:rFonts w:ascii="Courier New" w:cs="Courier New" w:eastAsia="Courier New" w:hAnsi="Courier New"/>
          <w:sz w:val="17"/>
          <w:szCs w:val="17"/>
        </w:rPr>
        <w:t xml:space="preserve">UNCONFIRMED  sonst</w:t>
      </w:r>
    </w:p>
    <w:p>
      <w:pPr>
        <w:pStyle w:val="Heading3"/>
        <w:keepNext/>
        <w:spacing w:after="140" w:before="300"/>
      </w:pPr>
      <w:r>
        <w:rPr>
          <w:rFonts w:ascii="Times New Roman" w:cs="Times New Roman" w:eastAsia="Times New Roman" w:hAnsi="Times New Roman"/>
          <w:b/>
          <w:bCs/>
          <w:color w:val="000000"/>
          <w:sz w:val="22"/>
          <w:szCs w:val="22"/>
        </w:rPr>
        <w:t xml:space="preserve">D5 Funding</w:t>
      </w:r>
    </w:p>
    <w:p>
      <w:pPr>
        <w:spacing w:after="0" w:before="0"/>
      </w:pPr>
      <w:r>
        <w:rPr>
          <w:rFonts w:ascii="Courier New" w:cs="Courier New" w:eastAsia="Courier New" w:hAnsi="Courier New"/>
          <w:sz w:val="17"/>
          <w:szCs w:val="17"/>
        </w:rPr>
        <w:t xml:space="preserve">POS      falls f_7d ≥ +0.10</w:t>
      </w:r>
    </w:p>
    <w:p>
      <w:pPr>
        <w:spacing w:after="0" w:before="0"/>
      </w:pPr>
      <w:r>
        <w:rPr>
          <w:rFonts w:ascii="Courier New" w:cs="Courier New" w:eastAsia="Courier New" w:hAnsi="Courier New"/>
          <w:sz w:val="17"/>
          <w:szCs w:val="17"/>
        </w:rPr>
        <w:t xml:space="preserve">NEG      falls f_7d ≤ −0.10</w:t>
      </w:r>
    </w:p>
    <w:p>
      <w:pPr>
        <w:spacing w:after="0" w:before="0"/>
      </w:pPr>
      <w:r>
        <w:rPr>
          <w:rFonts w:ascii="Courier New" w:cs="Courier New" w:eastAsia="Courier New" w:hAnsi="Courier New"/>
          <w:sz w:val="17"/>
          <w:szCs w:val="17"/>
        </w:rPr>
        <w:t xml:space="preserve">NEUTRAL  sonst</w:t>
      </w:r>
    </w:p>
    <w:p>
      <w:pPr>
        <w:spacing w:after="120" w:before="60" w:line="300"/>
        <w:jc w:val="both"/>
      </w:pPr>
      <w:r>
        <w:rPr>
          <w:rFonts w:ascii="Times New Roman" w:cs="Times New Roman" w:eastAsia="Times New Roman" w:hAnsi="Times New Roman"/>
          <w:sz w:val="22"/>
          <w:szCs w:val="22"/>
        </w:rPr>
        <w:t xml:space="preserve">Schwelle zehn Prozent annualisiert, gesetzt vor dem Lauf. Die eigene Messung vom 15.09.2026 zeigt 30-Tage-Fenster zwischen −10 und +17 Prozent, die Schwelle liegt also im oberen Bereich des Beobachteten und soll nur ausgeprägte Phasen markieren. D5 läuft auf rund einem Jahr Daten und wird deshalb getrennt beurteilt, siehe Kandidat F1.</w:t>
      </w:r>
    </w:p>
    <w:p>
      <w:pPr>
        <w:pStyle w:val="Heading2"/>
        <w:keepNext/>
        <w:spacing w:after="140" w:before="300"/>
      </w:pPr>
      <w:r>
        <w:rPr>
          <w:rFonts w:ascii="Times New Roman" w:cs="Times New Roman" w:eastAsia="Times New Roman" w:hAnsi="Times New Roman"/>
          <w:b/>
          <w:bCs/>
          <w:color w:val="000000"/>
          <w:sz w:val="26"/>
          <w:szCs w:val="26"/>
        </w:rPr>
        <w:t xml:space="preserve">6. Vorregistrierte Kandidaten</w:t>
      </w:r>
    </w:p>
    <w:p>
      <w:pPr>
        <w:spacing w:after="120" w:before="60" w:line="300"/>
        <w:jc w:val="both"/>
      </w:pPr>
      <w:r>
        <w:rPr>
          <w:rFonts w:ascii="Times New Roman" w:cs="Times New Roman" w:eastAsia="Times New Roman" w:hAnsi="Times New Roman"/>
          <w:sz w:val="22"/>
          <w:szCs w:val="22"/>
        </w:rPr>
        <w:t xml:space="preserve">Der vollständige Kandidatenraum. Nichts anderes wird gerechnet.</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33"/>
        <w:gridCol w:w="1154"/>
        <w:gridCol w:w="1154"/>
        <w:gridCol w:w="1154"/>
        <w:gridCol w:w="1154"/>
        <w:gridCol w:w="1154"/>
        <w:gridCol w:w="1157"/>
      </w:tblGrid>
      <w:tr>
        <w:trPr>
          <w:tblHeader/>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ID</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D1</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D2</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D3</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D4</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adx_thr</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dd_thr</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R1</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D1a</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BBW</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aus</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aus</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20</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R2</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D1b</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BBW</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an</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aus</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20</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−0.30</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R3</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D1b</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BBW</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an</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Volumen</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20</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−0.30</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R4</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D1b</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BBW</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an</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aus</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25</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−0.30</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R5</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D1b</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ATR</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an</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aus</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15</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−0.20</w:t>
            </w:r>
          </w:p>
        </w:tc>
      </w:tr>
      <w:tr>
        <w:trPr>
          <w:tblHeader w:val="false"/>
        </w:trPr>
        <w:tc>
          <w:tcPr>
            <w:tcW w:type="dxa" w:w="2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F1</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Funding allein, Schwelle 0.10</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Gegenüber V1 ist bei R4 die Relative-Strength-Bestätigung entfallen, weil sie gegen BTC definiert war und in einem System, das BTC selbst short handeln kann, keinen klaren Sinn mehr hat.</w:t>
      </w:r>
    </w:p>
    <w:p>
      <w:pPr>
        <w:pStyle w:val="Heading3"/>
        <w:keepNext/>
        <w:spacing w:after="140" w:before="300"/>
      </w:pPr>
      <w:r>
        <w:rPr>
          <w:rFonts w:ascii="Times New Roman" w:cs="Times New Roman" w:eastAsia="Times New Roman" w:hAnsi="Times New Roman"/>
          <w:b/>
          <w:bCs/>
          <w:color w:val="000000"/>
          <w:sz w:val="22"/>
          <w:szCs w:val="22"/>
        </w:rPr>
        <w:t xml:space="preserve">Konsolidiertes Einzel-Label, Präzedenz</w:t>
      </w:r>
    </w:p>
    <w:p>
      <w:pPr>
        <w:spacing w:after="0" w:before="0"/>
      </w:pPr>
      <w:r>
        <w:rPr>
          <w:rFonts w:ascii="Courier New" w:cs="Courier New" w:eastAsia="Courier New" w:hAnsi="Courier New"/>
          <w:sz w:val="17"/>
          <w:szCs w:val="17"/>
        </w:rPr>
        <w:t xml:space="preserve">1. STRESS_DOWN oder STRESS_UP</w:t>
      </w:r>
    </w:p>
    <w:p>
      <w:pPr>
        <w:spacing w:after="0" w:before="0"/>
      </w:pPr>
      <w:r>
        <w:rPr>
          <w:rFonts w:ascii="Courier New" w:cs="Courier New" w:eastAsia="Courier New" w:hAnsi="Courier New"/>
          <w:sz w:val="17"/>
          <w:szCs w:val="17"/>
        </w:rPr>
        <w:t xml:space="preserve">2. EXPANSION</w:t>
      </w:r>
    </w:p>
    <w:p>
      <w:pPr>
        <w:spacing w:after="0" w:before="0"/>
      </w:pPr>
      <w:r>
        <w:rPr>
          <w:rFonts w:ascii="Courier New" w:cs="Courier New" w:eastAsia="Courier New" w:hAnsi="Courier New"/>
          <w:sz w:val="17"/>
          <w:szCs w:val="17"/>
        </w:rPr>
        <w:t xml:space="preserve">3. UP oder DOWN  (D2 ungleich EXPANSION)</w:t>
      </w:r>
    </w:p>
    <w:p>
      <w:pPr>
        <w:spacing w:after="0" w:before="0"/>
      </w:pPr>
      <w:r>
        <w:rPr>
          <w:rFonts w:ascii="Courier New" w:cs="Courier New" w:eastAsia="Courier New" w:hAnsi="Courier New"/>
          <w:sz w:val="17"/>
          <w:szCs w:val="17"/>
        </w:rPr>
        <w:t xml:space="preserve">4. SQUEEZE       (D1 = RANGE)</w:t>
      </w:r>
    </w:p>
    <w:p>
      <w:pPr>
        <w:spacing w:after="0" w:before="0"/>
      </w:pPr>
      <w:r>
        <w:rPr>
          <w:rFonts w:ascii="Courier New" w:cs="Courier New" w:eastAsia="Courier New" w:hAnsi="Courier New"/>
          <w:sz w:val="17"/>
          <w:szCs w:val="17"/>
        </w:rPr>
        <w:t xml:space="preserve">5. RANGE</w:t>
      </w:r>
    </w:p>
    <w:p>
      <w:pPr>
        <w:pStyle w:val="Heading2"/>
        <w:keepNext/>
        <w:spacing w:after="140" w:before="300"/>
      </w:pPr>
      <w:r>
        <w:rPr>
          <w:rFonts w:ascii="Times New Roman" w:cs="Times New Roman" w:eastAsia="Times New Roman" w:hAnsi="Times New Roman"/>
          <w:b/>
          <w:bCs/>
          <w:color w:val="000000"/>
          <w:sz w:val="26"/>
          <w:szCs w:val="26"/>
        </w:rPr>
        <w:t xml:space="preserve">7. Robustheitsmetriken und Hard-Fail-Schwellen</w:t>
      </w:r>
    </w:p>
    <w:p>
      <w:pPr>
        <w:spacing w:after="120" w:before="60" w:line="300"/>
        <w:jc w:val="both"/>
      </w:pPr>
      <w:r>
        <w:rPr>
          <w:rFonts w:ascii="Times New Roman" w:cs="Times New Roman" w:eastAsia="Times New Roman" w:hAnsi="Times New Roman"/>
          <w:sz w:val="22"/>
          <w:szCs w:val="22"/>
        </w:rPr>
        <w:t xml:space="preserve">Ein Kandidat gilt als </w:t>
      </w:r>
      <w:r>
        <w:rPr>
          <w:rFonts w:ascii="Times New Roman" w:cs="Times New Roman" w:eastAsia="Times New Roman" w:hAnsi="Times New Roman"/>
          <w:b/>
          <w:bCs/>
          <w:sz w:val="22"/>
          <w:szCs w:val="22"/>
        </w:rPr>
        <w:t xml:space="preserve">TAUGLICH</w:t>
      </w:r>
      <w:r>
        <w:rPr>
          <w:rFonts w:ascii="Times New Roman" w:cs="Times New Roman" w:eastAsia="Times New Roman" w:hAnsi="Times New Roman"/>
          <w:sz w:val="22"/>
          <w:szCs w:val="22"/>
        </w:rPr>
        <w:t xml:space="preserve">, wenn er alle Schwellen erfüllt. Eine Verfehlung genügt für </w:t>
      </w:r>
      <w:r>
        <w:rPr>
          <w:rFonts w:ascii="Times New Roman" w:cs="Times New Roman" w:eastAsia="Times New Roman" w:hAnsi="Times New Roman"/>
          <w:b/>
          <w:bCs/>
          <w:sz w:val="22"/>
          <w:szCs w:val="22"/>
        </w:rPr>
        <w:t xml:space="preserve">VERWORFEN</w:t>
      </w:r>
      <w:r>
        <w:rPr>
          <w:rFonts w:ascii="Times New Roman" w:cs="Times New Roman" w:eastAsia="Times New Roman" w:hAnsi="Times New Roman"/>
          <w:sz w:val="22"/>
          <w:szCs w:val="22"/>
        </w:rPr>
        <w:t xml:space="preserve">.</w:t>
      </w:r>
    </w:p>
    <w:p>
      <w:pPr>
        <w:spacing w:after="60" w:before="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tblHeader/>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Metrik</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bCs/>
                <w:sz w:val="19"/>
                <w:szCs w:val="19"/>
              </w:rPr>
              <w:t xml:space="preserve">Schwelle</w:t>
            </w:r>
          </w:p>
        </w:tc>
      </w:tr>
      <w:tr>
        <w:trPr>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Median-Verweildauer, häufige Zustände (UP, DOWN, RANGE, NORMAL, CALM)</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 10 Bars</w:t>
            </w:r>
          </w:p>
        </w:tc>
      </w:tr>
      <w:tr>
        <w:trPr>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Median-Verweildauer, seltene Zustände (STRESS, EXPANSION, SQUEEZE)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 5 Bars</w:t>
            </w:r>
          </w:p>
        </w:tc>
      </w:tr>
      <w:tr>
        <w:trPr>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Anteil Ein-Bar-Episoden je Dimension</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 25 %</w:t>
            </w:r>
          </w:p>
        </w:tc>
      </w:tr>
      <w:tr>
        <w:trPr>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Wechsel je 252 Bars, D1</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 30</w:t>
            </w:r>
          </w:p>
        </w:tc>
      </w:tr>
      <w:tr>
        <w:trPr>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Wechsel je 252 Bars, D2</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 30</w:t>
            </w:r>
          </w:p>
        </w:tc>
      </w:tr>
      <w:tr>
        <w:trPr>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Wechsel je 252 Bars, D3</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 12</w:t>
            </w:r>
          </w:p>
        </w:tc>
      </w:tr>
      <w:tr>
        <w:trPr>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Jitter-Übereinstimmung, Mittel über alle Einzel-Jitter</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 85 %</w:t>
            </w:r>
          </w:p>
        </w:tc>
      </w:tr>
      <w:tr>
        <w:trPr>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Jitter-Übereinstimmung, schlechtester Einzel-Jitter</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 75 %</w:t>
            </w:r>
          </w:p>
        </w:tc>
      </w:tr>
      <w:tr>
        <w:trPr>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Coin-Abdeckung</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BTC und ETH und Mehrheit der übrigen Coins</w:t>
            </w:r>
          </w:p>
        </w:tc>
      </w:tr>
      <w:tr>
        <w:trPr>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Zeitblock-Abdeckung</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pPr>
            <w:r>
              <w:rPr>
                <w:rFonts w:ascii="Times New Roman" w:cs="Times New Roman" w:eastAsia="Times New Roman" w:hAnsi="Times New Roman"/>
                <w:b w:val="false"/>
                <w:bCs w:val="false"/>
                <w:sz w:val="19"/>
                <w:szCs w:val="19"/>
              </w:rPr>
              <w:t xml:space="preserve">Schwellen in ≥ 70 % der Blöcke, keine Kennzahl weicht in einem Block um mehr als Faktor 2 vom Median über die Blöcke ab</w:t>
            </w:r>
          </w:p>
        </w:tc>
      </w:tr>
    </w:tbl>
    <w:p>
      <w:pPr>
        <w:spacing w:after="120" w:before="60"/>
      </w:pPr>
    </w:p>
    <w:p>
      <w:pPr>
        <w:spacing w:after="120" w:before="60" w:line="300"/>
        <w:jc w:val="both"/>
      </w:pPr>
      <w:r>
        <w:rPr>
          <w:rFonts w:ascii="Times New Roman" w:cs="Times New Roman" w:eastAsia="Times New Roman" w:hAnsi="Times New Roman"/>
          <w:sz w:val="22"/>
          <w:szCs w:val="22"/>
        </w:rPr>
        <w:t xml:space="preserve">Die D1-Grenze liegt bei 30 statt 26, weil drei Zustände eine zusätzliche Grenze haben, an der gewechselt werden kann. Das ist eine bewusste, vorab gesetzte Anpassung.</w:t>
      </w:r>
    </w:p>
    <w:p>
      <w:pPr>
        <w:spacing w:after="120" w:before="60" w:line="300"/>
        <w:jc w:val="both"/>
      </w:pPr>
      <w:r>
        <w:rPr>
          <w:rFonts w:ascii="Times New Roman" w:cs="Times New Roman" w:eastAsia="Times New Roman" w:hAnsi="Times New Roman"/>
          <w:b/>
          <w:bCs/>
          <w:sz w:val="22"/>
          <w:szCs w:val="22"/>
        </w:rPr>
        <w:t xml:space="preserve">Jitter-Stufen.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adx_thr ±2</w:t>
      </w:r>
      <w:r>
        <w:rPr>
          <w:rFonts w:ascii="Times New Roman" w:cs="Times New Roman" w:eastAsia="Times New Roman" w:hAnsi="Times New Roman"/>
          <w:sz w:val="22"/>
          <w:szCs w:val="22"/>
        </w:rPr>
        <w:t xml:space="preserve">, Bandkanten </w:t>
      </w:r>
      <w:r>
        <w:rPr>
          <w:rFonts w:ascii="Times New Roman" w:cs="Times New Roman" w:eastAsia="Times New Roman" w:hAnsi="Times New Roman"/>
          <w:i/>
          <w:iCs/>
          <w:sz w:val="22"/>
          <w:szCs w:val="22"/>
        </w:rPr>
        <w:t xml:space="preserve">±0.05</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dd_thr ±0.05</w:t>
      </w:r>
      <w:r>
        <w:rPr>
          <w:rFonts w:ascii="Times New Roman" w:cs="Times New Roman" w:eastAsia="Times New Roman" w:hAnsi="Times New Roman"/>
          <w:sz w:val="22"/>
          <w:szCs w:val="22"/>
        </w:rPr>
        <w:t xml:space="preserve"> (und damit </w:t>
      </w:r>
      <w:r>
        <w:rPr>
          <w:rFonts w:ascii="Times New Roman" w:cs="Times New Roman" w:eastAsia="Times New Roman" w:hAnsi="Times New Roman"/>
          <w:i/>
          <w:iCs/>
          <w:sz w:val="22"/>
          <w:szCs w:val="22"/>
        </w:rPr>
        <w:t xml:space="preserve">du_thr</w:t>
      </w:r>
      <w:r>
        <w:rPr>
          <w:rFonts w:ascii="Times New Roman" w:cs="Times New Roman" w:eastAsia="Times New Roman" w:hAnsi="Times New Roman"/>
          <w:sz w:val="22"/>
          <w:szCs w:val="22"/>
        </w:rPr>
        <w:t xml:space="preserve"> mitlaufend), MA100 → {90, 110}, </w:t>
      </w:r>
      <w:r>
        <w:rPr>
          <w:rFonts w:ascii="Times New Roman" w:cs="Times New Roman" w:eastAsia="Times New Roman" w:hAnsi="Times New Roman"/>
          <w:i/>
          <w:iCs/>
          <w:sz w:val="22"/>
          <w:szCs w:val="22"/>
        </w:rPr>
        <w:t xml:space="preserve">W_vol</w:t>
      </w:r>
      <w:r>
        <w:rPr>
          <w:rFonts w:ascii="Times New Roman" w:cs="Times New Roman" w:eastAsia="Times New Roman" w:hAnsi="Times New Roman"/>
          <w:sz w:val="22"/>
          <w:szCs w:val="22"/>
        </w:rPr>
        <w:t xml:space="preserve"> → {189, 315}, Funding-Schwelle </w:t>
      </w:r>
      <w:r>
        <w:rPr>
          <w:rFonts w:ascii="Times New Roman" w:cs="Times New Roman" w:eastAsia="Times New Roman" w:hAnsi="Times New Roman"/>
          <w:i/>
          <w:iCs/>
          <w:sz w:val="22"/>
          <w:szCs w:val="22"/>
        </w:rPr>
        <w:t xml:space="preserve">±0.025</w:t>
      </w:r>
      <w:r>
        <w:rPr>
          <w:rFonts w:ascii="Times New Roman" w:cs="Times New Roman" w:eastAsia="Times New Roman" w:hAnsi="Times New Roman"/>
          <w:sz w:val="22"/>
          <w:szCs w:val="22"/>
        </w:rPr>
        <w:t xml:space="preserve">.</w:t>
      </w:r>
    </w:p>
    <w:p>
      <w:pPr>
        <w:spacing w:after="120" w:before="60" w:line="300"/>
        <w:jc w:val="both"/>
      </w:pPr>
      <w:r>
        <w:rPr>
          <w:rFonts w:ascii="Times New Roman" w:cs="Times New Roman" w:eastAsia="Times New Roman" w:hAnsi="Times New Roman"/>
          <w:b/>
          <w:bCs/>
          <w:sz w:val="22"/>
          <w:szCs w:val="22"/>
        </w:rPr>
        <w:t xml:space="preserve">Zeitblöcke, primär.</w:t>
      </w:r>
      <w:r>
        <w:rPr>
          <w:rFonts w:ascii="Times New Roman" w:cs="Times New Roman" w:eastAsia="Times New Roman" w:hAnsi="Times New Roman"/>
          <w:sz w:val="22"/>
          <w:szCs w:val="22"/>
        </w:rPr>
        <w:t xml:space="preserve"> Nicht überlappende Kalenderjahre 2018 bis 2025, dazu 2026 als Teilblock, falls mindestens 200 Bars vorliegen.</w:t>
      </w:r>
    </w:p>
    <w:p>
      <w:pPr>
        <w:spacing w:after="120" w:before="60" w:line="300"/>
        <w:jc w:val="both"/>
      </w:pPr>
      <w:r>
        <w:rPr>
          <w:rFonts w:ascii="Times New Roman" w:cs="Times New Roman" w:eastAsia="Times New Roman" w:hAnsi="Times New Roman"/>
          <w:b/>
          <w:bCs/>
          <w:sz w:val="22"/>
          <w:szCs w:val="22"/>
        </w:rPr>
        <w:t xml:space="preserve">Zeitblöcke, Gegenprobe.</w:t>
      </w:r>
      <w:r>
        <w:rPr>
          <w:rFonts w:ascii="Times New Roman" w:cs="Times New Roman" w:eastAsia="Times New Roman" w:hAnsi="Times New Roman"/>
          <w:sz w:val="22"/>
          <w:szCs w:val="22"/>
        </w:rPr>
        <w:t xml:space="preserve"> Halving-Zyklen, weil sie durch das Protokoll und nicht durch den Kurs bestimmt sind: 2017-08 bis 2020-05, 2020-05 bis 2024-04, 2024-04 bis heute.</w:t>
      </w:r>
    </w:p>
    <w:p>
      <w:pPr>
        <w:spacing w:after="120" w:before="60" w:line="300"/>
        <w:jc w:val="both"/>
      </w:pPr>
      <w:r>
        <w:rPr>
          <w:rFonts w:ascii="Times New Roman" w:cs="Times New Roman" w:eastAsia="Times New Roman" w:hAnsi="Times New Roman"/>
          <w:b/>
          <w:bCs/>
          <w:sz w:val="22"/>
          <w:szCs w:val="22"/>
        </w:rPr>
        <w:t xml:space="preserve">Interne Konsistenz.</w:t>
      </w:r>
      <w:r>
        <w:rPr>
          <w:rFonts w:ascii="Times New Roman" w:cs="Times New Roman" w:eastAsia="Times New Roman" w:hAnsi="Times New Roman"/>
          <w:sz w:val="22"/>
          <w:szCs w:val="22"/>
        </w:rPr>
        <w:t xml:space="preserve"> Überlappung der EXPANSION-Bars zwischen </w:t>
      </w:r>
      <w:r>
        <w:rPr>
          <w:rFonts w:ascii="Times New Roman" w:cs="Times New Roman" w:eastAsia="Times New Roman" w:hAnsi="Times New Roman"/>
          <w:i/>
          <w:iCs/>
          <w:sz w:val="22"/>
          <w:szCs w:val="22"/>
        </w:rPr>
        <w:t xml:space="preserve">atr_pct</w:t>
      </w:r>
      <w:r>
        <w:rPr>
          <w:rFonts w:ascii="Times New Roman" w:cs="Times New Roman" w:eastAsia="Times New Roman" w:hAnsi="Times New Roman"/>
          <w:sz w:val="22"/>
          <w:szCs w:val="22"/>
        </w:rPr>
        <w:t xml:space="preserve"> und </w:t>
      </w:r>
      <w:r>
        <w:rPr>
          <w:rFonts w:ascii="Times New Roman" w:cs="Times New Roman" w:eastAsia="Times New Roman" w:hAnsi="Times New Roman"/>
          <w:i/>
          <w:iCs/>
          <w:sz w:val="22"/>
          <w:szCs w:val="22"/>
        </w:rPr>
        <w:t xml:space="preserve">bbw_pct</w:t>
      </w:r>
      <w:r>
        <w:rPr>
          <w:rFonts w:ascii="Times New Roman" w:cs="Times New Roman" w:eastAsia="Times New Roman" w:hAnsi="Times New Roman"/>
          <w:sz w:val="22"/>
          <w:szCs w:val="22"/>
        </w:rPr>
        <w:t xml:space="preserve"> ≥ 60 Prozent. Verfehlung ist ein Warnhinweis, kein Hard-Fail.</w:t>
      </w:r>
    </w:p>
    <w:p>
      <w:pPr>
        <w:spacing w:after="120" w:before="60" w:line="300"/>
        <w:jc w:val="both"/>
      </w:pPr>
      <w:r>
        <w:rPr>
          <w:rFonts w:ascii="Times New Roman" w:cs="Times New Roman" w:eastAsia="Times New Roman" w:hAnsi="Times New Roman"/>
          <w:b/>
          <w:bCs/>
          <w:sz w:val="22"/>
          <w:szCs w:val="22"/>
        </w:rPr>
        <w:t xml:space="preserve">Kandidat F1</w:t>
      </w:r>
      <w:r>
        <w:rPr>
          <w:rFonts w:ascii="Times New Roman" w:cs="Times New Roman" w:eastAsia="Times New Roman" w:hAnsi="Times New Roman"/>
          <w:sz w:val="22"/>
          <w:szCs w:val="22"/>
        </w:rPr>
        <w:t xml:space="preserve"> wird nur auf BTC, ETH, SOL und nur ab 10.09.2025 geprüft. Es gelten Verweildauer ≥ 5 Bars, Ein-Bar-Anteil ≤ 25 Prozent, Wechsel ≤ 30 je 252 Bars, Jitter ≥ 85 und ≥ 75 Prozent. Zeitblöcke und Coin-Mehrheit entfallen wegen der kurzen Historie. Ein Bestehen von F1 wird als </w:t>
      </w:r>
      <w:r>
        <w:rPr>
          <w:rFonts w:ascii="Times New Roman" w:cs="Times New Roman" w:eastAsia="Times New Roman" w:hAnsi="Times New Roman"/>
          <w:b/>
          <w:bCs/>
          <w:sz w:val="22"/>
          <w:szCs w:val="22"/>
        </w:rPr>
        <w:t xml:space="preserve">VORLÄUFIG TAUGLICH</w:t>
      </w:r>
      <w:r>
        <w:rPr>
          <w:rFonts w:ascii="Times New Roman" w:cs="Times New Roman" w:eastAsia="Times New Roman" w:hAnsi="Times New Roman"/>
          <w:sz w:val="22"/>
          <w:szCs w:val="22"/>
        </w:rPr>
        <w:t xml:space="preserve"> geführt und muss nach einem weiteren Jahr Daten wiederholt werden.</w:t>
      </w:r>
    </w:p>
    <w:p>
      <w:pPr>
        <w:pStyle w:val="Heading2"/>
        <w:keepNext/>
        <w:spacing w:after="140" w:before="300"/>
      </w:pPr>
      <w:r>
        <w:rPr>
          <w:rFonts w:ascii="Times New Roman" w:cs="Times New Roman" w:eastAsia="Times New Roman" w:hAnsi="Times New Roman"/>
          <w:b/>
          <w:bCs/>
          <w:color w:val="000000"/>
          <w:sz w:val="26"/>
          <w:szCs w:val="26"/>
        </w:rPr>
        <w:t xml:space="preserve">8. Ablauf des Rechenlaufs</w:t>
      </w:r>
    </w:p>
    <w:p>
      <w:pPr>
        <w:spacing w:after="40" w:before="40" w:line="280"/>
        <w:ind w:left="431" w:hanging="431"/>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Prüfsummen der Eingabedateien aus </w:t>
      </w:r>
      <w:r>
        <w:rPr>
          <w:rFonts w:ascii="Times New Roman" w:cs="Times New Roman" w:eastAsia="Times New Roman" w:hAnsi="Times New Roman"/>
          <w:i/>
          <w:iCs/>
          <w:sz w:val="22"/>
          <w:szCs w:val="22"/>
        </w:rPr>
        <w:t xml:space="preserve">provenance.json</w:t>
      </w:r>
      <w:r>
        <w:rPr>
          <w:rFonts w:ascii="Times New Roman" w:cs="Times New Roman" w:eastAsia="Times New Roman" w:hAnsi="Times New Roman"/>
          <w:sz w:val="22"/>
          <w:szCs w:val="22"/>
        </w:rPr>
        <w:t xml:space="preserve"> in das Laufprotokoll übernehmen.</w:t>
      </w:r>
    </w:p>
    <w:p>
      <w:pPr>
        <w:spacing w:after="40" w:before="40" w:line="280"/>
        <w:ind w:left="431" w:hanging="431"/>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Je Coin alle Variablen aus Abschnitt 4 berechnen, strikt trailing.</w:t>
      </w:r>
    </w:p>
    <w:p>
      <w:pPr>
        <w:spacing w:after="40" w:before="40" w:line="280"/>
        <w:ind w:left="431" w:hanging="431"/>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Je Kandidat und Coin die Labels je Bar erzeugen, </w:t>
      </w:r>
      <w:r>
        <w:rPr>
          <w:rFonts w:ascii="Times New Roman" w:cs="Times New Roman" w:eastAsia="Times New Roman" w:hAnsi="Times New Roman"/>
          <w:i/>
          <w:iCs/>
          <w:sz w:val="22"/>
          <w:szCs w:val="22"/>
        </w:rPr>
        <w:t xml:space="preserve">undefined</w:t>
      </w:r>
      <w:r>
        <w:rPr>
          <w:rFonts w:ascii="Times New Roman" w:cs="Times New Roman" w:eastAsia="Times New Roman" w:hAnsi="Times New Roman"/>
          <w:sz w:val="22"/>
          <w:szCs w:val="22"/>
        </w:rPr>
        <w:t xml:space="preserve"> im Warmup.</w:t>
      </w:r>
    </w:p>
    <w:p>
      <w:pPr>
        <w:spacing w:after="40" w:before="40" w:line="280"/>
        <w:ind w:left="431" w:hanging="431"/>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Je Kandidat, Dimension, Coin und Zeitblock die Metriken aus Abschnitt 7 berechnen.</w:t>
      </w:r>
    </w:p>
    <w:p>
      <w:pPr>
        <w:spacing w:after="40" w:before="40" w:line="280"/>
        <w:ind w:left="431" w:hanging="431"/>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Jitter-Varianten rechnen und jede einzelne in </w:t>
      </w:r>
      <w:r>
        <w:rPr>
          <w:rFonts w:ascii="Times New Roman" w:cs="Times New Roman" w:eastAsia="Times New Roman" w:hAnsi="Times New Roman"/>
          <w:i/>
          <w:iCs/>
          <w:sz w:val="22"/>
          <w:szCs w:val="22"/>
        </w:rPr>
        <w:t xml:space="preserve">stage1_config_log.csv</w:t>
      </w:r>
      <w:r>
        <w:rPr>
          <w:rFonts w:ascii="Times New Roman" w:cs="Times New Roman" w:eastAsia="Times New Roman" w:hAnsi="Times New Roman"/>
          <w:sz w:val="22"/>
          <w:szCs w:val="22"/>
        </w:rPr>
        <w:t xml:space="preserve"> eintragen.</w:t>
      </w:r>
    </w:p>
    <w:p>
      <w:pPr>
        <w:spacing w:after="40" w:before="40" w:line="280"/>
        <w:ind w:left="431" w:hanging="431"/>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Hard-Fail-Tabelle mechanisch auswerten. Kein Ermessen.</w:t>
      </w:r>
    </w:p>
    <w:p>
      <w:pPr>
        <w:spacing w:after="40" w:before="40" w:line="280"/>
        <w:ind w:left="431" w:hanging="431"/>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Bericht schreiben, taugliche Definitionen einfrieren.</w:t>
      </w:r>
    </w:p>
    <w:p>
      <w:pPr>
        <w:spacing w:after="120" w:before="60" w:line="300"/>
        <w:jc w:val="both"/>
      </w:pPr>
      <w:r>
        <w:rPr>
          <w:rFonts w:ascii="Times New Roman" w:cs="Times New Roman" w:eastAsia="Times New Roman" w:hAnsi="Times New Roman"/>
          <w:sz w:val="22"/>
          <w:szCs w:val="22"/>
        </w:rPr>
        <w:t xml:space="preserve">Der Lauf erfolgt in der Claude-Umgebung auf einer Kopie der Rohdaten. Ergebnisse werden in diesen Ordner zurückgeschrieben.</w:t>
      </w:r>
    </w:p>
    <w:p>
      <w:pPr>
        <w:pStyle w:val="Heading2"/>
        <w:keepNext/>
        <w:spacing w:after="140" w:before="300"/>
      </w:pPr>
      <w:r>
        <w:rPr>
          <w:rFonts w:ascii="Times New Roman" w:cs="Times New Roman" w:eastAsia="Times New Roman" w:hAnsi="Times New Roman"/>
          <w:b/>
          <w:bCs/>
          <w:color w:val="000000"/>
          <w:sz w:val="26"/>
          <w:szCs w:val="26"/>
        </w:rPr>
        <w:t xml:space="preserve">9. Ergebnisdateien</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frozen_regimes_v1.json</w:t>
      </w:r>
      <w:r>
        <w:rPr>
          <w:rFonts w:ascii="Times New Roman" w:cs="Times New Roman" w:eastAsia="Times New Roman" w:hAnsi="Times New Roman"/>
          <w:sz w:val="22"/>
          <w:szCs w:val="22"/>
        </w:rPr>
        <w:t xml:space="preserve"> — taugliche Definitionen mit allen Parametern, Präzedenz, Prüfsummen der Eingaben, Datum des Einfrierens</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stage1_labels/{coin}.csv</w:t>
      </w:r>
      <w:r>
        <w:rPr>
          <w:rFonts w:ascii="Times New Roman" w:cs="Times New Roman" w:eastAsia="Times New Roman" w:hAnsi="Times New Roman"/>
          <w:sz w:val="22"/>
          <w:szCs w:val="22"/>
        </w:rPr>
        <w:t xml:space="preserve"> — je Bar das Tupel (D1, D2, D3, D4, D5) und das konsolidierte Label</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stage1_robustness_report.md</w:t>
      </w:r>
      <w:r>
        <w:rPr>
          <w:rFonts w:ascii="Times New Roman" w:cs="Times New Roman" w:eastAsia="Times New Roman" w:hAnsi="Times New Roman"/>
          <w:sz w:val="22"/>
          <w:szCs w:val="22"/>
        </w:rPr>
        <w:t xml:space="preserve"> — alle Metriken je Kandidat, Coin, Block, mit Hard-Fail-Tabelle und Urteil</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stage1_config_log.csv</w:t>
      </w:r>
      <w:r>
        <w:rPr>
          <w:rFonts w:ascii="Times New Roman" w:cs="Times New Roman" w:eastAsia="Times New Roman" w:hAnsi="Times New Roman"/>
          <w:sz w:val="22"/>
          <w:szCs w:val="22"/>
        </w:rPr>
        <w:t xml:space="preserve"> — jede gerechnete Konfiguration inklusive Jitter</w:t>
      </w:r>
    </w:p>
    <w:p>
      <w:pPr>
        <w:spacing w:after="40" w:before="40" w:line="280"/>
        <w:ind w:left="431" w:hanging="259"/>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stage1_summary.md</w:t>
      </w:r>
      <w:r>
        <w:rPr>
          <w:rFonts w:ascii="Times New Roman" w:cs="Times New Roman" w:eastAsia="Times New Roman" w:hAnsi="Times New Roman"/>
          <w:sz w:val="22"/>
          <w:szCs w:val="22"/>
        </w:rPr>
        <w:t xml:space="preserve"> — Fazit in Klartext, auch bei «kein Kandidat tauglich»</w:t>
      </w:r>
    </w:p>
    <w:p>
      <w:pPr>
        <w:pStyle w:val="Heading2"/>
        <w:keepNext/>
        <w:spacing w:after="140" w:before="300"/>
      </w:pPr>
      <w:r>
        <w:rPr>
          <w:rFonts w:ascii="Times New Roman" w:cs="Times New Roman" w:eastAsia="Times New Roman" w:hAnsi="Times New Roman"/>
          <w:b/>
          <w:bCs/>
          <w:color w:val="000000"/>
          <w:sz w:val="26"/>
          <w:szCs w:val="26"/>
        </w:rPr>
        <w:t xml:space="preserve">10. Freeze-Protokoll</w:t>
      </w:r>
    </w:p>
    <w:p>
      <w:pPr>
        <w:spacing w:after="120" w:before="60" w:line="300"/>
        <w:jc w:val="both"/>
      </w:pPr>
      <w:r>
        <w:rPr>
          <w:rFonts w:ascii="Times New Roman" w:cs="Times New Roman" w:eastAsia="Times New Roman" w:hAnsi="Times New Roman"/>
          <w:sz w:val="22"/>
          <w:szCs w:val="22"/>
        </w:rPr>
        <w:t xml:space="preserve">Taugliche Definitionen werden mit exakten Parametern eingefroren und erhalten die Versionsnummer 1. Jede spätere Änderung erzeugt Version 2 und macht alle darauf aufbauenden Stufe-3-Ergebnisse ungültig. In Stufe 3 wird der Filter nicht an Handelsperformance nachgezogen.</w:t>
      </w:r>
    </w:p>
    <w:p>
      <w:pPr>
        <w:spacing w:after="120" w:before="60" w:line="300"/>
        <w:jc w:val="both"/>
      </w:pPr>
      <w:r>
        <w:rPr>
          <w:rFonts w:ascii="Times New Roman" w:cs="Times New Roman" w:eastAsia="Times New Roman" w:hAnsi="Times New Roman"/>
          <w:sz w:val="22"/>
          <w:szCs w:val="22"/>
        </w:rPr>
        <w:t xml:space="preserve">Besteht kein Kandidat, ist die Nullhypothese nicht widerlegt. Das wird als gültiges Ergebnis dokumentiert. Stufe 2 läuft dann ohne Regimefilter, und Stufe 3 entfällt.</w:t>
      </w:r>
    </w:p>
    <w:p>
      <w:pPr>
        <w:pStyle w:val="Heading2"/>
        <w:keepNext/>
        <w:spacing w:after="140" w:before="300"/>
      </w:pPr>
      <w:r>
        <w:rPr>
          <w:rFonts w:ascii="Times New Roman" w:cs="Times New Roman" w:eastAsia="Times New Roman" w:hAnsi="Times New Roman"/>
          <w:b/>
          <w:bCs/>
          <w:color w:val="000000"/>
          <w:sz w:val="26"/>
          <w:szCs w:val="26"/>
        </w:rPr>
        <w:t xml:space="preserve">11. Änderungen gegenüber der Spezifikation vom 03.08.2026</w:t>
      </w:r>
    </w:p>
    <w:p>
      <w:pPr>
        <w:spacing w:after="40" w:before="40" w:line="280"/>
        <w:ind w:left="431" w:hanging="431"/>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D1 ist dreiwertig und symmetrisch. </w:t>
      </w:r>
      <w:r>
        <w:rPr>
          <w:rFonts w:ascii="Times New Roman" w:cs="Times New Roman" w:eastAsia="Times New Roman" w:hAnsi="Times New Roman"/>
          <w:i/>
          <w:iCs/>
          <w:sz w:val="22"/>
          <w:szCs w:val="22"/>
        </w:rPr>
        <w:t xml:space="preserve">DOWN</w:t>
      </w:r>
      <w:r>
        <w:rPr>
          <w:rFonts w:ascii="Times New Roman" w:cs="Times New Roman" w:eastAsia="Times New Roman" w:hAnsi="Times New Roman"/>
          <w:sz w:val="22"/>
          <w:szCs w:val="22"/>
        </w:rPr>
        <w:t xml:space="preserve"> ist ein eigener Zustand.</w:t>
      </w:r>
    </w:p>
    <w:p>
      <w:pPr>
        <w:spacing w:after="40" w:before="40" w:line="280"/>
        <w:ind w:left="431" w:hanging="431"/>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D3 hat mit </w:t>
      </w:r>
      <w:r>
        <w:rPr>
          <w:rFonts w:ascii="Times New Roman" w:cs="Times New Roman" w:eastAsia="Times New Roman" w:hAnsi="Times New Roman"/>
          <w:i/>
          <w:iCs/>
          <w:sz w:val="22"/>
          <w:szCs w:val="22"/>
        </w:rPr>
        <w:t xml:space="preserve">STRESS_UP</w:t>
      </w:r>
      <w:r>
        <w:rPr>
          <w:rFonts w:ascii="Times New Roman" w:cs="Times New Roman" w:eastAsia="Times New Roman" w:hAnsi="Times New Roman"/>
          <w:sz w:val="22"/>
          <w:szCs w:val="22"/>
        </w:rPr>
        <w:t xml:space="preserve"> einen gespiegelten Zustand. </w:t>
      </w:r>
      <w:r>
        <w:rPr>
          <w:rFonts w:ascii="Times New Roman" w:cs="Times New Roman" w:eastAsia="Times New Roman" w:hAnsi="Times New Roman"/>
          <w:i/>
          <w:iCs/>
          <w:sz w:val="22"/>
          <w:szCs w:val="22"/>
        </w:rPr>
        <w:t xml:space="preserve">du_thr</w:t>
      </w:r>
      <w:r>
        <w:rPr>
          <w:rFonts w:ascii="Times New Roman" w:cs="Times New Roman" w:eastAsia="Times New Roman" w:hAnsi="Times New Roman"/>
          <w:sz w:val="22"/>
          <w:szCs w:val="22"/>
        </w:rPr>
        <w:t xml:space="preserve"> ist aus </w:t>
      </w:r>
      <w:r>
        <w:rPr>
          <w:rFonts w:ascii="Times New Roman" w:cs="Times New Roman" w:eastAsia="Times New Roman" w:hAnsi="Times New Roman"/>
          <w:i/>
          <w:iCs/>
          <w:sz w:val="22"/>
          <w:szCs w:val="22"/>
        </w:rPr>
        <w:t xml:space="preserve">dd_thr</w:t>
      </w:r>
      <w:r>
        <w:rPr>
          <w:rFonts w:ascii="Times New Roman" w:cs="Times New Roman" w:eastAsia="Times New Roman" w:hAnsi="Times New Roman"/>
          <w:sz w:val="22"/>
          <w:szCs w:val="22"/>
        </w:rPr>
        <w:t xml:space="preserve"> abgeleitet, kein zusätzlicher Freiheitsgrad.</w:t>
      </w:r>
    </w:p>
    <w:p>
      <w:pPr>
        <w:spacing w:after="40" w:before="40" w:line="280"/>
        <w:ind w:left="431" w:hanging="431"/>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D5 Funding ist neu. Sie ist die einzige Dimension, die es auf Spot nicht gibt, und läuft als getrennter Kandidat F1 auf reduzierter Stichprobe.</w:t>
      </w:r>
    </w:p>
    <w:p>
      <w:pPr>
        <w:spacing w:after="40" w:before="40" w:line="280"/>
        <w:ind w:left="431" w:hanging="431"/>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Relative-Strength-Bestätigung gegen BTC ist entfallen.</w:t>
      </w:r>
    </w:p>
    <w:p>
      <w:pPr>
        <w:spacing w:after="40" w:before="40" w:line="280"/>
        <w:ind w:left="431" w:hanging="431"/>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D1-Wechselgrenze 30 statt 26 wegen des dritten Zustands.</w:t>
      </w:r>
    </w:p>
    <w:p>
      <w:pPr>
        <w:spacing w:after="40" w:before="40" w:line="280"/>
        <w:ind w:left="431" w:hanging="431"/>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Datenquelle ist Binance Vision für die lange Historie, Kraken nur als Gegenprobe. Beide werden nicht zusammengeführt.</w:t>
      </w:r>
    </w:p>
    <w:p>
      <w:pPr>
        <w:spacing w:after="40" w:before="40" w:line="280"/>
        <w:ind w:left="431" w:hanging="431"/>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Zeitblöcke sind konkret festgelegt: Kalenderjahre primär, Halving-Zyklen als Gegenprobe.</w:t>
      </w:r>
    </w:p>
    <w:p>
      <w:pPr>
        <w:spacing w:after="40" w:before="40" w:line="280"/>
        <w:ind w:left="431" w:hanging="431"/>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Ein Coin braucht mindestens 750 Bars nach Warmup.</w:t>
      </w:r>
    </w:p>
    <w:p>
      <w:pPr>
        <w:spacing w:after="120" w:before="60" w:line="300"/>
        <w:jc w:val="both"/>
      </w:pPr>
      <w:r>
        <w:rPr>
          <w:rFonts w:ascii="Times New Roman" w:cs="Times New Roman" w:eastAsia="Times New Roman" w:hAnsi="Times New Roman"/>
          <w:sz w:val="22"/>
          <w:szCs w:val="22"/>
        </w:rPr>
        <w:t xml:space="preserve">Der Guardrail «Long/Flat Spot, kein Short, kein Leverage» aus V1 gilt für Aurum II nicht mehr. Für Stufe 1 hat das keine Auswirkung, weil hier nicht gehandelt wird.</w:t>
      </w:r>
    </w:p>
    <w:p>
      <w:pPr>
        <w:pStyle w:val="Heading2"/>
        <w:keepNext/>
        <w:spacing w:after="140" w:before="300"/>
      </w:pPr>
      <w:r>
        <w:rPr>
          <w:rFonts w:ascii="Times New Roman" w:cs="Times New Roman" w:eastAsia="Times New Roman" w:hAnsi="Times New Roman"/>
          <w:b/>
          <w:bCs/>
          <w:color w:val="000000"/>
          <w:sz w:val="26"/>
          <w:szCs w:val="26"/>
        </w:rPr>
        <w:t xml:space="preserve">12. Vor dem Einfrieren zu bestätigen</w:t>
      </w:r>
    </w:p>
    <w:p>
      <w:pPr>
        <w:spacing w:after="120" w:before="60" w:line="300"/>
        <w:jc w:val="both"/>
      </w:pPr>
      <w:r>
        <w:rPr>
          <w:rFonts w:ascii="Times New Roman" w:cs="Times New Roman" w:eastAsia="Times New Roman" w:hAnsi="Times New Roman"/>
          <w:sz w:val="22"/>
          <w:szCs w:val="22"/>
        </w:rPr>
        <w:t xml:space="preserve">Diese vier Punkte sind Entscheidungen, keine Messungen. Sie werden vor dem ersten Rechenlauf bestätigt und danach nicht mehr verändert.</w:t>
      </w:r>
    </w:p>
    <w:p>
      <w:pPr>
        <w:spacing w:after="40" w:before="40" w:line="280"/>
        <w:ind w:left="431" w:hanging="431"/>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Schwellen in Abschnitt 7 so belassen oder vorab anders setzen.</w:t>
      </w:r>
    </w:p>
    <w:p>
      <w:pPr>
        <w:spacing w:after="40" w:before="40" w:line="280"/>
        <w:ind w:left="431" w:hanging="431"/>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Zeitblöcke: Kalenderjahre primär, Halving-Zyklen als Gegenprobe.</w:t>
      </w:r>
    </w:p>
    <w:p>
      <w:pPr>
        <w:spacing w:after="40" w:before="40" w:line="280"/>
        <w:ind w:left="431" w:hanging="431"/>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Universum: Kern BTC, ETH, SOL, Breite XRP, ADA, AVAX, LINK, DOT, BNB, LTC.</w:t>
      </w:r>
    </w:p>
    <w:p>
      <w:pPr>
        <w:spacing w:after="40" w:before="40" w:line="280"/>
        <w:ind w:left="431" w:hanging="431"/>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D5 Funding als Kandidat F1 mitführen oder auf Stufe 4 verschieben.</w:t>
      </w:r>
    </w:p>
    <w:p>
      <w:pPr>
        <w:spacing w:after="120" w:before="60" w:line="300"/>
        <w:jc w:val="both"/>
      </w:pPr>
      <w:r>
        <w:rPr>
          <w:rFonts w:ascii="Times New Roman" w:cs="Times New Roman" w:eastAsia="Times New Roman" w:hAnsi="Times New Roman"/>
          <w:sz w:val="22"/>
          <w:szCs w:val="22"/>
        </w:rPr>
        <w:t xml:space="preserve">Nach Bestätigung: Datum, Prüfsumme dieses Dokuments und Prüfsummen der Eingabedaten in </w:t>
      </w:r>
      <w:r>
        <w:rPr>
          <w:rFonts w:ascii="Times New Roman" w:cs="Times New Roman" w:eastAsia="Times New Roman" w:hAnsi="Times New Roman"/>
          <w:i/>
          <w:iCs/>
          <w:sz w:val="22"/>
          <w:szCs w:val="22"/>
        </w:rPr>
        <w:t xml:space="preserve">00_doku/ENTSCHEIDE.md</w:t>
      </w:r>
      <w:r>
        <w:rPr>
          <w:rFonts w:ascii="Times New Roman" w:cs="Times New Roman" w:eastAsia="Times New Roman" w:hAnsi="Times New Roman"/>
          <w:sz w:val="22"/>
          <w:szCs w:val="22"/>
        </w:rPr>
        <w:t xml:space="preserve"> eintragen. Dann beginnt der Rechenlauf.</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Times New Roman" w:cs="Times New Roman" w:eastAsia="Times New Roman" w:hAnsi="Times New Roman"/>
        <w:sz w:val="18"/>
        <w:szCs w:val="18"/>
      </w:rPr>
      <w:t xml:space="preserve">Project Aurum II — Stufe 1 Vorregistrierung   ·   Seite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color w:val="000000"/>
      <w:sz w:val="22"/>
      <w:szCs w:val="22"/>
    </w:rPr>
  </w:style>
  <w:style w:type="paragraph" w:styleId="Heading4">
    <w:name w:val="Heading 4"/>
    <w:basedOn w:val="Normal"/>
    <w:next w:val="Normal"/>
    <w:qFormat/>
    <w:rPr>
      <w:rFonts w:ascii="Times New Roman" w:cs="Times New Roman" w:eastAsia="Times New Roman" w:hAnsi="Times New Roman"/>
      <w:b/>
      <w:bCs/>
      <w:color w:val="000000"/>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2026-09-15T19:26:15.046Z</dcterms:created>
  <dcterms:modified xsi:type="dcterms:W3CDTF">2026-09-15T19:26:15.066Z</dcterms:modified>
</cp:coreProperties>
</file>

<file path=docProps/custom.xml><?xml version="1.0" encoding="utf-8"?>
<Properties xmlns="http://schemas.openxmlformats.org/officeDocument/2006/custom-properties" xmlns:vt="http://schemas.openxmlformats.org/officeDocument/2006/docPropsVTypes"/>
</file>