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Times New Roman" w:cs="Times New Roman" w:eastAsia="Times New Roman" w:hAnsi="Times New Roman"/>
          <w:b/>
          <w:bCs/>
          <w:color w:val="000000"/>
          <w:sz w:val="32"/>
          <w:szCs w:val="32"/>
        </w:rPr>
        <w:t xml:space="preserve">ENTSCHEIDE – Entwurf Schritt 0, Version 0.2</w:t>
      </w:r>
    </w:p>
    <w:p>
      <w:pPr>
        <w:spacing w:after="200" w:line="300"/>
      </w:pPr>
      <w:r>
        <w:rPr>
          <w:rFonts w:ascii="Times New Roman" w:cs="Times New Roman" w:eastAsia="Times New Roman" w:hAnsi="Times New Roman"/>
          <w:i/>
          <w:iCs/>
          <w:sz w:val="21"/>
          <w:szCs w:val="21"/>
        </w:rPr>
        <w:t xml:space="preserve">Project Aurum II, 01.10.2026. Status: Entwurf zur Entscheidung durch Damian, noch nicht in 00_doku/ENTSCHEIDE.md übernommen. Grundlage: Review v1 (Grok, 01.10.2026) mit unabhängiger Reproduktion (34/34 Tests, Stufe 2, XRP v1.0, YAMATO Stufe B und DT-Messung bitgleich), DT-Vorbericht Geometry Gate v1 §7, XS21 Point-in-Time-Vorregistrierung v0.1 §6, Governance v1.1, Stufe-2-Hypothesen v2, Holdout- und Börsen-Prüfung v1 (Grok, 01.10.2026, nur öffentliche Endpunkte). Geändert gegenüber v0.1: B1, B5, B6, C2, C3, D4, F1, neu B7 und B8. Jeder Punkt hat eine Empfehlung und ein leeres Feld für den Entscheid. Nach Ausfüllen wird jeder Punkt als eigener datierter Eintrag in ENTSCHEIDE übernommen und die Datei neu mit SHA vermerkt.</w:t>
      </w:r>
    </w:p>
    <w:p>
      <w:pPr>
        <w:pStyle w:val="Heading1"/>
        <w:keepNext/>
        <w:spacing w:after="160" w:before="360"/>
      </w:pPr>
      <w:r>
        <w:rPr>
          <w:rFonts w:ascii="Times New Roman" w:cs="Times New Roman" w:eastAsia="Times New Roman" w:hAnsi="Times New Roman"/>
          <w:b/>
          <w:bCs/>
          <w:color w:val="000000"/>
          <w:sz w:val="26"/>
          <w:szCs w:val="26"/>
        </w:rPr>
        <w:t xml:space="preserve">A. Lane A und Delayed Trend (DT)</w:t>
      </w:r>
    </w:p>
    <w:p>
      <w:pPr>
        <w:keepNext/>
        <w:spacing w:after="60" w:before="220"/>
      </w:pPr>
      <w:r>
        <w:rPr>
          <w:rFonts w:ascii="Times New Roman" w:cs="Times New Roman" w:eastAsia="Times New Roman" w:hAnsi="Times New Roman"/>
          <w:b/>
          <w:bCs/>
          <w:color w:val="000000"/>
          <w:sz w:val="23"/>
          <w:szCs w:val="23"/>
        </w:rPr>
        <w:t xml:space="preserve">A1. Lesart von Gate E.</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3 primäre Zellen (BTC S2×DT1, XRP S2×DT1, XRP S2×DT2) plus 3 sekundäre Grenzfälle (BTC S2×DT2, DOT S2×DT1, DOT S2×DT2), Holm über alle 6.</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A2. S1 (Double Bottom), alle 6 Zellen unter 20 Einstiegen.</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deskriptiv mitführen, ohne Test und ohne Status.</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A3. DT3 (Gate A überall verfehlt).</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abschliessen mit Vermerk «Spezifikation abgeschlossen, keine Fortführung» (Governance v1.1 §9).</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A4. Exit.</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Tages-ATR14-Chandelier 3×, nur steigend, Zeitstopp t+360, wie im Vorbericht.</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A5. Kontrollgruppe.</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gematchte Kontexte ohne Struktur mit Ersatzniveaus, wie im Vorbericht.</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A6. Primärmetrik.</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gepaartes ΔR (Status nach Regel v2) und Netto-K1. Fortführung nur bei Netto-K1 ≥ 0.</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A7. Harte Abbruchregel für Lane A (neu).</w:t>
      </w:r>
    </w:p>
    <w:p>
      <w:pPr>
        <w:spacing w:after="80" w:line="300"/>
      </w:pPr>
      <w:r>
        <w:rPr>
          <w:rFonts w:ascii="Times New Roman" w:cs="Times New Roman" w:eastAsia="Times New Roman" w:hAnsi="Times New Roman"/>
          <w:sz w:val="22"/>
          <w:szCs w:val="22"/>
        </w:rPr>
        <w:t xml:space="preserve">Vor dem DT-P&amp;L-Lauf festgeschrieben: Ist Netto-K1 in den drei Primärzellen zusammen kleiner als null, wird Lane A (Bottom, Reversal, Rebound, DT) vollständig geschlossen. Es folgt keine weitere Variante, keine Umformulierung und kein neuer Timeframe auf BTC, XRP oder DOT. Eine Wiederaufnahme wäre nur mit neuen Daten (Forward-Fenster) und einer neuen Vorregistrierung zulässig, die diesen Entscheid ausdrücklich zitiert.</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A8. Evidenzwert eines positiven DT-Ergebnisses (neu).</w:t>
      </w:r>
    </w:p>
    <w:p>
      <w:pPr>
        <w:spacing w:after="80" w:line="300"/>
      </w:pPr>
      <w:r>
        <w:rPr>
          <w:rFonts w:ascii="Times New Roman" w:cs="Times New Roman" w:eastAsia="Times New Roman" w:hAnsi="Times New Roman"/>
          <w:sz w:val="22"/>
          <w:szCs w:val="22"/>
        </w:rPr>
        <w:t xml:space="preserve">DT ist outcome-informed (Ebene C), läuft auf denselben Discovery-Daten wie alle gescheiterten Vorgänger, und die globale Trial-Zahl liegt bei rund 240. Ein positives Ergebnis gilt deshalb höchstens als «mechanistically promising» in der Klasse Development. Ein Holdout-Lauf ist nur nach dem Economic Validation Gate zulässig (Governance v1.1 §7), und dieser Vermerk wird im DT-Freeze wörtlich übernommen.</w:t>
      </w:r>
    </w:p>
    <w:p>
      <w:pPr>
        <w:spacing w:after="480" w:before="80"/>
      </w:pPr>
      <w:r>
        <w:rPr>
          <w:rFonts w:ascii="Times New Roman" w:cs="Times New Roman" w:eastAsia="Times New Roman" w:hAnsi="Times New Roman"/>
          <w:b/>
          <w:bCs/>
          <w:color w:val="000000"/>
          <w:sz w:val="22"/>
          <w:szCs w:val="22"/>
        </w:rPr>
        <w:t xml:space="preserve">Entscheid: </w:t>
      </w:r>
    </w:p>
    <w:p>
      <w:pPr>
        <w:pStyle w:val="Heading1"/>
        <w:keepNext/>
        <w:spacing w:after="160" w:before="360"/>
      </w:pPr>
      <w:r>
        <w:rPr>
          <w:rFonts w:ascii="Times New Roman" w:cs="Times New Roman" w:eastAsia="Times New Roman" w:hAnsi="Times New Roman"/>
          <w:b/>
          <w:bCs/>
          <w:color w:val="000000"/>
          <w:sz w:val="26"/>
          <w:szCs w:val="26"/>
        </w:rPr>
        <w:t xml:space="preserve">B. XS21 Point-in-Time</w:t>
      </w:r>
    </w:p>
    <w:p>
      <w:pPr>
        <w:keepNext/>
        <w:spacing w:after="60" w:before="220"/>
      </w:pPr>
      <w:r>
        <w:rPr>
          <w:rFonts w:ascii="Times New Roman" w:cs="Times New Roman" w:eastAsia="Times New Roman" w:hAnsi="Times New Roman"/>
          <w:b/>
          <w:bCs/>
          <w:color w:val="000000"/>
          <w:sz w:val="23"/>
          <w:szCs w:val="23"/>
        </w:rPr>
        <w:t xml:space="preserve">B1. Umsatzschwelle 50 Mio. USD Vormonat.</w:t>
      </w:r>
    </w:p>
    <w:p>
      <w:pPr>
        <w:spacing w:after="80" w:line="300"/>
      </w:pPr>
      <w:r>
        <w:rPr>
          <w:rFonts w:ascii="Times New Roman" w:cs="Times New Roman" w:eastAsia="Times New Roman" w:hAnsi="Times New Roman"/>
          <w:i/>
          <w:iCs/>
          <w:sz w:val="22"/>
          <w:szCs w:val="22"/>
        </w:rPr>
        <w:t xml:space="preserve">Befund: </w:t>
      </w:r>
      <w:r>
        <w:rPr>
          <w:rFonts w:ascii="Times New Roman" w:cs="Times New Roman" w:eastAsia="Times New Roman" w:hAnsi="Times New Roman"/>
          <w:sz w:val="22"/>
          <w:szCs w:val="22"/>
        </w:rPr>
        <w:t xml:space="preserve">Die Begründung in der PiT-Vorregistrierung («schliesst nur Symbole aus, deren Ausführung auf Kraken unrealistisch wäre») hält nicht. Im August 2026 erfüllen 512 Binance-USDT-Symbole die Schwelle, davon haben nur 46 auf Kraken mindestens 1 Mio. USD Tagesvolumen.</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Schwelle als Definition des breiten Forschungsuniversums (U1) bestätigen, die Begründung aber streichen und durch «Mindestliquidität auf der Signalbörse» ersetzen. Die Ausführbarkeit regelt B8.</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B2. Dezil-Variante (oberstes und unterstes Dezil).</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als vorregistrierten Vergleich behalten, nicht als Auswahl. Top-3 bleibt primär.</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B3. Delisting-Glattstellung.</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zur letzten Tageskerze mit K2-Slippage bestätigen.</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B4. Short-Bein.</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Long+Short primär wie Stufe 2 (H-C3: Absicherung, kein Ertrag), Long-only als vorregistrierter Vergleich.</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B5. Holdout-Status von XS21 (neu, Klärung).</w:t>
      </w:r>
    </w:p>
    <w:p>
      <w:pPr>
        <w:spacing w:after="80" w:line="300"/>
      </w:pPr>
      <w:r>
        <w:rPr>
          <w:rFonts w:ascii="Times New Roman" w:cs="Times New Roman" w:eastAsia="Times New Roman" w:hAnsi="Times New Roman"/>
          <w:i/>
          <w:iCs/>
          <w:sz w:val="22"/>
          <w:szCs w:val="22"/>
        </w:rPr>
        <w:t xml:space="preserve">Befund: </w:t>
      </w:r>
      <w:r>
        <w:rPr>
          <w:rFonts w:ascii="Times New Roman" w:cs="Times New Roman" w:eastAsia="Times New Roman" w:hAnsi="Times New Roman"/>
          <w:sz w:val="22"/>
          <w:szCs w:val="22"/>
        </w:rPr>
        <w:t xml:space="preserve">Die Holdout-Regel (ENTSCHEIDE 17.09.) entstand nach dem Stufe-2-Lauf (16.09.) und gilt ausdrücklich nur für neue Mechaniken. Stufe 2 hat 2024-01-01 bis 2026-09-14 bewusst als In-Sample-Block P3 verwendet, P3 floss in das Urteil ein (Kriterium c3). XS21 LS hat 276 und D-CC 24 Trades mit Einstieg ab 2024. Die zehn Stufe-2-Coins sind Teil des PiT-Universums. Die PiT-Vorregistrierung v0.1 (§2 und §4) nennt trotzdem «Holdout validation möglich». Das ist ein Widerspruch.</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Für die XS21-Regel und für D-CC gilt der Zeitraum ab 2024 als verbraucht. Der PiT-Lauf rechnet 2020-02 bis 2026-09-14 in einem einzigen Lauf mit der Etikette «Discovery/Robustheit mit Vorbelastung», der Teil ab 2024 wird separat ausgewiesen. §2 und §4 der PiT-Vorregistrierung werden entsprechend korrigiert. Die einzige saubere Out-of-Sample-Evidenz für XS21 und D-CC ist ein Forward-Fenster ab 15.09.2026, beginnend mit dem Collector (E2). Das Etikett Holdout validation ist für beide ausgeschlossen. Die Stufe-2-Urteile bleiben unverändert.</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B6. Ausführbarkeit (neu).</w:t>
      </w:r>
    </w:p>
    <w:p>
      <w:pPr>
        <w:spacing w:after="80" w:line="300"/>
      </w:pPr>
      <w:r>
        <w:rPr>
          <w:rFonts w:ascii="Times New Roman" w:cs="Times New Roman" w:eastAsia="Times New Roman" w:hAnsi="Times New Roman"/>
          <w:i/>
          <w:iCs/>
          <w:sz w:val="22"/>
          <w:szCs w:val="22"/>
        </w:rPr>
        <w:t xml:space="preserve">Befund: </w:t>
      </w:r>
      <w:r>
        <w:rPr>
          <w:rFonts w:ascii="Times New Roman" w:cs="Times New Roman" w:eastAsia="Times New Roman" w:hAnsi="Times New Roman"/>
          <w:sz w:val="22"/>
          <w:szCs w:val="22"/>
        </w:rPr>
        <w:t xml:space="preserve">Von 512 Binance-Symbolen über der Schwelle haben 215 ein namensgleiches Kraken-Perp, davon 46 mit mindestens 1 Mio., 17 mit mindestens 5 Mio. und 10 mit mindestens 10 Mio. USD Tagesvolumen (Median rund 64 000 USD). XS21 wählt Extremwerte, also häufig kleine, gerade stark gelaufene Symbole. Diese wären auf Kraken oft nicht oder nur sehr dünn handelbar. Die zehn Stufe-2-Coins sind auf Kraken Futures alle handelbar, DOT, BNB und LTC aber nur mit 1 bis 2 Mio. USD Tagesvolumen.</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Die Forschungsfrage (existiert der Effekt ohne Survivorship?) wird auf U1 beantwortet. Über einen Sleeve entscheidet nur das ausführbare Universum U2 (B8). Vor jedem Paper-Betrieb gilt zusätzlich ein Ausführbarkeits-Gate auf der gewählten Börse.</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B7. Nicht-Krypto-Perps ausschliessen (neu).</w:t>
      </w:r>
    </w:p>
    <w:p>
      <w:pPr>
        <w:spacing w:after="80" w:line="300"/>
      </w:pPr>
      <w:r>
        <w:rPr>
          <w:rFonts w:ascii="Times New Roman" w:cs="Times New Roman" w:eastAsia="Times New Roman" w:hAnsi="Times New Roman"/>
          <w:i/>
          <w:iCs/>
          <w:sz w:val="22"/>
          <w:szCs w:val="22"/>
        </w:rPr>
        <w:t xml:space="preserve">Befund: </w:t>
      </w:r>
      <w:r>
        <w:rPr>
          <w:rFonts w:ascii="Times New Roman" w:cs="Times New Roman" w:eastAsia="Times New Roman" w:hAnsi="Times New Roman"/>
          <w:sz w:val="22"/>
          <w:szCs w:val="22"/>
        </w:rPr>
        <w:t xml:space="preserve">Unter den Binance-USDT-Perps über der Schwelle sind Gold, Silber, Öl und Aktien- oder ETF-Perps (zum Beispiel XAUUSDT, XAGUSDT, CLUSDT, SAMSUNGUSDT, SOXLUSDT). Die PiT-Vorregistrierung schliesst sie nicht aus. Für 2020 bis 2023 kaum relevant, ab 2025 und im Forward-Fenster schon.</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Vor dem Freeze eine Ausschlussregel festschreiben: Nur Symbole, deren Basiswert ein Krypto-Asset ist. Umsetzung über eine eingefrorene Ausschlussliste mit Prüfsumme, erstellt nach Basiswert und nicht nach Ergebnis, jeder Ausschluss mit Grund. Stablecoin-Paare werden ebenfalls ausgeschlossen.</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B8. Zweites, ausführbares Universum U2 (neu).</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Zusätzlich zu U1 wird vor dem Freeze ein point-in-time Liquiditätsuniversum U2 vorregistriert: am Stichtag die 20 Krypto-Symbole mit dem höchsten Binance-Quote-Volumen des Vormonats, nach B7 gefiltert. Die Rangbildung ist point-in-time und daher frei von Survivorship. Gleiche Regeln wie Stufe 2, Holm über U1 und U2. Als Sleeve-Kandidat zählt nur U2. Besteht U1, aber nicht U2, ist der Effekt real, aber für ein Privatkonto nicht handelbar.</w:t>
      </w:r>
    </w:p>
    <w:p>
      <w:pPr>
        <w:spacing w:after="480" w:before="80"/>
      </w:pPr>
      <w:r>
        <w:rPr>
          <w:rFonts w:ascii="Times New Roman" w:cs="Times New Roman" w:eastAsia="Times New Roman" w:hAnsi="Times New Roman"/>
          <w:b/>
          <w:bCs/>
          <w:color w:val="000000"/>
          <w:sz w:val="22"/>
          <w:szCs w:val="22"/>
        </w:rPr>
        <w:t xml:space="preserve">Entscheid: </w:t>
      </w:r>
    </w:p>
    <w:p>
      <w:pPr>
        <w:pStyle w:val="Heading1"/>
        <w:keepNext/>
        <w:spacing w:after="160" w:before="360"/>
      </w:pPr>
      <w:r>
        <w:rPr>
          <w:rFonts w:ascii="Times New Roman" w:cs="Times New Roman" w:eastAsia="Times New Roman" w:hAnsi="Times New Roman"/>
          <w:b/>
          <w:bCs/>
          <w:color w:val="000000"/>
          <w:sz w:val="26"/>
          <w:szCs w:val="26"/>
        </w:rPr>
        <w:t xml:space="preserve">C. Instrument, Kosten und Börse</w:t>
      </w:r>
    </w:p>
    <w:p>
      <w:pPr>
        <w:keepNext/>
        <w:spacing w:after="60" w:before="220"/>
      </w:pPr>
      <w:r>
        <w:rPr>
          <w:rFonts w:ascii="Times New Roman" w:cs="Times New Roman" w:eastAsia="Times New Roman" w:hAnsi="Times New Roman"/>
          <w:b/>
          <w:bCs/>
          <w:color w:val="000000"/>
          <w:sz w:val="23"/>
          <w:szCs w:val="23"/>
        </w:rPr>
        <w:t xml:space="preserve">C1. Spot oder Perps.</w:t>
      </w:r>
    </w:p>
    <w:p>
      <w:pPr>
        <w:spacing w:after="80" w:line="300"/>
      </w:pPr>
      <w:r>
        <w:rPr>
          <w:rFonts w:ascii="Times New Roman" w:cs="Times New Roman" w:eastAsia="Times New Roman" w:hAnsi="Times New Roman"/>
          <w:i/>
          <w:iCs/>
          <w:sz w:val="22"/>
          <w:szCs w:val="22"/>
        </w:rPr>
        <w:t xml:space="preserve">Befund: </w:t>
      </w:r>
      <w:r>
        <w:rPr>
          <w:rFonts w:ascii="Times New Roman" w:cs="Times New Roman" w:eastAsia="Times New Roman" w:hAnsi="Times New Roman"/>
          <w:sz w:val="22"/>
          <w:szCs w:val="22"/>
        </w:rPr>
        <w:t xml:space="preserve">ENTSCHEIDE nennt «Perps statt Spot», die Roadmap «Kraken Spot Long», und Lane A wurde mit Spot-K1 gerechnet. H-A7 (Stufe-2-Hypothesen v2) zeigt, dass Long-only auf Perps 3 bis 6 Prozentpunkte CAGR pro Jahr an Funding kostet.</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Spot für die Long-Seite. Perps nur dort, wo ein Short-Bein (XS21) oder ein Carry-Bein (D-CC) es verlangt. Der bisherige Eintrag «Perps statt Spot» wird damit präzisiert, nicht gestrichen.</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C2. Ein Kostenmodell.</w:t>
      </w:r>
    </w:p>
    <w:p>
      <w:pPr>
        <w:spacing w:after="80" w:line="300"/>
      </w:pPr>
      <w:r>
        <w:rPr>
          <w:rFonts w:ascii="Times New Roman" w:cs="Times New Roman" w:eastAsia="Times New Roman" w:hAnsi="Times New Roman"/>
          <w:i/>
          <w:iCs/>
          <w:sz w:val="22"/>
          <w:szCs w:val="22"/>
        </w:rPr>
        <w:t xml:space="preserve">Befund: </w:t>
      </w:r>
      <w:r>
        <w:rPr>
          <w:rFonts w:ascii="Times New Roman" w:cs="Times New Roman" w:eastAsia="Times New Roman" w:hAnsi="Times New Roman"/>
          <w:sz w:val="22"/>
          <w:szCs w:val="22"/>
        </w:rPr>
        <w:t xml:space="preserve">Kostenkonstanten liegen dupliziert in ylib.py, s2lib.py und mtp_val.py (Werte konsistent). 05_evidenz/README.md nennt Spot-Taker 0.26/0.40/0.55 %, ENTSCHEIDE Tier 1 0.40 % Maker / 0.80 % Taker.</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ein zentrales costs.yaml mit Spot- und Perp-Modell (K0/K1/K2) als einzige Quelle. Die abweichenden Sätze in 05_evidenz/README.md werden mit Vermerk korrigiert. Zusätzlich ein venue-spezifisches Kraken-Modell: Kraken-Spot-Taker 0.80 % je Seite (ENTSCHEIDE Tier 1) liegt doppelt so hoch wie K1-Spot mit 0.40 %. Spot-Long auf Kraken wird deshalb mit Maker-Ausführung geplant, Taker-Ausführung wird mindestens unter K2 gerechnet. Eingefrorene Läufe bleiben unverändert und referenzieren ihre damaligen Werte.</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C3. Börse.</w:t>
      </w:r>
    </w:p>
    <w:p>
      <w:pPr>
        <w:spacing w:after="80" w:line="300"/>
      </w:pPr>
      <w:r>
        <w:rPr>
          <w:rFonts w:ascii="Times New Roman" w:cs="Times New Roman" w:eastAsia="Times New Roman" w:hAnsi="Times New Roman"/>
          <w:i/>
          <w:iCs/>
          <w:sz w:val="22"/>
          <w:szCs w:val="22"/>
        </w:rPr>
        <w:t xml:space="preserve">Befund: </w:t>
      </w:r>
      <w:r>
        <w:rPr>
          <w:rFonts w:ascii="Times New Roman" w:cs="Times New Roman" w:eastAsia="Times New Roman" w:hAnsi="Times New Roman"/>
          <w:sz w:val="22"/>
          <w:szCs w:val="22"/>
        </w:rPr>
        <w:t xml:space="preserve">Kraken bietet für alle zehn Stufe-2-Coins Spot und PF-Perps (PF-Perps grösstenteils erst seit 22.03.2022). Kraken Futures, Bybit, OKX, Deribit und Bitget führen die Schweiz nicht auf ihren Sperrlisten, Binance ist nicht verifiziert. Keine Sperrliste ersetzt eine rechtliche Prüfung. Für Kraken Futures ist für Schweizer Kunden vermutlich die Payward Digital Solutions Ltd. (Bermuda) Vertragspartnerin, Spot und Futures laufen über getrennte Gesellschaften und Wallets.</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Kraken für Spot-Long bestätigen. Kraken Futures als Arbeitsannahme für das Short-Bein und D-CC auf den zehn Stufe-2-Coins beziehungsweise U2, vorbehaltlich D4. Eine zweite Börse nur, falls U2 auf Kraken das Ausführbarkeits-Gate nicht besteht. Keine Börse wird gewählt, deren Zulässigkeit für dich nicht manuell geprüft ist.</w:t>
      </w:r>
    </w:p>
    <w:p>
      <w:pPr>
        <w:spacing w:after="480" w:before="80"/>
      </w:pPr>
      <w:r>
        <w:rPr>
          <w:rFonts w:ascii="Times New Roman" w:cs="Times New Roman" w:eastAsia="Times New Roman" w:hAnsi="Times New Roman"/>
          <w:b/>
          <w:bCs/>
          <w:color w:val="000000"/>
          <w:sz w:val="22"/>
          <w:szCs w:val="22"/>
        </w:rPr>
        <w:t xml:space="preserve">Entscheid: </w:t>
      </w:r>
    </w:p>
    <w:p>
      <w:pPr>
        <w:pStyle w:val="Heading1"/>
        <w:keepNext/>
        <w:spacing w:after="160" w:before="360"/>
      </w:pPr>
      <w:r>
        <w:rPr>
          <w:rFonts w:ascii="Times New Roman" w:cs="Times New Roman" w:eastAsia="Times New Roman" w:hAnsi="Times New Roman"/>
          <w:b/>
          <w:bCs/>
          <w:color w:val="000000"/>
          <w:sz w:val="26"/>
          <w:szCs w:val="26"/>
        </w:rPr>
        <w:t xml:space="preserve">D. Projekt-Entscheide</w:t>
      </w:r>
    </w:p>
    <w:p>
      <w:pPr>
        <w:keepNext/>
        <w:spacing w:after="60" w:before="220"/>
      </w:pPr>
      <w:r>
        <w:rPr>
          <w:rFonts w:ascii="Times New Roman" w:cs="Times New Roman" w:eastAsia="Times New Roman" w:hAnsi="Times New Roman"/>
          <w:b/>
          <w:bCs/>
          <w:color w:val="000000"/>
          <w:sz w:val="23"/>
          <w:szCs w:val="23"/>
        </w:rPr>
        <w:t xml:space="preserve">D1. Betriebsort.</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kleiner, selbst kontrollierter Cloud-Server oder eigener Rechner im Dauerbetrieb für Collector und Paper. Nicht der Mac und keine fremde Agent-Umgebung. Keys liegen nie in einer Agent- oder Chat-Sandbox.</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D2. Kapitalrahmen und akzeptabler Totalverlust.</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vor jeder Live-Phase als feste Zahl festlegen (Micro-Live-Betrag und Obergrenze Gesamtverlust, nach der das Projekt ohne Diskussion stoppt).</w:t>
      </w:r>
    </w:p>
    <w:p>
      <w:pPr>
        <w:spacing w:after="480" w:before="80"/>
      </w:pPr>
      <w:r>
        <w:rPr>
          <w:rFonts w:ascii="Times New Roman" w:cs="Times New Roman" w:eastAsia="Times New Roman" w:hAnsi="Times New Roman"/>
          <w:b/>
          <w:bCs/>
          <w:color w:val="000000"/>
          <w:sz w:val="22"/>
          <w:szCs w:val="22"/>
        </w:rPr>
        <w:t xml:space="preserve">Entscheid: </w:t>
      </w:r>
      <w:r>
        <w:rPr>
          <w:rFonts w:ascii="Times New Roman" w:cs="Times New Roman" w:eastAsia="Times New Roman" w:hAnsi="Times New Roman"/>
          <w:sz w:val="22"/>
          <w:szCs w:val="22"/>
        </w:rPr>
        <w:t xml:space="preserve">Micro-Live __________ CHF, Totalverlust-Obergrenze __________ CHF</w:t>
      </w:r>
    </w:p>
    <w:p>
      <w:pPr>
        <w:keepNext/>
        <w:spacing w:after="60" w:before="220"/>
      </w:pPr>
      <w:r>
        <w:rPr>
          <w:rFonts w:ascii="Times New Roman" w:cs="Times New Roman" w:eastAsia="Times New Roman" w:hAnsi="Times New Roman"/>
          <w:b/>
          <w:bCs/>
          <w:color w:val="000000"/>
          <w:sz w:val="23"/>
          <w:szCs w:val="23"/>
        </w:rPr>
        <w:t xml:space="preserve">D3. Zeitbudget.</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Stunden pro Woche festlegen und eine Zeitbox für Schritt 3 von rund 2 Wochen. Ohne bestandenes Ergebnis nach der Zeitbox folgt ein Review-Termin statt neuer Hypothesen.</w:t>
      </w:r>
    </w:p>
    <w:p>
      <w:pPr>
        <w:spacing w:after="480" w:before="80"/>
      </w:pPr>
      <w:r>
        <w:rPr>
          <w:rFonts w:ascii="Times New Roman" w:cs="Times New Roman" w:eastAsia="Times New Roman" w:hAnsi="Times New Roman"/>
          <w:b/>
          <w:bCs/>
          <w:color w:val="000000"/>
          <w:sz w:val="22"/>
          <w:szCs w:val="22"/>
        </w:rPr>
        <w:t xml:space="preserve">Entscheid: </w:t>
      </w:r>
      <w:r>
        <w:rPr>
          <w:rFonts w:ascii="Times New Roman" w:cs="Times New Roman" w:eastAsia="Times New Roman" w:hAnsi="Times New Roman"/>
          <w:sz w:val="22"/>
          <w:szCs w:val="22"/>
        </w:rPr>
        <w:t xml:space="preserve">__________ Std./Woche, Review am __________</w:t>
      </w:r>
    </w:p>
    <w:p>
      <w:pPr>
        <w:keepNext/>
        <w:spacing w:after="60" w:before="220"/>
      </w:pPr>
      <w:r>
        <w:rPr>
          <w:rFonts w:ascii="Times New Roman" w:cs="Times New Roman" w:eastAsia="Times New Roman" w:hAnsi="Times New Roman"/>
          <w:b/>
          <w:bCs/>
          <w:color w:val="000000"/>
          <w:sz w:val="23"/>
          <w:szCs w:val="23"/>
        </w:rPr>
        <w:t xml:space="preserve">D4. Steuern und Recht Schweiz.</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vor Live klären (Qualifikation als private Vermögensverwaltung oder gewerbsmässiger Handel, Zulässigkeit von Perps für Schweizer Privatkunden bei der gewählten Börse, Vertragspartnerin und Aufsicht bei Kraken Futures (vermutlich Bermuda-Gesellschaft), allfällige FIDLEG-Fragen bei grenzüberschreitender Erbringung, Hebel und Margin je Entity). Für Forschung und Paper nicht blockierend.</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D5. Abwicklung Altsystem.</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Altsystem stilllegen, Keys widerrufen, Restbestände dokumentieren. Turtle 55/20 nur als Referenz behalten, die Zahlen sind in Aurum II nicht nachgerechnet.</w:t>
      </w:r>
    </w:p>
    <w:p>
      <w:pPr>
        <w:spacing w:after="480" w:before="80"/>
      </w:pPr>
      <w:r>
        <w:rPr>
          <w:rFonts w:ascii="Times New Roman" w:cs="Times New Roman" w:eastAsia="Times New Roman" w:hAnsi="Times New Roman"/>
          <w:b/>
          <w:bCs/>
          <w:color w:val="000000"/>
          <w:sz w:val="22"/>
          <w:szCs w:val="22"/>
        </w:rPr>
        <w:t xml:space="preserve">Entscheid: </w:t>
      </w:r>
    </w:p>
    <w:p>
      <w:pPr>
        <w:pStyle w:val="Heading1"/>
        <w:keepNext/>
        <w:spacing w:after="160" w:before="360"/>
      </w:pPr>
      <w:r>
        <w:rPr>
          <w:rFonts w:ascii="Times New Roman" w:cs="Times New Roman" w:eastAsia="Times New Roman" w:hAnsi="Times New Roman"/>
          <w:b/>
          <w:bCs/>
          <w:color w:val="000000"/>
          <w:sz w:val="26"/>
          <w:szCs w:val="26"/>
        </w:rPr>
        <w:t xml:space="preserve">E. Hygiene und Datensammlung</w:t>
      </w:r>
    </w:p>
    <w:p>
      <w:pPr>
        <w:keepNext/>
        <w:spacing w:after="60" w:before="220"/>
      </w:pPr>
      <w:r>
        <w:rPr>
          <w:rFonts w:ascii="Times New Roman" w:cs="Times New Roman" w:eastAsia="Times New Roman" w:hAnsi="Times New Roman"/>
          <w:b/>
          <w:bCs/>
          <w:color w:val="000000"/>
          <w:sz w:val="23"/>
          <w:szCs w:val="23"/>
        </w:rPr>
        <w:t xml:space="preserve">E1. Git und Reproduzierbarkeit.</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privates Git-Repo, Originale als eingefrorener Tag v0, gepinntes requirements.txt, Pfade über AURUM_ROOT in neuen Dateiversionen mit SHA-Vermerk. CI mit den 34 Tests und den vier Repro-Checks aus Review v1. Fehlende Stufe-2-Eingaben (DTB3_3m_tbill.csv, kraken_funding/PF_{XBT,ETH,SOL}USD_funding.csv) ablegen.</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E2. Collector sofort.</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täglicher Collector auf öffentlichen Endpunkten ohne Keys (Kraken-Futures-Funding aller PF-Symbole, Kraken OHLC 4h/1d, Binance-UM-Listing), validierend und atomar nach 02_daten/README.md, mit Heartbeat.</w:t>
      </w:r>
    </w:p>
    <w:p>
      <w:pPr>
        <w:spacing w:after="80" w:line="300"/>
      </w:pPr>
      <w:r>
        <w:rPr>
          <w:rFonts w:ascii="Times New Roman" w:cs="Times New Roman" w:eastAsia="Times New Roman" w:hAnsi="Times New Roman"/>
          <w:i/>
          <w:iCs/>
          <w:sz w:val="22"/>
          <w:szCs w:val="22"/>
        </w:rPr>
        <w:t xml:space="preserve">Begründung: </w:t>
      </w:r>
      <w:r>
        <w:rPr>
          <w:rFonts w:ascii="Times New Roman" w:cs="Times New Roman" w:eastAsia="Times New Roman" w:hAnsi="Times New Roman"/>
          <w:sz w:val="22"/>
          <w:szCs w:val="22"/>
        </w:rPr>
        <w:t xml:space="preserve">Kraken liefert Funding nur für ein rollendes Jahr, jeder Tag ohne Collector ist verloren.</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E3. Korrektur im Log.</w:t>
      </w:r>
    </w:p>
    <w:p>
      <w:pPr>
        <w:spacing w:after="80" w:line="300"/>
      </w:pPr>
      <w:r>
        <w:rPr>
          <w:rFonts w:ascii="Times New Roman" w:cs="Times New Roman" w:eastAsia="Times New Roman" w:hAnsi="Times New Roman"/>
          <w:i/>
          <w:iCs/>
          <w:sz w:val="22"/>
          <w:szCs w:val="22"/>
        </w:rPr>
        <w:t xml:space="preserve">Befund: </w:t>
      </w:r>
      <w:r>
        <w:rPr>
          <w:rFonts w:ascii="Times New Roman" w:cs="Times New Roman" w:eastAsia="Times New Roman" w:hAnsi="Times New Roman"/>
          <w:sz w:val="22"/>
          <w:szCs w:val="22"/>
        </w:rPr>
        <w:t xml:space="preserve">«REBOUND-MICRO v1.0 Lauf BTC VERSIEGELT» trägt 14:35 UTC, der FREEZE-Eintrag 14:40 UTC.</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Korrekturvermerk als neuer Eintrag, der alte bleibt stehen. Die veraltete mlib.py-SHA in rm_2026-09-18_expected_shas.txt wird mit Verweis auf v1.0 ergänzt.</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E4. Arbeitsteilung.</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Claude (Project) für Methodik, Vorregistrierungen, ENTSCHEIDE-Texte, Berichte und Review gegen die Governance. Coding-Agents für Repo, CI, Collector, Engine, Paper-Runner und unabhängige Nachrechnung jedes Laufs. Kein Produktionscode in der Chat-Sandbox. Übergabe über Git, ENTSCHEIDE bleibt die einzige Quelle.</w:t>
      </w:r>
    </w:p>
    <w:p>
      <w:pPr>
        <w:spacing w:after="480" w:before="80"/>
      </w:pPr>
      <w:r>
        <w:rPr>
          <w:rFonts w:ascii="Times New Roman" w:cs="Times New Roman" w:eastAsia="Times New Roman" w:hAnsi="Times New Roman"/>
          <w:b/>
          <w:bCs/>
          <w:color w:val="000000"/>
          <w:sz w:val="22"/>
          <w:szCs w:val="22"/>
        </w:rPr>
        <w:t xml:space="preserve">Entscheid: </w:t>
      </w:r>
    </w:p>
    <w:p>
      <w:pPr>
        <w:pStyle w:val="Heading1"/>
        <w:keepNext/>
        <w:spacing w:after="160" w:before="360"/>
      </w:pPr>
      <w:r>
        <w:rPr>
          <w:rFonts w:ascii="Times New Roman" w:cs="Times New Roman" w:eastAsia="Times New Roman" w:hAnsi="Times New Roman"/>
          <w:b/>
          <w:bCs/>
          <w:color w:val="000000"/>
          <w:sz w:val="26"/>
          <w:szCs w:val="26"/>
        </w:rPr>
        <w:t xml:space="preserve">F. Moratorium</w:t>
      </w:r>
    </w:p>
    <w:p>
      <w:pPr>
        <w:keepNext/>
        <w:spacing w:after="60" w:before="220"/>
      </w:pPr>
      <w:r>
        <w:rPr>
          <w:rFonts w:ascii="Times New Roman" w:cs="Times New Roman" w:eastAsia="Times New Roman" w:hAnsi="Times New Roman"/>
          <w:b/>
          <w:bCs/>
          <w:color w:val="000000"/>
          <w:sz w:val="23"/>
          <w:szCs w:val="23"/>
        </w:rPr>
        <w:t xml:space="preserve">F1. Keine neuen Hypothesen bis XS21 PiT und DT entschieden sind.</w:t>
      </w:r>
    </w:p>
    <w:p>
      <w:pPr>
        <w:spacing w:after="80" w:line="300"/>
      </w:pPr>
      <w:r>
        <w:rPr>
          <w:rFonts w:ascii="Times New Roman" w:cs="Times New Roman" w:eastAsia="Times New Roman" w:hAnsi="Times New Roman"/>
          <w:sz w:val="22"/>
          <w:szCs w:val="22"/>
        </w:rPr>
        <w:t xml:space="preserve">Keine neuen Lane-A-, Rebound-, Visual-AI-, Options- oder Halving-Stränge. D-CC wird nur als Forward-Datensammlung ab 15.09.2026 beobachtet, kein Sleeve. Falls D-CC später wieder aufgenommen wird, gelten Spot und Perp auf derselben Börse sowie ein Kapital- und Margin-Modell als Pflicht in der Vorregistrierung. ETH/SOL bleiben unberührt und damit als unabhängige Märkte erhalten.</w:t>
      </w:r>
    </w:p>
    <w:p>
      <w:pPr>
        <w:spacing w:after="480" w:before="80"/>
      </w:pPr>
      <w:r>
        <w:rPr>
          <w:rFonts w:ascii="Times New Roman" w:cs="Times New Roman" w:eastAsia="Times New Roman" w:hAnsi="Times New Roman"/>
          <w:b/>
          <w:bCs/>
          <w:color w:val="000000"/>
          <w:sz w:val="22"/>
          <w:szCs w:val="22"/>
        </w:rPr>
        <w:t xml:space="preserve">Entscheid: </w:t>
      </w:r>
    </w:p>
    <w:p>
      <w:pPr>
        <w:pStyle w:val="Heading1"/>
        <w:keepNext/>
        <w:spacing w:after="160" w:before="360"/>
      </w:pPr>
      <w:r>
        <w:rPr>
          <w:rFonts w:ascii="Times New Roman" w:cs="Times New Roman" w:eastAsia="Times New Roman" w:hAnsi="Times New Roman"/>
          <w:b/>
          <w:bCs/>
          <w:color w:val="000000"/>
          <w:sz w:val="26"/>
          <w:szCs w:val="26"/>
        </w:rPr>
        <w:t xml:space="preserve">Reihenfolge nach Entscheid</w:t>
      </w:r>
    </w:p>
    <w:p>
      <w:pPr>
        <w:pStyle w:val="ListParagraph"/>
        <w:numPr>
          <w:ilvl w:val="0"/>
          <w:numId w:val="2"/>
        </w:numPr>
        <w:spacing w:after="80" w:line="300"/>
      </w:pPr>
      <w:r>
        <w:rPr>
          <w:rFonts w:ascii="Times New Roman" w:cs="Times New Roman" w:eastAsia="Times New Roman" w:hAnsi="Times New Roman"/>
          <w:sz w:val="22"/>
          <w:szCs w:val="22"/>
        </w:rPr>
        <w:t xml:space="preserve">E2 Collector starten (unabhängig von allen anderen Punkten).</w:t>
      </w:r>
    </w:p>
    <w:p>
      <w:pPr>
        <w:pStyle w:val="ListParagraph"/>
        <w:numPr>
          <w:ilvl w:val="0"/>
          <w:numId w:val="2"/>
        </w:numPr>
        <w:spacing w:after="80" w:line="300"/>
      </w:pPr>
      <w:r>
        <w:rPr>
          <w:rFonts w:ascii="Times New Roman" w:cs="Times New Roman" w:eastAsia="Times New Roman" w:hAnsi="Times New Roman"/>
          <w:sz w:val="22"/>
          <w:szCs w:val="22"/>
        </w:rPr>
        <w:t xml:space="preserve">E1 Hygiene.</w:t>
      </w:r>
    </w:p>
    <w:p>
      <w:pPr>
        <w:pStyle w:val="ListParagraph"/>
        <w:numPr>
          <w:ilvl w:val="0"/>
          <w:numId w:val="2"/>
        </w:numPr>
        <w:spacing w:after="80" w:line="300"/>
      </w:pPr>
      <w:r>
        <w:rPr>
          <w:rFonts w:ascii="Times New Roman" w:cs="Times New Roman" w:eastAsia="Times New Roman" w:hAnsi="Times New Roman"/>
          <w:sz w:val="22"/>
          <w:szCs w:val="22"/>
        </w:rPr>
        <w:t xml:space="preserve">B1 bis B8 einfrieren, XS21 PiT v1.0, ein Lauf.</w:t>
      </w:r>
    </w:p>
    <w:p>
      <w:pPr>
        <w:pStyle w:val="ListParagraph"/>
        <w:numPr>
          <w:ilvl w:val="0"/>
          <w:numId w:val="2"/>
        </w:numPr>
        <w:spacing w:after="80" w:line="300"/>
      </w:pPr>
      <w:r>
        <w:rPr>
          <w:rFonts w:ascii="Times New Roman" w:cs="Times New Roman" w:eastAsia="Times New Roman" w:hAnsi="Times New Roman"/>
          <w:sz w:val="22"/>
          <w:szCs w:val="22"/>
        </w:rPr>
        <w:t xml:space="preserve">A1 bis A8 einfrieren, DT-P&amp;L, ein Lauf, danach A7 anwenden.</w:t>
      </w:r>
    </w:p>
    <w:p>
      <w:pPr>
        <w:pStyle w:val="ListParagraph"/>
        <w:numPr>
          <w:ilvl w:val="0"/>
          <w:numId w:val="2"/>
        </w:numPr>
        <w:spacing w:after="80" w:line="300"/>
      </w:pPr>
      <w:r>
        <w:rPr>
          <w:rFonts w:ascii="Times New Roman" w:cs="Times New Roman" w:eastAsia="Times New Roman" w:hAnsi="Times New Roman"/>
          <w:sz w:val="22"/>
          <w:szCs w:val="22"/>
        </w:rPr>
        <w:t xml:space="preserve">Engine-MVP klein halten, Abnahme gegen eingefrorene Stufe-2-Trades.</w:t>
      </w:r>
    </w:p>
    <w:p>
      <w:pPr>
        <w:pStyle w:val="ListParagraph"/>
        <w:numPr>
          <w:ilvl w:val="0"/>
          <w:numId w:val="2"/>
        </w:numPr>
        <w:spacing w:after="80" w:line="300"/>
      </w:pPr>
      <w:r>
        <w:rPr>
          <w:rFonts w:ascii="Times New Roman" w:cs="Times New Roman" w:eastAsia="Times New Roman" w:hAnsi="Times New Roman"/>
          <w:sz w:val="22"/>
          <w:szCs w:val="22"/>
        </w:rPr>
        <w:t xml:space="preserve">Paper nur für Kandidaten mit bestandenem Gate, sonst W2/W6 Spot-Long und gegebenenfalls XS21 ausdrücklich als Forward-Validation von Hypothesen.</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2026-10-01T10:03:50.462Z</dcterms:created>
  <dcterms:modified xsi:type="dcterms:W3CDTF">2026-10-01T10:03:50.464Z</dcterms:modified>
</cp:coreProperties>
</file>

<file path=docProps/custom.xml><?xml version="1.0" encoding="utf-8"?>
<Properties xmlns="http://schemas.openxmlformats.org/officeDocument/2006/custom-properties" xmlns:vt="http://schemas.openxmlformats.org/officeDocument/2006/docPropsVTypes"/>
</file>