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5C5E1" w14:textId="61B58F73" w:rsidR="009D45B3" w:rsidRDefault="00C270BB" w:rsidP="00C270BB">
      <w:pPr>
        <w:pStyle w:val="Subttulo"/>
        <w:rPr>
          <w:rFonts w:ascii="Times New Roman" w:hAnsi="Times New Roman" w:cs="Times New Roman"/>
          <w:color w:val="auto"/>
          <w:u w:val="single"/>
          <w:lang w:val="es-MX"/>
        </w:rPr>
      </w:pPr>
      <w:r>
        <w:rPr>
          <w:rFonts w:ascii="Times New Roman" w:hAnsi="Times New Roman" w:cs="Times New Roman"/>
          <w:color w:val="auto"/>
          <w:u w:val="single"/>
          <w:lang w:val="es-MX"/>
        </w:rPr>
        <w:t>Marcos de seguridad</w:t>
      </w:r>
    </w:p>
    <w:p w14:paraId="60DA355A" w14:textId="40133F4D" w:rsidR="00C270BB" w:rsidRDefault="00C270BB" w:rsidP="00C270BB">
      <w:pPr>
        <w:rPr>
          <w:rFonts w:ascii="Times New Roman" w:hAnsi="Times New Roman" w:cs="Times New Roman"/>
          <w:sz w:val="22"/>
          <w:szCs w:val="22"/>
          <w:lang w:val="es-MX"/>
        </w:rPr>
      </w:pPr>
      <w:r>
        <w:rPr>
          <w:rFonts w:ascii="Times New Roman" w:hAnsi="Times New Roman" w:cs="Times New Roman"/>
          <w:sz w:val="22"/>
          <w:szCs w:val="22"/>
          <w:lang w:val="es-MX"/>
        </w:rPr>
        <w:t>Son directrices utilizadas para crear planes que ayuden a mitigar los riesgos y las amenazas a los datos y la privacidad, proporcionan un enfoque estructurado para implementar el ciclo de vida de seguridad, el cual es un conjunto de políticas y normas en constante evolución que definen la forma en que una organización gestiona los riesgos, sigue las directrices establecidas y cumple con las leyes o con las normativas. Tienen distintos propósitos</w:t>
      </w:r>
    </w:p>
    <w:p w14:paraId="2277781C" w14:textId="3CBCEDD8" w:rsidR="00C270BB" w:rsidRDefault="00C270BB" w:rsidP="00C270BB">
      <w:pPr>
        <w:pStyle w:val="Prrafodelista"/>
        <w:numPr>
          <w:ilvl w:val="0"/>
          <w:numId w:val="1"/>
        </w:numPr>
        <w:rPr>
          <w:rFonts w:ascii="Times New Roman" w:hAnsi="Times New Roman" w:cs="Times New Roman"/>
          <w:sz w:val="22"/>
          <w:szCs w:val="22"/>
          <w:lang w:val="es-MX"/>
        </w:rPr>
      </w:pPr>
      <w:r>
        <w:rPr>
          <w:rFonts w:ascii="Times New Roman" w:hAnsi="Times New Roman" w:cs="Times New Roman"/>
          <w:sz w:val="22"/>
          <w:szCs w:val="22"/>
          <w:lang w:val="es-MX"/>
        </w:rPr>
        <w:t>Proteger la PII</w:t>
      </w:r>
    </w:p>
    <w:p w14:paraId="2FBA8EA6" w14:textId="7945B3D6" w:rsidR="00C270BB" w:rsidRDefault="00C270BB" w:rsidP="00C270BB">
      <w:pPr>
        <w:pStyle w:val="Prrafodelista"/>
        <w:numPr>
          <w:ilvl w:val="0"/>
          <w:numId w:val="1"/>
        </w:numPr>
        <w:rPr>
          <w:rFonts w:ascii="Times New Roman" w:hAnsi="Times New Roman" w:cs="Times New Roman"/>
          <w:sz w:val="22"/>
          <w:szCs w:val="22"/>
          <w:lang w:val="es-MX"/>
        </w:rPr>
      </w:pPr>
      <w:r>
        <w:rPr>
          <w:rFonts w:ascii="Times New Roman" w:hAnsi="Times New Roman" w:cs="Times New Roman"/>
          <w:sz w:val="22"/>
          <w:szCs w:val="22"/>
          <w:lang w:val="es-MX"/>
        </w:rPr>
        <w:t>Asegurar la información financiera</w:t>
      </w:r>
    </w:p>
    <w:p w14:paraId="622B0DF0" w14:textId="79AC3D2A" w:rsidR="00C270BB" w:rsidRDefault="00C270BB" w:rsidP="00C270BB">
      <w:pPr>
        <w:pStyle w:val="Prrafodelista"/>
        <w:numPr>
          <w:ilvl w:val="0"/>
          <w:numId w:val="1"/>
        </w:numPr>
        <w:rPr>
          <w:rFonts w:ascii="Times New Roman" w:hAnsi="Times New Roman" w:cs="Times New Roman"/>
          <w:sz w:val="22"/>
          <w:szCs w:val="22"/>
          <w:lang w:val="es-MX"/>
        </w:rPr>
      </w:pPr>
      <w:r>
        <w:rPr>
          <w:rFonts w:ascii="Times New Roman" w:hAnsi="Times New Roman" w:cs="Times New Roman"/>
          <w:sz w:val="22"/>
          <w:szCs w:val="22"/>
          <w:lang w:val="es-MX"/>
        </w:rPr>
        <w:t>Identificar las debilidades de seguridad</w:t>
      </w:r>
    </w:p>
    <w:p w14:paraId="0322DDA2" w14:textId="2BE0B126" w:rsidR="00C270BB" w:rsidRDefault="00C270BB" w:rsidP="00C270BB">
      <w:pPr>
        <w:pStyle w:val="Prrafodelista"/>
        <w:numPr>
          <w:ilvl w:val="0"/>
          <w:numId w:val="1"/>
        </w:numPr>
        <w:rPr>
          <w:rFonts w:ascii="Times New Roman" w:hAnsi="Times New Roman" w:cs="Times New Roman"/>
          <w:sz w:val="22"/>
          <w:szCs w:val="22"/>
          <w:lang w:val="es-MX"/>
        </w:rPr>
      </w:pPr>
      <w:r>
        <w:rPr>
          <w:rFonts w:ascii="Times New Roman" w:hAnsi="Times New Roman" w:cs="Times New Roman"/>
          <w:sz w:val="22"/>
          <w:szCs w:val="22"/>
          <w:lang w:val="es-MX"/>
        </w:rPr>
        <w:t>Administras los riesgos organizacionales</w:t>
      </w:r>
    </w:p>
    <w:p w14:paraId="148B1B6A" w14:textId="58DAFDFC" w:rsidR="00C270BB" w:rsidRDefault="00C270BB" w:rsidP="00C270BB">
      <w:pPr>
        <w:pStyle w:val="Prrafodelista"/>
        <w:numPr>
          <w:ilvl w:val="0"/>
          <w:numId w:val="1"/>
        </w:numPr>
        <w:rPr>
          <w:rFonts w:ascii="Times New Roman" w:hAnsi="Times New Roman" w:cs="Times New Roman"/>
          <w:sz w:val="22"/>
          <w:szCs w:val="22"/>
          <w:lang w:val="es-MX"/>
        </w:rPr>
      </w:pPr>
      <w:r>
        <w:rPr>
          <w:rFonts w:ascii="Times New Roman" w:hAnsi="Times New Roman" w:cs="Times New Roman"/>
          <w:sz w:val="22"/>
          <w:szCs w:val="22"/>
          <w:lang w:val="es-MX"/>
        </w:rPr>
        <w:t>Alinear la seguridad con los objetivos comerciales</w:t>
      </w:r>
    </w:p>
    <w:p w14:paraId="36691467" w14:textId="2056CE43" w:rsidR="00C270BB" w:rsidRDefault="00C270BB" w:rsidP="00C270BB">
      <w:pPr>
        <w:rPr>
          <w:rFonts w:ascii="Times New Roman" w:hAnsi="Times New Roman" w:cs="Times New Roman"/>
          <w:sz w:val="22"/>
          <w:szCs w:val="22"/>
          <w:lang w:val="es-MX"/>
        </w:rPr>
      </w:pPr>
      <w:r>
        <w:rPr>
          <w:rFonts w:ascii="Times New Roman" w:hAnsi="Times New Roman" w:cs="Times New Roman"/>
          <w:sz w:val="22"/>
          <w:szCs w:val="22"/>
          <w:lang w:val="es-MX"/>
        </w:rPr>
        <w:t>Los marcos, poseen cuatro componentes principales</w:t>
      </w:r>
    </w:p>
    <w:p w14:paraId="03EA8EDA" w14:textId="0B1E1750" w:rsidR="00C270BB" w:rsidRDefault="00C270BB" w:rsidP="00C270BB">
      <w:pPr>
        <w:pStyle w:val="Prrafodelista"/>
        <w:numPr>
          <w:ilvl w:val="0"/>
          <w:numId w:val="2"/>
        </w:numPr>
        <w:rPr>
          <w:rFonts w:ascii="Times New Roman" w:hAnsi="Times New Roman" w:cs="Times New Roman"/>
          <w:sz w:val="22"/>
          <w:szCs w:val="22"/>
          <w:lang w:val="es-MX"/>
        </w:rPr>
      </w:pPr>
      <w:r>
        <w:rPr>
          <w:rFonts w:ascii="Times New Roman" w:hAnsi="Times New Roman" w:cs="Times New Roman"/>
          <w:sz w:val="22"/>
          <w:szCs w:val="22"/>
          <w:lang w:val="es-MX"/>
        </w:rPr>
        <w:t>Identificar y documentar los objetivos de seguridad</w:t>
      </w:r>
    </w:p>
    <w:p w14:paraId="3AF50ACA" w14:textId="2DE1FFF5" w:rsidR="00C270BB" w:rsidRDefault="00AC14B9" w:rsidP="00C270BB">
      <w:pPr>
        <w:pStyle w:val="Prrafodelista"/>
        <w:numPr>
          <w:ilvl w:val="0"/>
          <w:numId w:val="2"/>
        </w:numPr>
        <w:rPr>
          <w:rFonts w:ascii="Times New Roman" w:hAnsi="Times New Roman" w:cs="Times New Roman"/>
          <w:sz w:val="22"/>
          <w:szCs w:val="22"/>
          <w:lang w:val="es-MX"/>
        </w:rPr>
      </w:pPr>
      <w:r>
        <w:rPr>
          <w:rFonts w:ascii="Times New Roman" w:hAnsi="Times New Roman" w:cs="Times New Roman"/>
          <w:sz w:val="22"/>
          <w:szCs w:val="22"/>
          <w:lang w:val="es-MX"/>
        </w:rPr>
        <w:t>Establecer directrices para lograr los objetivos de seguridad</w:t>
      </w:r>
    </w:p>
    <w:p w14:paraId="787954AE" w14:textId="10B6D03C" w:rsidR="00AC14B9" w:rsidRDefault="00AC14B9" w:rsidP="00C270BB">
      <w:pPr>
        <w:pStyle w:val="Prrafodelista"/>
        <w:numPr>
          <w:ilvl w:val="0"/>
          <w:numId w:val="2"/>
        </w:numPr>
        <w:rPr>
          <w:rFonts w:ascii="Times New Roman" w:hAnsi="Times New Roman" w:cs="Times New Roman"/>
          <w:sz w:val="22"/>
          <w:szCs w:val="22"/>
          <w:lang w:val="es-MX"/>
        </w:rPr>
      </w:pPr>
      <w:r>
        <w:rPr>
          <w:rFonts w:ascii="Times New Roman" w:hAnsi="Times New Roman" w:cs="Times New Roman"/>
          <w:sz w:val="22"/>
          <w:szCs w:val="22"/>
          <w:lang w:val="es-MX"/>
        </w:rPr>
        <w:t xml:space="preserve">Implementación de procesos de seguridad solidos </w:t>
      </w:r>
    </w:p>
    <w:p w14:paraId="720A2415" w14:textId="03A7E6E2" w:rsidR="00AC14B9" w:rsidRDefault="00AC14B9" w:rsidP="00C270BB">
      <w:pPr>
        <w:pStyle w:val="Prrafodelista"/>
        <w:numPr>
          <w:ilvl w:val="0"/>
          <w:numId w:val="2"/>
        </w:numPr>
        <w:rPr>
          <w:rFonts w:ascii="Times New Roman" w:hAnsi="Times New Roman" w:cs="Times New Roman"/>
          <w:sz w:val="22"/>
          <w:szCs w:val="22"/>
          <w:lang w:val="es-MX"/>
        </w:rPr>
      </w:pPr>
      <w:r>
        <w:rPr>
          <w:rFonts w:ascii="Times New Roman" w:hAnsi="Times New Roman" w:cs="Times New Roman"/>
          <w:sz w:val="22"/>
          <w:szCs w:val="22"/>
          <w:lang w:val="es-MX"/>
        </w:rPr>
        <w:t>Monitoreo y comunicación de resultados</w:t>
      </w:r>
    </w:p>
    <w:p w14:paraId="51DC2672" w14:textId="2FE5CFE7" w:rsidR="00AC14B9" w:rsidRDefault="00AE3626" w:rsidP="00AC14B9">
      <w:r>
        <w:rPr>
          <w:rFonts w:ascii="Times New Roman" w:hAnsi="Times New Roman" w:cs="Times New Roman"/>
          <w:b/>
          <w:bCs/>
          <w:sz w:val="22"/>
          <w:szCs w:val="22"/>
          <w:u w:val="single"/>
          <w:lang w:val="es-MX"/>
        </w:rPr>
        <w:t>Controles de seguridad:</w:t>
      </w:r>
      <w:r>
        <w:rPr>
          <w:rFonts w:ascii="Times New Roman" w:hAnsi="Times New Roman" w:cs="Times New Roman"/>
          <w:sz w:val="22"/>
          <w:szCs w:val="22"/>
          <w:lang w:val="es-MX"/>
        </w:rPr>
        <w:t xml:space="preserve"> son medidas de seguridad diseñadas para reducir los riesgos de seguridad específicos. Esto, junto con los marcos es vital para administrar la seguridad de todos los tipos de organizaciones y garantizar que todos hagan su parte para mantener un nivel de riesgo bajo</w:t>
      </w:r>
      <w:r>
        <w:t xml:space="preserve"> </w:t>
      </w:r>
    </w:p>
    <w:p w14:paraId="2690A9EB" w14:textId="229A80EC" w:rsidR="00121278" w:rsidRDefault="00121278" w:rsidP="00AC14B9">
      <w:pPr>
        <w:rPr>
          <w:rFonts w:ascii="Times New Roman" w:hAnsi="Times New Roman" w:cs="Times New Roman"/>
          <w:b/>
          <w:bCs/>
          <w:sz w:val="28"/>
          <w:szCs w:val="28"/>
          <w:u w:val="single"/>
        </w:rPr>
      </w:pPr>
      <w:r>
        <w:rPr>
          <w:rFonts w:ascii="Times New Roman" w:hAnsi="Times New Roman" w:cs="Times New Roman"/>
          <w:b/>
          <w:bCs/>
          <w:sz w:val="28"/>
          <w:szCs w:val="28"/>
          <w:u w:val="single"/>
        </w:rPr>
        <w:t>Triada CID</w:t>
      </w:r>
    </w:p>
    <w:p w14:paraId="59C89753" w14:textId="4BE23577" w:rsidR="00121278" w:rsidRDefault="00121278" w:rsidP="00AC14B9">
      <w:pPr>
        <w:rPr>
          <w:rFonts w:ascii="Times New Roman" w:hAnsi="Times New Roman" w:cs="Times New Roman"/>
          <w:sz w:val="22"/>
          <w:szCs w:val="22"/>
          <w:lang w:val="es-MX"/>
        </w:rPr>
      </w:pPr>
      <w:r>
        <w:rPr>
          <w:rFonts w:ascii="Times New Roman" w:hAnsi="Times New Roman" w:cs="Times New Roman"/>
          <w:sz w:val="22"/>
          <w:szCs w:val="22"/>
          <w:lang w:val="es-MX"/>
        </w:rPr>
        <w:t>Es un modelo fundamental que ayuda a informar como las organizaciones consideran el riesgo al establecer sistemas y políticas de Seguridad, CID es sinónimo de confidencialidad, integridad y disponibilidad</w:t>
      </w:r>
    </w:p>
    <w:p w14:paraId="22E0603E" w14:textId="020299CA" w:rsidR="00121278" w:rsidRDefault="00780DBA" w:rsidP="00AC14B9">
      <w:pPr>
        <w:rPr>
          <w:rFonts w:ascii="Times New Roman" w:hAnsi="Times New Roman" w:cs="Times New Roman"/>
          <w:sz w:val="22"/>
          <w:szCs w:val="22"/>
          <w:lang w:val="es-MX"/>
        </w:rPr>
      </w:pPr>
      <w:r>
        <w:rPr>
          <w:rFonts w:ascii="Times New Roman" w:hAnsi="Times New Roman" w:cs="Times New Roman"/>
          <w:b/>
          <w:bCs/>
          <w:sz w:val="22"/>
          <w:szCs w:val="22"/>
          <w:lang w:val="es-MX"/>
        </w:rPr>
        <w:t xml:space="preserve"> • Confidencialidad: </w:t>
      </w:r>
      <w:r>
        <w:rPr>
          <w:rFonts w:ascii="Times New Roman" w:hAnsi="Times New Roman" w:cs="Times New Roman"/>
          <w:sz w:val="22"/>
          <w:szCs w:val="22"/>
          <w:lang w:val="es-MX"/>
        </w:rPr>
        <w:t>solo los usuarios autorizados tienen acceso a activos o datos específicos</w:t>
      </w:r>
    </w:p>
    <w:p w14:paraId="71B8AFDC" w14:textId="410040E3" w:rsidR="00780DBA" w:rsidRDefault="00780DBA" w:rsidP="00AC14B9">
      <w:pPr>
        <w:rPr>
          <w:rFonts w:ascii="Times New Roman" w:hAnsi="Times New Roman" w:cs="Times New Roman"/>
          <w:sz w:val="22"/>
          <w:szCs w:val="22"/>
          <w:lang w:val="es-MX"/>
        </w:rPr>
      </w:pPr>
      <w:r>
        <w:rPr>
          <w:rFonts w:ascii="Times New Roman" w:hAnsi="Times New Roman" w:cs="Times New Roman"/>
          <w:sz w:val="22"/>
          <w:szCs w:val="22"/>
          <w:lang w:val="es-MX"/>
        </w:rPr>
        <w:t xml:space="preserve"> </w:t>
      </w:r>
      <w:r>
        <w:rPr>
          <w:rFonts w:ascii="Times New Roman" w:hAnsi="Times New Roman" w:cs="Times New Roman"/>
          <w:b/>
          <w:bCs/>
          <w:sz w:val="22"/>
          <w:szCs w:val="22"/>
          <w:lang w:val="es-MX"/>
        </w:rPr>
        <w:t xml:space="preserve">•Integridad: </w:t>
      </w:r>
      <w:r>
        <w:rPr>
          <w:rFonts w:ascii="Times New Roman" w:hAnsi="Times New Roman" w:cs="Times New Roman"/>
          <w:sz w:val="22"/>
          <w:szCs w:val="22"/>
          <w:lang w:val="es-MX"/>
        </w:rPr>
        <w:t xml:space="preserve">los datos son correctos, auténticos y confiables, esto se puede generar gracias a la </w:t>
      </w:r>
      <w:proofErr w:type="gramStart"/>
      <w:r>
        <w:rPr>
          <w:rFonts w:ascii="Times New Roman" w:hAnsi="Times New Roman" w:cs="Times New Roman"/>
          <w:sz w:val="22"/>
          <w:szCs w:val="22"/>
          <w:lang w:val="es-MX"/>
        </w:rPr>
        <w:t>encriptación</w:t>
      </w:r>
      <w:proofErr w:type="gramEnd"/>
      <w:r>
        <w:rPr>
          <w:rFonts w:ascii="Times New Roman" w:hAnsi="Times New Roman" w:cs="Times New Roman"/>
          <w:sz w:val="22"/>
          <w:szCs w:val="22"/>
          <w:lang w:val="es-MX"/>
        </w:rPr>
        <w:t xml:space="preserve"> por ejemplo</w:t>
      </w:r>
    </w:p>
    <w:p w14:paraId="6AB5EEC9" w14:textId="3C3BD3D4" w:rsidR="00780DBA" w:rsidRDefault="00780DBA" w:rsidP="00AC14B9">
      <w:pPr>
        <w:rPr>
          <w:rFonts w:ascii="Times New Roman" w:hAnsi="Times New Roman" w:cs="Times New Roman"/>
          <w:sz w:val="22"/>
          <w:szCs w:val="22"/>
          <w:lang w:val="es-MX"/>
        </w:rPr>
      </w:pPr>
      <w:r>
        <w:rPr>
          <w:rFonts w:ascii="Times New Roman" w:hAnsi="Times New Roman" w:cs="Times New Roman"/>
          <w:sz w:val="22"/>
          <w:szCs w:val="22"/>
          <w:lang w:val="es-MX"/>
        </w:rPr>
        <w:t xml:space="preserve"> </w:t>
      </w:r>
      <w:r>
        <w:rPr>
          <w:rFonts w:ascii="Times New Roman" w:hAnsi="Times New Roman" w:cs="Times New Roman"/>
          <w:b/>
          <w:bCs/>
          <w:sz w:val="22"/>
          <w:szCs w:val="22"/>
          <w:lang w:val="es-MX"/>
        </w:rPr>
        <w:t xml:space="preserve">•Disponibilidad: </w:t>
      </w:r>
      <w:r>
        <w:rPr>
          <w:rFonts w:ascii="Times New Roman" w:hAnsi="Times New Roman" w:cs="Times New Roman"/>
          <w:sz w:val="22"/>
          <w:szCs w:val="22"/>
          <w:lang w:val="es-MX"/>
        </w:rPr>
        <w:t>los datos son accesibles para quienes están autorizados a acceder a ellos</w:t>
      </w:r>
    </w:p>
    <w:p w14:paraId="7ACDA8CA" w14:textId="1E8B400C" w:rsidR="00780DBA" w:rsidRDefault="00780DBA" w:rsidP="00AC14B9">
      <w:pPr>
        <w:rPr>
          <w:rFonts w:ascii="Times New Roman" w:hAnsi="Times New Roman" w:cs="Times New Roman"/>
          <w:sz w:val="22"/>
          <w:szCs w:val="22"/>
          <w:lang w:val="es-MX"/>
        </w:rPr>
      </w:pPr>
      <w:r>
        <w:rPr>
          <w:rFonts w:ascii="Times New Roman" w:hAnsi="Times New Roman" w:cs="Times New Roman"/>
          <w:sz w:val="22"/>
          <w:szCs w:val="22"/>
          <w:lang w:val="es-MX"/>
        </w:rPr>
        <w:t xml:space="preserve"> </w:t>
      </w:r>
      <w:r>
        <w:rPr>
          <w:rFonts w:ascii="Times New Roman" w:hAnsi="Times New Roman" w:cs="Times New Roman"/>
          <w:b/>
          <w:bCs/>
          <w:sz w:val="22"/>
          <w:szCs w:val="22"/>
          <w:lang w:val="es-MX"/>
        </w:rPr>
        <w:t>•Recurso:</w:t>
      </w:r>
      <w:r>
        <w:rPr>
          <w:rFonts w:ascii="Times New Roman" w:hAnsi="Times New Roman" w:cs="Times New Roman"/>
          <w:sz w:val="22"/>
          <w:szCs w:val="22"/>
          <w:lang w:val="es-MX"/>
        </w:rPr>
        <w:t xml:space="preserve"> es un elemento que se percibe como valioso para una organización</w:t>
      </w:r>
    </w:p>
    <w:p w14:paraId="1F16DEAC" w14:textId="0D0832B1" w:rsidR="00780DBA" w:rsidRDefault="00780DBA" w:rsidP="00AC14B9">
      <w:pPr>
        <w:rPr>
          <w:rFonts w:ascii="Times New Roman" w:hAnsi="Times New Roman" w:cs="Times New Roman"/>
          <w:sz w:val="22"/>
          <w:szCs w:val="22"/>
          <w:lang w:val="es-MX"/>
        </w:rPr>
      </w:pPr>
      <w:r>
        <w:rPr>
          <w:rFonts w:ascii="Times New Roman" w:hAnsi="Times New Roman" w:cs="Times New Roman"/>
          <w:b/>
          <w:bCs/>
          <w:sz w:val="22"/>
          <w:szCs w:val="22"/>
          <w:u w:val="single"/>
          <w:lang w:val="es-MX"/>
        </w:rPr>
        <w:t>Marco de ciberseguridad de NIST:</w:t>
      </w:r>
      <w:r>
        <w:rPr>
          <w:rFonts w:ascii="Times New Roman" w:hAnsi="Times New Roman" w:cs="Times New Roman"/>
          <w:sz w:val="22"/>
          <w:szCs w:val="22"/>
          <w:lang w:val="es-MX"/>
        </w:rPr>
        <w:t xml:space="preserve"> marco </w:t>
      </w:r>
      <w:r w:rsidR="003B3F66">
        <w:rPr>
          <w:rFonts w:ascii="Times New Roman" w:hAnsi="Times New Roman" w:cs="Times New Roman"/>
          <w:sz w:val="22"/>
          <w:szCs w:val="22"/>
          <w:lang w:val="es-MX"/>
        </w:rPr>
        <w:t xml:space="preserve">de cumplimiento </w:t>
      </w:r>
      <w:r>
        <w:rPr>
          <w:rFonts w:ascii="Times New Roman" w:hAnsi="Times New Roman" w:cs="Times New Roman"/>
          <w:sz w:val="22"/>
          <w:szCs w:val="22"/>
          <w:lang w:val="es-MX"/>
        </w:rPr>
        <w:t>voluntario que consiste en estándares, directrices y mejores practicas para gestionar el riesgo de ciberseguridad, es la base para gestionar los riesgos a corto y largo plazo</w:t>
      </w:r>
    </w:p>
    <w:p w14:paraId="609B8213" w14:textId="3FDD466A" w:rsidR="003B3F66" w:rsidRDefault="003B3F66" w:rsidP="003B3F66">
      <w:pPr>
        <w:pStyle w:val="Subttulo"/>
        <w:rPr>
          <w:rFonts w:ascii="Times New Roman" w:hAnsi="Times New Roman" w:cs="Times New Roman"/>
          <w:b/>
          <w:bCs/>
          <w:color w:val="auto"/>
          <w:u w:val="single"/>
        </w:rPr>
      </w:pPr>
      <w:r w:rsidRPr="003B3F66">
        <w:rPr>
          <w:rFonts w:ascii="Times New Roman" w:hAnsi="Times New Roman" w:cs="Times New Roman"/>
          <w:b/>
          <w:bCs/>
          <w:color w:val="auto"/>
          <w:u w:val="single"/>
        </w:rPr>
        <w:t>Comisión Federal Reguladora de la Energía - Corporación Norteamericana de Fiabilidad Eléctrica (FERC-NERC)</w:t>
      </w:r>
    </w:p>
    <w:p w14:paraId="7152C73B" w14:textId="422ECB05" w:rsidR="003B3F66" w:rsidRDefault="003B3F66" w:rsidP="003B3F66">
      <w:pPr>
        <w:rPr>
          <w:rFonts w:ascii="Times New Roman" w:hAnsi="Times New Roman" w:cs="Times New Roman"/>
          <w:sz w:val="22"/>
          <w:szCs w:val="22"/>
        </w:rPr>
      </w:pPr>
      <w:r>
        <w:rPr>
          <w:rFonts w:ascii="Times New Roman" w:hAnsi="Times New Roman" w:cs="Times New Roman"/>
          <w:sz w:val="22"/>
          <w:szCs w:val="22"/>
        </w:rPr>
        <w:t>L</w:t>
      </w:r>
      <w:r w:rsidRPr="003B3F66">
        <w:rPr>
          <w:rFonts w:ascii="Times New Roman" w:hAnsi="Times New Roman" w:cs="Times New Roman"/>
          <w:sz w:val="22"/>
          <w:szCs w:val="22"/>
        </w:rPr>
        <w:t xml:space="preserve">a FERC-NERC es una normativa que se aplica a las organizaciones que trabajan con electricidad o que están relacionadas con la red eléctrica de Estados Unidos y Norteamérica. Este tipo de organizaciones tienen la obligación de prepararse, mitigar y notificar cualquier posible incidente de seguridad que pueda afectar negativamente a la red eléctrica. También </w:t>
      </w:r>
      <w:r w:rsidRPr="003B3F66">
        <w:rPr>
          <w:rFonts w:ascii="Times New Roman" w:hAnsi="Times New Roman" w:cs="Times New Roman"/>
          <w:sz w:val="22"/>
          <w:szCs w:val="22"/>
        </w:rPr>
        <w:lastRenderedPageBreak/>
        <w:t>tienen la obligación legal de adherirse a las Normas de Fiabilidad para la Protección de Infraestructuras Críticas (CIP) definidas por la FERC.</w:t>
      </w:r>
    </w:p>
    <w:p w14:paraId="5BDAF061" w14:textId="77777777" w:rsidR="003B3F66" w:rsidRPr="003B3F66" w:rsidRDefault="003B3F66" w:rsidP="003B3F66">
      <w:pPr>
        <w:pStyle w:val="Subttulo"/>
        <w:rPr>
          <w:rFonts w:ascii="Times New Roman" w:hAnsi="Times New Roman" w:cs="Times New Roman"/>
          <w:b/>
          <w:bCs/>
          <w:color w:val="auto"/>
          <w:u w:val="single"/>
        </w:rPr>
      </w:pPr>
      <w:r w:rsidRPr="003B3F66">
        <w:rPr>
          <w:rFonts w:ascii="Times New Roman" w:hAnsi="Times New Roman" w:cs="Times New Roman"/>
          <w:b/>
          <w:bCs/>
          <w:color w:val="auto"/>
          <w:u w:val="single"/>
        </w:rPr>
        <w:t>Programa Federal de Gestión de Riesgos y Autorizaciones (</w:t>
      </w:r>
      <w:proofErr w:type="spellStart"/>
      <w:r w:rsidRPr="003B3F66">
        <w:rPr>
          <w:rFonts w:ascii="Times New Roman" w:hAnsi="Times New Roman" w:cs="Times New Roman"/>
          <w:b/>
          <w:bCs/>
          <w:color w:val="auto"/>
          <w:u w:val="single"/>
        </w:rPr>
        <w:t>FedRAMP</w:t>
      </w:r>
      <w:proofErr w:type="spellEnd"/>
      <w:r w:rsidRPr="003B3F66">
        <w:rPr>
          <w:rFonts w:ascii="Times New Roman" w:hAnsi="Times New Roman" w:cs="Times New Roman"/>
          <w:b/>
          <w:bCs/>
          <w:color w:val="auto"/>
          <w:u w:val="single"/>
        </w:rPr>
        <w:t>®)</w:t>
      </w:r>
    </w:p>
    <w:p w14:paraId="69C54995" w14:textId="6D208B6D" w:rsidR="003B3F66" w:rsidRDefault="003B3F66" w:rsidP="003B3F66">
      <w:pPr>
        <w:rPr>
          <w:rFonts w:ascii="Times New Roman" w:hAnsi="Times New Roman" w:cs="Times New Roman"/>
          <w:sz w:val="22"/>
          <w:szCs w:val="22"/>
        </w:rPr>
      </w:pPr>
      <w:proofErr w:type="spellStart"/>
      <w:r w:rsidRPr="003B3F66">
        <w:rPr>
          <w:rFonts w:ascii="Times New Roman" w:hAnsi="Times New Roman" w:cs="Times New Roman"/>
          <w:sz w:val="22"/>
          <w:szCs w:val="22"/>
        </w:rPr>
        <w:t>FedRAMP</w:t>
      </w:r>
      <w:proofErr w:type="spellEnd"/>
      <w:r w:rsidRPr="003B3F66">
        <w:rPr>
          <w:rFonts w:ascii="Times New Roman" w:hAnsi="Times New Roman" w:cs="Times New Roman"/>
          <w:sz w:val="22"/>
          <w:szCs w:val="22"/>
        </w:rPr>
        <w:t xml:space="preserve"> es un programa del gobierno federal de EE.UU. que estandariza la evaluación de la seguridad, la autorización, la supervisión y la gestión de los servicios en la nube y las ofertas de productos. Su objetivo es proporcionar coherencia entre el sector gubernamental y los proveedores de nube de terceros.</w:t>
      </w:r>
    </w:p>
    <w:p w14:paraId="7ACD13AC" w14:textId="6BF4A3BB" w:rsidR="003B3F66" w:rsidRDefault="003B3F66" w:rsidP="003B3F66">
      <w:pPr>
        <w:pStyle w:val="Subttulo"/>
        <w:rPr>
          <w:rFonts w:ascii="Times New Roman" w:hAnsi="Times New Roman" w:cs="Times New Roman"/>
          <w:b/>
          <w:bCs/>
          <w:color w:val="auto"/>
          <w:u w:val="single"/>
        </w:rPr>
      </w:pPr>
      <w:r w:rsidRPr="003B3F66">
        <w:rPr>
          <w:rFonts w:ascii="Times New Roman" w:hAnsi="Times New Roman" w:cs="Times New Roman"/>
          <w:b/>
          <w:bCs/>
          <w:color w:val="auto"/>
          <w:u w:val="single"/>
        </w:rPr>
        <w:t>Centro para la Seguridad en Internet (CIS®)</w:t>
      </w:r>
    </w:p>
    <w:p w14:paraId="0A48907C" w14:textId="6BEAAAF1" w:rsidR="003B3F66" w:rsidRDefault="003B3F66" w:rsidP="003B3F66">
      <w:pPr>
        <w:rPr>
          <w:rFonts w:ascii="Times New Roman" w:hAnsi="Times New Roman" w:cs="Times New Roman"/>
          <w:sz w:val="22"/>
          <w:szCs w:val="22"/>
        </w:rPr>
      </w:pPr>
      <w:r>
        <w:rPr>
          <w:rFonts w:ascii="Times New Roman" w:hAnsi="Times New Roman" w:cs="Times New Roman"/>
          <w:sz w:val="22"/>
          <w:szCs w:val="22"/>
        </w:rPr>
        <w:t xml:space="preserve">Es una organización sin animo de lucro con múltiples áreas de interés, proporciona un conjunto de controles que pueden utilizarse para salvaguardar sistemas y redes contra ataques. Su objetivo es ayudar a establecer un mejor plan de defensa en las organizaciones, además, proporciona controles procesables que los profesionales de la seguridad pueden seguir si se produce un incidente de seguridad </w:t>
      </w:r>
    </w:p>
    <w:p w14:paraId="16A385C7" w14:textId="0728B07F" w:rsidR="003B3F66" w:rsidRPr="0088343D" w:rsidRDefault="003B3F66" w:rsidP="003B3F66">
      <w:pPr>
        <w:pStyle w:val="Subttulo"/>
        <w:rPr>
          <w:rFonts w:ascii="Times New Roman" w:hAnsi="Times New Roman" w:cs="Times New Roman"/>
          <w:b/>
          <w:bCs/>
          <w:color w:val="auto"/>
          <w:u w:val="single"/>
        </w:rPr>
      </w:pPr>
      <w:r w:rsidRPr="0088343D">
        <w:rPr>
          <w:rFonts w:ascii="Times New Roman" w:hAnsi="Times New Roman" w:cs="Times New Roman"/>
          <w:b/>
          <w:bCs/>
          <w:color w:val="auto"/>
          <w:u w:val="single"/>
        </w:rPr>
        <w:t>Reglamento General de Protección de Datos (RGPD)</w:t>
      </w:r>
    </w:p>
    <w:p w14:paraId="25EBF527" w14:textId="47759A65" w:rsidR="003B3F66" w:rsidRDefault="0088343D" w:rsidP="003B3F66">
      <w:pPr>
        <w:rPr>
          <w:rFonts w:ascii="Times New Roman" w:hAnsi="Times New Roman" w:cs="Times New Roman"/>
          <w:sz w:val="22"/>
          <w:szCs w:val="22"/>
        </w:rPr>
      </w:pPr>
      <w:r>
        <w:rPr>
          <w:rFonts w:ascii="Times New Roman" w:hAnsi="Times New Roman" w:cs="Times New Roman"/>
          <w:sz w:val="22"/>
          <w:szCs w:val="22"/>
        </w:rPr>
        <w:t>Es un reglamento general de datos de la Unión Europea que protege el tratamiento de los datos de los residentes en la UE y su derecho a la privacidad dentro y fuera del territorio de la UE</w:t>
      </w:r>
    </w:p>
    <w:p w14:paraId="6DCD3F52" w14:textId="1A9AE6F2" w:rsidR="0088343D" w:rsidRDefault="0088343D" w:rsidP="0088343D">
      <w:pPr>
        <w:pStyle w:val="Subttulo"/>
        <w:rPr>
          <w:rFonts w:ascii="Times New Roman" w:hAnsi="Times New Roman" w:cs="Times New Roman"/>
          <w:b/>
          <w:bCs/>
          <w:color w:val="auto"/>
          <w:u w:val="single"/>
        </w:rPr>
      </w:pPr>
      <w:r w:rsidRPr="0088343D">
        <w:rPr>
          <w:rFonts w:ascii="Times New Roman" w:hAnsi="Times New Roman" w:cs="Times New Roman"/>
          <w:b/>
          <w:bCs/>
          <w:color w:val="auto"/>
          <w:u w:val="single"/>
        </w:rPr>
        <w:t>Estándar de seguridad de los datos para la industria de tarjetas de pago (PCI DSS)</w:t>
      </w:r>
    </w:p>
    <w:p w14:paraId="1D6037F2" w14:textId="62C91956" w:rsidR="0088343D" w:rsidRDefault="0088343D" w:rsidP="0088343D">
      <w:pPr>
        <w:rPr>
          <w:rFonts w:ascii="Times New Roman" w:hAnsi="Times New Roman" w:cs="Times New Roman"/>
          <w:sz w:val="22"/>
          <w:szCs w:val="22"/>
        </w:rPr>
      </w:pPr>
      <w:r>
        <w:rPr>
          <w:rFonts w:ascii="Times New Roman" w:hAnsi="Times New Roman" w:cs="Times New Roman"/>
          <w:sz w:val="22"/>
          <w:szCs w:val="22"/>
        </w:rPr>
        <w:t>Es una norma de seguridad internacional destinada a garantizar que las organizaciones almacenan, aceptan, procesan y transmiten información de tarjetas de crédito lo hacen en un entorno seguro</w:t>
      </w:r>
    </w:p>
    <w:p w14:paraId="77D932DF" w14:textId="20D9377F" w:rsidR="0088343D" w:rsidRDefault="0088343D" w:rsidP="0088343D">
      <w:pPr>
        <w:pStyle w:val="Subttulo"/>
        <w:rPr>
          <w:rFonts w:ascii="Times New Roman" w:hAnsi="Times New Roman" w:cs="Times New Roman"/>
          <w:b/>
          <w:bCs/>
          <w:color w:val="auto"/>
          <w:u w:val="single"/>
        </w:rPr>
      </w:pPr>
      <w:r w:rsidRPr="0088343D">
        <w:rPr>
          <w:rFonts w:ascii="Times New Roman" w:hAnsi="Times New Roman" w:cs="Times New Roman"/>
          <w:b/>
          <w:bCs/>
          <w:color w:val="auto"/>
          <w:u w:val="single"/>
        </w:rPr>
        <w:t>Ley de Transferencia y Responsabilidad de los Seguros Médicos (HIPAA)</w:t>
      </w:r>
    </w:p>
    <w:p w14:paraId="5DA86A4A" w14:textId="7566ACEC" w:rsidR="0088343D" w:rsidRDefault="0088343D" w:rsidP="0088343D">
      <w:pPr>
        <w:rPr>
          <w:rFonts w:ascii="Times New Roman" w:hAnsi="Times New Roman" w:cs="Times New Roman"/>
          <w:sz w:val="22"/>
          <w:szCs w:val="22"/>
        </w:rPr>
      </w:pPr>
      <w:r>
        <w:rPr>
          <w:rFonts w:ascii="Times New Roman" w:hAnsi="Times New Roman" w:cs="Times New Roman"/>
          <w:sz w:val="22"/>
          <w:szCs w:val="22"/>
        </w:rPr>
        <w:t>Es una ley federal estadounidense establecida en 1996 para proteger la información sanitaria de los pacientes, esta prohíbe que la información de los pacientes se comparta sin su consentimiento, se rige por 3 normas</w:t>
      </w:r>
      <w:r>
        <w:rPr>
          <w:rFonts w:ascii="Times New Roman" w:hAnsi="Times New Roman" w:cs="Times New Roman"/>
          <w:sz w:val="22"/>
          <w:szCs w:val="22"/>
        </w:rPr>
        <w:br/>
        <w:t>1- Privacidad</w:t>
      </w:r>
    </w:p>
    <w:p w14:paraId="772409A0" w14:textId="171E114C" w:rsidR="0088343D" w:rsidRDefault="0088343D" w:rsidP="0088343D">
      <w:pPr>
        <w:rPr>
          <w:rFonts w:ascii="Times New Roman" w:hAnsi="Times New Roman" w:cs="Times New Roman"/>
          <w:sz w:val="22"/>
          <w:szCs w:val="22"/>
        </w:rPr>
      </w:pPr>
      <w:r>
        <w:rPr>
          <w:rFonts w:ascii="Times New Roman" w:hAnsi="Times New Roman" w:cs="Times New Roman"/>
          <w:sz w:val="22"/>
          <w:szCs w:val="22"/>
        </w:rPr>
        <w:t>2- Seguridad</w:t>
      </w:r>
    </w:p>
    <w:p w14:paraId="12BE1F7D" w14:textId="216BDC2C" w:rsidR="0088343D" w:rsidRDefault="0088343D" w:rsidP="0088343D">
      <w:pPr>
        <w:rPr>
          <w:rFonts w:ascii="Times New Roman" w:hAnsi="Times New Roman" w:cs="Times New Roman"/>
          <w:sz w:val="22"/>
          <w:szCs w:val="22"/>
        </w:rPr>
      </w:pPr>
      <w:r>
        <w:rPr>
          <w:rFonts w:ascii="Times New Roman" w:hAnsi="Times New Roman" w:cs="Times New Roman"/>
          <w:sz w:val="22"/>
          <w:szCs w:val="22"/>
        </w:rPr>
        <w:t>3- Notificación de infracciones</w:t>
      </w:r>
    </w:p>
    <w:p w14:paraId="321CDB14" w14:textId="108B4535" w:rsidR="00EF1C7E" w:rsidRDefault="00EF1C7E" w:rsidP="0088343D">
      <w:pPr>
        <w:rPr>
          <w:rFonts w:ascii="Times New Roman" w:hAnsi="Times New Roman" w:cs="Times New Roman"/>
          <w:sz w:val="22"/>
          <w:szCs w:val="22"/>
        </w:rPr>
      </w:pPr>
      <w:r w:rsidRPr="00EF1C7E">
        <w:rPr>
          <w:rFonts w:ascii="Times New Roman" w:hAnsi="Times New Roman" w:cs="Times New Roman"/>
          <w:sz w:val="22"/>
          <w:szCs w:val="22"/>
        </w:rPr>
        <w:t xml:space="preserve">Además de conocer la ley HIPAA, los profesionales de la seguridad deben estar familiarizados con la </w:t>
      </w:r>
      <w:proofErr w:type="spellStart"/>
      <w:r w:rsidRPr="00EF1C7E">
        <w:rPr>
          <w:rFonts w:ascii="Times New Roman" w:hAnsi="Times New Roman" w:cs="Times New Roman"/>
          <w:sz w:val="22"/>
          <w:szCs w:val="22"/>
        </w:rPr>
        <w:t>Health</w:t>
      </w:r>
      <w:proofErr w:type="spellEnd"/>
      <w:r w:rsidRPr="00EF1C7E">
        <w:rPr>
          <w:rFonts w:ascii="Times New Roman" w:hAnsi="Times New Roman" w:cs="Times New Roman"/>
          <w:sz w:val="22"/>
          <w:szCs w:val="22"/>
        </w:rPr>
        <w:t xml:space="preserve"> </w:t>
      </w:r>
      <w:proofErr w:type="spellStart"/>
      <w:r w:rsidRPr="00EF1C7E">
        <w:rPr>
          <w:rFonts w:ascii="Times New Roman" w:hAnsi="Times New Roman" w:cs="Times New Roman"/>
          <w:sz w:val="22"/>
          <w:szCs w:val="22"/>
        </w:rPr>
        <w:t>Information</w:t>
      </w:r>
      <w:proofErr w:type="spellEnd"/>
      <w:r w:rsidRPr="00EF1C7E">
        <w:rPr>
          <w:rFonts w:ascii="Times New Roman" w:hAnsi="Times New Roman" w:cs="Times New Roman"/>
          <w:sz w:val="22"/>
          <w:szCs w:val="22"/>
        </w:rPr>
        <w:t xml:space="preserve"> Trust Alliance (HITRUST®), que es un marco de seguridad y un programa de garantía que ayuda a las instituciones a cumplir la ley HIPAA.</w:t>
      </w:r>
    </w:p>
    <w:p w14:paraId="3B572862" w14:textId="3969DD67" w:rsidR="00EF1C7E" w:rsidRDefault="00EF1C7E" w:rsidP="00EF1C7E">
      <w:pPr>
        <w:pStyle w:val="Subttulo"/>
        <w:rPr>
          <w:rFonts w:ascii="Times New Roman" w:hAnsi="Times New Roman" w:cs="Times New Roman"/>
          <w:b/>
          <w:bCs/>
          <w:color w:val="auto"/>
          <w:u w:val="single"/>
        </w:rPr>
      </w:pPr>
      <w:r w:rsidRPr="00EF1C7E">
        <w:rPr>
          <w:rFonts w:ascii="Times New Roman" w:hAnsi="Times New Roman" w:cs="Times New Roman"/>
          <w:b/>
          <w:bCs/>
          <w:color w:val="auto"/>
          <w:u w:val="single"/>
        </w:rPr>
        <w:t>Organización Internacional de Normalización (ISO)</w:t>
      </w:r>
    </w:p>
    <w:p w14:paraId="429DEC23" w14:textId="218898C4" w:rsidR="00EF1C7E" w:rsidRDefault="00EF1C7E" w:rsidP="00EF1C7E">
      <w:pPr>
        <w:rPr>
          <w:rFonts w:ascii="Times New Roman" w:hAnsi="Times New Roman" w:cs="Times New Roman"/>
          <w:sz w:val="22"/>
          <w:szCs w:val="22"/>
        </w:rPr>
      </w:pPr>
      <w:r>
        <w:rPr>
          <w:rFonts w:ascii="Times New Roman" w:hAnsi="Times New Roman" w:cs="Times New Roman"/>
          <w:sz w:val="22"/>
          <w:szCs w:val="22"/>
        </w:rPr>
        <w:t>Se creo para establecer normas internacionales relacionadas con la tecnología, la fabricación y la gestión transfronterizas, ayuda a las organizaciones a mejorar sus procesos y procedimientos de retención de personal, planificación, residuos y servicios</w:t>
      </w:r>
    </w:p>
    <w:p w14:paraId="4F36487E" w14:textId="1CB2F9A6" w:rsidR="00EF1C7E" w:rsidRDefault="00EF1C7E" w:rsidP="00EF1C7E">
      <w:pPr>
        <w:pStyle w:val="Subttulo"/>
        <w:rPr>
          <w:rFonts w:ascii="Times New Roman" w:hAnsi="Times New Roman" w:cs="Times New Roman"/>
          <w:color w:val="auto"/>
        </w:rPr>
      </w:pPr>
      <w:r w:rsidRPr="00EF1C7E">
        <w:rPr>
          <w:rFonts w:ascii="Times New Roman" w:hAnsi="Times New Roman" w:cs="Times New Roman"/>
          <w:b/>
          <w:bCs/>
          <w:color w:val="auto"/>
          <w:u w:val="single"/>
        </w:rPr>
        <w:lastRenderedPageBreak/>
        <w:t>Controles de Sistemas y Organizaciones (SOC tipo 1, SOC tipo 2)</w:t>
      </w:r>
    </w:p>
    <w:p w14:paraId="7C347B61" w14:textId="44DAA52C" w:rsidR="00EF1C7E" w:rsidRDefault="00EF1C7E" w:rsidP="00EF1C7E">
      <w:pPr>
        <w:rPr>
          <w:rFonts w:ascii="Times New Roman" w:hAnsi="Times New Roman" w:cs="Times New Roman"/>
          <w:sz w:val="22"/>
          <w:szCs w:val="22"/>
        </w:rPr>
      </w:pPr>
      <w:r w:rsidRPr="00EF1C7E">
        <w:rPr>
          <w:rFonts w:ascii="Times New Roman" w:hAnsi="Times New Roman" w:cs="Times New Roman"/>
          <w:sz w:val="22"/>
          <w:szCs w:val="22"/>
        </w:rPr>
        <w:t xml:space="preserve">El consejo de normas de auditoría del American </w:t>
      </w:r>
      <w:proofErr w:type="spellStart"/>
      <w:r w:rsidRPr="00EF1C7E">
        <w:rPr>
          <w:rFonts w:ascii="Times New Roman" w:hAnsi="Times New Roman" w:cs="Times New Roman"/>
          <w:sz w:val="22"/>
          <w:szCs w:val="22"/>
        </w:rPr>
        <w:t>Institute</w:t>
      </w:r>
      <w:proofErr w:type="spellEnd"/>
      <w:r w:rsidRPr="00EF1C7E">
        <w:rPr>
          <w:rFonts w:ascii="Times New Roman" w:hAnsi="Times New Roman" w:cs="Times New Roman"/>
          <w:sz w:val="22"/>
          <w:szCs w:val="22"/>
        </w:rPr>
        <w:t xml:space="preserve"> </w:t>
      </w:r>
      <w:proofErr w:type="spellStart"/>
      <w:r w:rsidRPr="00EF1C7E">
        <w:rPr>
          <w:rFonts w:ascii="Times New Roman" w:hAnsi="Times New Roman" w:cs="Times New Roman"/>
          <w:sz w:val="22"/>
          <w:szCs w:val="22"/>
        </w:rPr>
        <w:t>of</w:t>
      </w:r>
      <w:proofErr w:type="spellEnd"/>
      <w:r w:rsidRPr="00EF1C7E">
        <w:rPr>
          <w:rFonts w:ascii="Times New Roman" w:hAnsi="Times New Roman" w:cs="Times New Roman"/>
          <w:sz w:val="22"/>
          <w:szCs w:val="22"/>
        </w:rPr>
        <w:t xml:space="preserve"> </w:t>
      </w:r>
      <w:proofErr w:type="spellStart"/>
      <w:r w:rsidRPr="00EF1C7E">
        <w:rPr>
          <w:rFonts w:ascii="Times New Roman" w:hAnsi="Times New Roman" w:cs="Times New Roman"/>
          <w:sz w:val="22"/>
          <w:szCs w:val="22"/>
        </w:rPr>
        <w:t>Certified</w:t>
      </w:r>
      <w:proofErr w:type="spellEnd"/>
      <w:r w:rsidRPr="00EF1C7E">
        <w:rPr>
          <w:rFonts w:ascii="Times New Roman" w:hAnsi="Times New Roman" w:cs="Times New Roman"/>
          <w:sz w:val="22"/>
          <w:szCs w:val="22"/>
        </w:rPr>
        <w:t xml:space="preserve"> </w:t>
      </w:r>
      <w:proofErr w:type="spellStart"/>
      <w:r w:rsidRPr="00EF1C7E">
        <w:rPr>
          <w:rFonts w:ascii="Times New Roman" w:hAnsi="Times New Roman" w:cs="Times New Roman"/>
          <w:sz w:val="22"/>
          <w:szCs w:val="22"/>
        </w:rPr>
        <w:t>Public</w:t>
      </w:r>
      <w:proofErr w:type="spellEnd"/>
      <w:r w:rsidRPr="00EF1C7E">
        <w:rPr>
          <w:rFonts w:ascii="Times New Roman" w:hAnsi="Times New Roman" w:cs="Times New Roman"/>
          <w:sz w:val="22"/>
          <w:szCs w:val="22"/>
        </w:rPr>
        <w:t xml:space="preserve"> </w:t>
      </w:r>
      <w:proofErr w:type="spellStart"/>
      <w:r w:rsidRPr="00EF1C7E">
        <w:rPr>
          <w:rFonts w:ascii="Times New Roman" w:hAnsi="Times New Roman" w:cs="Times New Roman"/>
          <w:sz w:val="22"/>
          <w:szCs w:val="22"/>
        </w:rPr>
        <w:t>Accountants</w:t>
      </w:r>
      <w:proofErr w:type="spellEnd"/>
      <w:r w:rsidRPr="00EF1C7E">
        <w:rPr>
          <w:rFonts w:ascii="Times New Roman" w:hAnsi="Times New Roman" w:cs="Times New Roman"/>
          <w:sz w:val="22"/>
          <w:szCs w:val="22"/>
        </w:rPr>
        <w:t>® (AICPA) desarrolló esta norma. Los SOC1 y SOC2 son una serie de informes que se centran en las políticas de acceso de los usuarios de una organización a diferentes niveles organizativos como:</w:t>
      </w:r>
    </w:p>
    <w:p w14:paraId="6D284BAC" w14:textId="275EAE68" w:rsidR="00EF1C7E" w:rsidRDefault="00EF1C7E" w:rsidP="00EF1C7E">
      <w:pPr>
        <w:pStyle w:val="Prrafodelista"/>
        <w:numPr>
          <w:ilvl w:val="0"/>
          <w:numId w:val="1"/>
        </w:numPr>
        <w:rPr>
          <w:rFonts w:ascii="Times New Roman" w:hAnsi="Times New Roman" w:cs="Times New Roman"/>
          <w:sz w:val="22"/>
          <w:szCs w:val="22"/>
        </w:rPr>
      </w:pPr>
      <w:r>
        <w:rPr>
          <w:rFonts w:ascii="Times New Roman" w:hAnsi="Times New Roman" w:cs="Times New Roman"/>
          <w:sz w:val="22"/>
          <w:szCs w:val="22"/>
        </w:rPr>
        <w:t>Asociado</w:t>
      </w:r>
    </w:p>
    <w:p w14:paraId="4D63C615" w14:textId="57945D84" w:rsidR="00EF1C7E" w:rsidRDefault="00EF1C7E" w:rsidP="00EF1C7E">
      <w:pPr>
        <w:pStyle w:val="Prrafodelista"/>
        <w:numPr>
          <w:ilvl w:val="0"/>
          <w:numId w:val="1"/>
        </w:numPr>
        <w:rPr>
          <w:rFonts w:ascii="Times New Roman" w:hAnsi="Times New Roman" w:cs="Times New Roman"/>
          <w:sz w:val="22"/>
          <w:szCs w:val="22"/>
        </w:rPr>
      </w:pPr>
      <w:r>
        <w:rPr>
          <w:rFonts w:ascii="Times New Roman" w:hAnsi="Times New Roman" w:cs="Times New Roman"/>
          <w:sz w:val="22"/>
          <w:szCs w:val="22"/>
        </w:rPr>
        <w:t>Supervisor</w:t>
      </w:r>
    </w:p>
    <w:p w14:paraId="7F4DC5AE" w14:textId="2AE379EA" w:rsidR="00EF1C7E" w:rsidRDefault="00EF1C7E" w:rsidP="00EF1C7E">
      <w:pPr>
        <w:pStyle w:val="Prrafodelista"/>
        <w:numPr>
          <w:ilvl w:val="0"/>
          <w:numId w:val="1"/>
        </w:numPr>
        <w:rPr>
          <w:rFonts w:ascii="Times New Roman" w:hAnsi="Times New Roman" w:cs="Times New Roman"/>
          <w:sz w:val="22"/>
          <w:szCs w:val="22"/>
        </w:rPr>
      </w:pPr>
      <w:r>
        <w:rPr>
          <w:rFonts w:ascii="Times New Roman" w:hAnsi="Times New Roman" w:cs="Times New Roman"/>
          <w:sz w:val="22"/>
          <w:szCs w:val="22"/>
        </w:rPr>
        <w:t>Gerente</w:t>
      </w:r>
    </w:p>
    <w:p w14:paraId="775E08C3" w14:textId="473CFBF0" w:rsidR="00EF1C7E" w:rsidRDefault="00EF1C7E" w:rsidP="00EF1C7E">
      <w:pPr>
        <w:pStyle w:val="Prrafodelista"/>
        <w:numPr>
          <w:ilvl w:val="0"/>
          <w:numId w:val="1"/>
        </w:numPr>
        <w:rPr>
          <w:rFonts w:ascii="Times New Roman" w:hAnsi="Times New Roman" w:cs="Times New Roman"/>
          <w:sz w:val="22"/>
          <w:szCs w:val="22"/>
        </w:rPr>
      </w:pPr>
      <w:r>
        <w:rPr>
          <w:rFonts w:ascii="Times New Roman" w:hAnsi="Times New Roman" w:cs="Times New Roman"/>
          <w:sz w:val="22"/>
          <w:szCs w:val="22"/>
        </w:rPr>
        <w:t>Ejecutivo</w:t>
      </w:r>
    </w:p>
    <w:p w14:paraId="721CF3F0" w14:textId="1159369A" w:rsidR="00EF1C7E" w:rsidRDefault="00EF1C7E" w:rsidP="00EF1C7E">
      <w:pPr>
        <w:pStyle w:val="Prrafodelista"/>
        <w:numPr>
          <w:ilvl w:val="0"/>
          <w:numId w:val="1"/>
        </w:numPr>
        <w:rPr>
          <w:rFonts w:ascii="Times New Roman" w:hAnsi="Times New Roman" w:cs="Times New Roman"/>
          <w:sz w:val="22"/>
          <w:szCs w:val="22"/>
        </w:rPr>
      </w:pPr>
      <w:r>
        <w:rPr>
          <w:rFonts w:ascii="Times New Roman" w:hAnsi="Times New Roman" w:cs="Times New Roman"/>
          <w:sz w:val="22"/>
          <w:szCs w:val="22"/>
        </w:rPr>
        <w:t>Proveedor</w:t>
      </w:r>
    </w:p>
    <w:p w14:paraId="0E6CDC71" w14:textId="549E8594" w:rsidR="00EF1C7E" w:rsidRDefault="00EF1C7E" w:rsidP="00EF1C7E">
      <w:pPr>
        <w:pStyle w:val="Prrafodelista"/>
        <w:numPr>
          <w:ilvl w:val="0"/>
          <w:numId w:val="1"/>
        </w:numPr>
        <w:rPr>
          <w:rFonts w:ascii="Times New Roman" w:hAnsi="Times New Roman" w:cs="Times New Roman"/>
          <w:sz w:val="22"/>
          <w:szCs w:val="22"/>
        </w:rPr>
      </w:pPr>
      <w:r>
        <w:rPr>
          <w:rFonts w:ascii="Times New Roman" w:hAnsi="Times New Roman" w:cs="Times New Roman"/>
          <w:sz w:val="22"/>
          <w:szCs w:val="22"/>
        </w:rPr>
        <w:t>Otros</w:t>
      </w:r>
    </w:p>
    <w:p w14:paraId="617A36D8" w14:textId="5C2EC3E6" w:rsidR="00EF1C7E" w:rsidRDefault="00EF1C7E" w:rsidP="00EF1C7E">
      <w:pPr>
        <w:rPr>
          <w:rFonts w:ascii="Times New Roman" w:hAnsi="Times New Roman" w:cs="Times New Roman"/>
          <w:sz w:val="22"/>
          <w:szCs w:val="22"/>
        </w:rPr>
      </w:pPr>
      <w:r w:rsidRPr="00EF1C7E">
        <w:rPr>
          <w:rFonts w:ascii="Times New Roman" w:hAnsi="Times New Roman" w:cs="Times New Roman"/>
          <w:sz w:val="22"/>
          <w:szCs w:val="22"/>
        </w:rPr>
        <w:t>Se utilizan para evaluar el cumplimiento financiero y los niveles de riesgo de una organización. También abarcan la confidencialidad, privacidad, integridad, disponibilidad, seguridad y protección general de los datos. Los fallos de control en estas áreas pueden conducir al fraude.</w:t>
      </w:r>
    </w:p>
    <w:p w14:paraId="4FBCDB9C" w14:textId="462CD2E1" w:rsidR="00556DD0" w:rsidRDefault="00556DD0" w:rsidP="00556DD0">
      <w:pPr>
        <w:pStyle w:val="Subttulo"/>
        <w:rPr>
          <w:rFonts w:ascii="Times New Roman" w:hAnsi="Times New Roman" w:cs="Times New Roman"/>
          <w:b/>
          <w:bCs/>
          <w:color w:val="auto"/>
          <w:u w:val="single"/>
        </w:rPr>
      </w:pPr>
      <w:r>
        <w:rPr>
          <w:rFonts w:ascii="Times New Roman" w:hAnsi="Times New Roman" w:cs="Times New Roman"/>
          <w:b/>
          <w:bCs/>
          <w:color w:val="auto"/>
          <w:u w:val="single"/>
        </w:rPr>
        <w:t>Principios éticos en la ciberseguridad</w:t>
      </w:r>
    </w:p>
    <w:p w14:paraId="4DA0A937" w14:textId="3B6F1026" w:rsidR="00EF1C7E" w:rsidRDefault="00556DD0" w:rsidP="00556DD0">
      <w:pPr>
        <w:pStyle w:val="Prrafodelista"/>
        <w:numPr>
          <w:ilvl w:val="0"/>
          <w:numId w:val="1"/>
        </w:numPr>
        <w:rPr>
          <w:rFonts w:ascii="Times New Roman" w:hAnsi="Times New Roman" w:cs="Times New Roman"/>
          <w:sz w:val="22"/>
          <w:szCs w:val="22"/>
        </w:rPr>
      </w:pPr>
      <w:r w:rsidRPr="00556DD0">
        <w:rPr>
          <w:rFonts w:ascii="Times New Roman" w:hAnsi="Times New Roman" w:cs="Times New Roman"/>
          <w:i/>
          <w:iCs/>
          <w:sz w:val="22"/>
          <w:szCs w:val="22"/>
        </w:rPr>
        <w:t>Confidencialidad</w:t>
      </w:r>
      <w:r>
        <w:rPr>
          <w:rFonts w:ascii="Times New Roman" w:hAnsi="Times New Roman" w:cs="Times New Roman"/>
          <w:sz w:val="22"/>
          <w:szCs w:val="22"/>
        </w:rPr>
        <w:t xml:space="preserve">: para analizarla desde la parte ética, podemos ejemplar </w:t>
      </w:r>
      <w:proofErr w:type="gramStart"/>
      <w:r>
        <w:rPr>
          <w:rFonts w:ascii="Times New Roman" w:hAnsi="Times New Roman" w:cs="Times New Roman"/>
          <w:sz w:val="22"/>
          <w:szCs w:val="22"/>
        </w:rPr>
        <w:t>que</w:t>
      </w:r>
      <w:proofErr w:type="gramEnd"/>
      <w:r>
        <w:rPr>
          <w:rFonts w:ascii="Times New Roman" w:hAnsi="Times New Roman" w:cs="Times New Roman"/>
          <w:sz w:val="22"/>
          <w:szCs w:val="22"/>
        </w:rPr>
        <w:t xml:space="preserve"> si usted encuentra información privada como la PII o la SPII, su trabajo es mantener esa información confidencial y segura</w:t>
      </w:r>
    </w:p>
    <w:p w14:paraId="4C61E546" w14:textId="48164989" w:rsidR="00556DD0" w:rsidRPr="00556DD0" w:rsidRDefault="00556DD0" w:rsidP="00556DD0">
      <w:pPr>
        <w:pStyle w:val="Prrafodelista"/>
        <w:numPr>
          <w:ilvl w:val="0"/>
          <w:numId w:val="1"/>
        </w:numPr>
        <w:rPr>
          <w:rFonts w:ascii="Times New Roman" w:hAnsi="Times New Roman" w:cs="Times New Roman"/>
          <w:i/>
          <w:iCs/>
          <w:sz w:val="22"/>
          <w:szCs w:val="22"/>
        </w:rPr>
      </w:pPr>
      <w:r w:rsidRPr="00556DD0">
        <w:rPr>
          <w:rFonts w:ascii="Times New Roman" w:hAnsi="Times New Roman" w:cs="Times New Roman"/>
          <w:i/>
          <w:iCs/>
          <w:sz w:val="22"/>
          <w:szCs w:val="22"/>
        </w:rPr>
        <w:t>Protección de la privacidad</w:t>
      </w:r>
      <w:r>
        <w:rPr>
          <w:rFonts w:ascii="Times New Roman" w:hAnsi="Times New Roman" w:cs="Times New Roman"/>
          <w:sz w:val="22"/>
          <w:szCs w:val="22"/>
        </w:rPr>
        <w:t>: significa proteger la información personal del uso no autorizado</w:t>
      </w:r>
    </w:p>
    <w:p w14:paraId="3D1551AC" w14:textId="1BD50EB1" w:rsidR="00556DD0" w:rsidRPr="00556DD0" w:rsidRDefault="00556DD0" w:rsidP="00556DD0">
      <w:pPr>
        <w:pStyle w:val="Prrafodelista"/>
        <w:numPr>
          <w:ilvl w:val="0"/>
          <w:numId w:val="1"/>
        </w:numPr>
        <w:rPr>
          <w:rFonts w:ascii="Times New Roman" w:hAnsi="Times New Roman" w:cs="Times New Roman"/>
          <w:i/>
          <w:iCs/>
          <w:sz w:val="22"/>
          <w:szCs w:val="22"/>
        </w:rPr>
      </w:pPr>
      <w:r>
        <w:rPr>
          <w:rFonts w:ascii="Times New Roman" w:hAnsi="Times New Roman" w:cs="Times New Roman"/>
          <w:i/>
          <w:iCs/>
          <w:sz w:val="22"/>
          <w:szCs w:val="22"/>
        </w:rPr>
        <w:t>La ley</w:t>
      </w:r>
      <w:r>
        <w:rPr>
          <w:rFonts w:ascii="Times New Roman" w:hAnsi="Times New Roman" w:cs="Times New Roman"/>
          <w:sz w:val="22"/>
          <w:szCs w:val="22"/>
        </w:rPr>
        <w:t>: las leyes son reglas reconocidas por una comunidad y aplicadas por una entidad gubernamental</w:t>
      </w:r>
    </w:p>
    <w:sectPr w:rsidR="00556DD0" w:rsidRPr="00556D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22677"/>
    <w:multiLevelType w:val="hybridMultilevel"/>
    <w:tmpl w:val="0B8A2320"/>
    <w:lvl w:ilvl="0" w:tplc="4F3ACF3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3AD6F62"/>
    <w:multiLevelType w:val="hybridMultilevel"/>
    <w:tmpl w:val="F2F681F0"/>
    <w:lvl w:ilvl="0" w:tplc="9C50521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24047975">
    <w:abstractNumId w:val="1"/>
  </w:num>
  <w:num w:numId="2" w16cid:durableId="199144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BB"/>
    <w:rsid w:val="001013BA"/>
    <w:rsid w:val="00121278"/>
    <w:rsid w:val="003B3F66"/>
    <w:rsid w:val="003E0C77"/>
    <w:rsid w:val="00556DD0"/>
    <w:rsid w:val="00780DBA"/>
    <w:rsid w:val="0088343D"/>
    <w:rsid w:val="009A13EC"/>
    <w:rsid w:val="009D45B3"/>
    <w:rsid w:val="00A924C9"/>
    <w:rsid w:val="00AC14B9"/>
    <w:rsid w:val="00AE3626"/>
    <w:rsid w:val="00C270BB"/>
    <w:rsid w:val="00C40891"/>
    <w:rsid w:val="00EF1C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C199"/>
  <w15:chartTrackingRefBased/>
  <w15:docId w15:val="{7245F29B-ED59-41EE-817C-1B4B345B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7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27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70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70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70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70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70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70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70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70B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270B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70B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70B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70B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70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70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70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70BB"/>
    <w:rPr>
      <w:rFonts w:eastAsiaTheme="majorEastAsia" w:cstheme="majorBidi"/>
      <w:color w:val="272727" w:themeColor="text1" w:themeTint="D8"/>
    </w:rPr>
  </w:style>
  <w:style w:type="paragraph" w:styleId="Ttulo">
    <w:name w:val="Title"/>
    <w:basedOn w:val="Normal"/>
    <w:next w:val="Normal"/>
    <w:link w:val="TtuloCar"/>
    <w:uiPriority w:val="10"/>
    <w:qFormat/>
    <w:rsid w:val="00C27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70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70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70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70BB"/>
    <w:pPr>
      <w:spacing w:before="160"/>
      <w:jc w:val="center"/>
    </w:pPr>
    <w:rPr>
      <w:i/>
      <w:iCs/>
      <w:color w:val="404040" w:themeColor="text1" w:themeTint="BF"/>
    </w:rPr>
  </w:style>
  <w:style w:type="character" w:customStyle="1" w:styleId="CitaCar">
    <w:name w:val="Cita Car"/>
    <w:basedOn w:val="Fuentedeprrafopredeter"/>
    <w:link w:val="Cita"/>
    <w:uiPriority w:val="29"/>
    <w:rsid w:val="00C270BB"/>
    <w:rPr>
      <w:i/>
      <w:iCs/>
      <w:color w:val="404040" w:themeColor="text1" w:themeTint="BF"/>
    </w:rPr>
  </w:style>
  <w:style w:type="paragraph" w:styleId="Prrafodelista">
    <w:name w:val="List Paragraph"/>
    <w:basedOn w:val="Normal"/>
    <w:uiPriority w:val="34"/>
    <w:qFormat/>
    <w:rsid w:val="00C270BB"/>
    <w:pPr>
      <w:ind w:left="720"/>
      <w:contextualSpacing/>
    </w:pPr>
  </w:style>
  <w:style w:type="character" w:styleId="nfasisintenso">
    <w:name w:val="Intense Emphasis"/>
    <w:basedOn w:val="Fuentedeprrafopredeter"/>
    <w:uiPriority w:val="21"/>
    <w:qFormat/>
    <w:rsid w:val="00C270BB"/>
    <w:rPr>
      <w:i/>
      <w:iCs/>
      <w:color w:val="0F4761" w:themeColor="accent1" w:themeShade="BF"/>
    </w:rPr>
  </w:style>
  <w:style w:type="paragraph" w:styleId="Citadestacada">
    <w:name w:val="Intense Quote"/>
    <w:basedOn w:val="Normal"/>
    <w:next w:val="Normal"/>
    <w:link w:val="CitadestacadaCar"/>
    <w:uiPriority w:val="30"/>
    <w:qFormat/>
    <w:rsid w:val="00C27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70BB"/>
    <w:rPr>
      <w:i/>
      <w:iCs/>
      <w:color w:val="0F4761" w:themeColor="accent1" w:themeShade="BF"/>
    </w:rPr>
  </w:style>
  <w:style w:type="character" w:styleId="Referenciaintensa">
    <w:name w:val="Intense Reference"/>
    <w:basedOn w:val="Fuentedeprrafopredeter"/>
    <w:uiPriority w:val="32"/>
    <w:qFormat/>
    <w:rsid w:val="00C270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29594">
      <w:bodyDiv w:val="1"/>
      <w:marLeft w:val="0"/>
      <w:marRight w:val="0"/>
      <w:marTop w:val="0"/>
      <w:marBottom w:val="0"/>
      <w:divBdr>
        <w:top w:val="none" w:sz="0" w:space="0" w:color="auto"/>
        <w:left w:val="none" w:sz="0" w:space="0" w:color="auto"/>
        <w:bottom w:val="none" w:sz="0" w:space="0" w:color="auto"/>
        <w:right w:val="none" w:sz="0" w:space="0" w:color="auto"/>
      </w:divBdr>
    </w:div>
    <w:div w:id="354506567">
      <w:bodyDiv w:val="1"/>
      <w:marLeft w:val="0"/>
      <w:marRight w:val="0"/>
      <w:marTop w:val="0"/>
      <w:marBottom w:val="0"/>
      <w:divBdr>
        <w:top w:val="none" w:sz="0" w:space="0" w:color="auto"/>
        <w:left w:val="none" w:sz="0" w:space="0" w:color="auto"/>
        <w:bottom w:val="none" w:sz="0" w:space="0" w:color="auto"/>
        <w:right w:val="none" w:sz="0" w:space="0" w:color="auto"/>
      </w:divBdr>
    </w:div>
    <w:div w:id="855998212">
      <w:bodyDiv w:val="1"/>
      <w:marLeft w:val="0"/>
      <w:marRight w:val="0"/>
      <w:marTop w:val="0"/>
      <w:marBottom w:val="0"/>
      <w:divBdr>
        <w:top w:val="none" w:sz="0" w:space="0" w:color="auto"/>
        <w:left w:val="none" w:sz="0" w:space="0" w:color="auto"/>
        <w:bottom w:val="none" w:sz="0" w:space="0" w:color="auto"/>
        <w:right w:val="none" w:sz="0" w:space="0" w:color="auto"/>
      </w:divBdr>
    </w:div>
    <w:div w:id="117172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922</Words>
  <Characters>5073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Lupo</dc:creator>
  <cp:keywords/>
  <dc:description/>
  <cp:lastModifiedBy>Damian Lupo</cp:lastModifiedBy>
  <cp:revision>2</cp:revision>
  <dcterms:created xsi:type="dcterms:W3CDTF">2025-07-25T00:48:00Z</dcterms:created>
  <dcterms:modified xsi:type="dcterms:W3CDTF">2025-07-25T00:48:00Z</dcterms:modified>
</cp:coreProperties>
</file>