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-BoldMT" w:cs="Arial-BoldMT" w:eastAsia="Arial-BoldMT" w:hAnsi="Arial-BoldMT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-BoldMT" w:cs="Arial-BoldMT" w:eastAsia="Arial-BoldMT" w:hAnsi="Arial-BoldMT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36"/>
          <w:szCs w:val="36"/>
          <w:u w:val="single"/>
          <w:vertAlign w:val="baseline"/>
          <w:rtl w:val="0"/>
        </w:rPr>
        <w:t xml:space="preserve">TERAPEUTA CORPORAL BIOENERGETISTA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-BoldMT" w:cs="Arial-BoldMT" w:eastAsia="Arial-BoldMT" w:hAnsi="Arial-BoldMT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36"/>
          <w:szCs w:val="36"/>
          <w:u w:val="single"/>
          <w:vertAlign w:val="baseline"/>
          <w:rtl w:val="0"/>
        </w:rPr>
        <w:t xml:space="preserve">(3ER AÑO)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curso consistirá en clases quincenales, donde se trabajara: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Ejercicios bioenergéticos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Grupo terapéutico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Práctica clínica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Lectura de la Teoría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análisis del carácter. Formación y estructura del carácter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La terapia bioenergética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Uso del caballete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Modelo de trabajo para la práctica clínica.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Estructura del carácter Oral.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Estructura del carácter Masoquista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Estructura del carácter Esquizoide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Estructura del carácter Rígido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Estructura del carácter Psicopático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Primario Completo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Tener aprobado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Prácticas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Corporales I y II (con Orientación en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Bioenergética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Teórico - Práctico. Objetivo: verificación del alcance de asimilación de los contenidos. Cumplimentar con el 80% de asistencia.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Arial-Bold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AR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pSJRUr6iP1a+klW+pPVQyG+dA==">AMUW2mWfGehdomPrqOszR3WBIySNz/c0PHTrVHEVV5tS1VKh2lJcQQ6knGNKt3PUJsauNmrfj2mGU27ep6qoXGU0UUq0Lfni3ZaShRcKj5AUranMMsbnBIg=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2019-11-01T13:27:00Z</dcterms:created>
  <dc:creator>PC</dc:creator>
</cp:coreProperties>
</file>