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-BoldMT" w:cs="Arial-BoldMT" w:eastAsia="Arial-BoldMT" w:hAnsi="Arial-BoldMT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MASAJES CORPORALES 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rtl w:val="0"/>
        </w:rPr>
        <w:t xml:space="preserve">ARMONIZADORES</w:t>
      </w: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 Y ESTÉTICOS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PERFIL PROFESIONAL DEL EGRESADO: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 la finalización del curso está capacitado para realizar masajes relajantes, tonificantes para reducir gordura y celulitis; saber cuándo aplicar un masaje sedativo o activante; Realizar maniobras de ayuda para elongar grupos musculares y segmentos corporales y mejorar la capacidad respiratoria.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Sistema Nervioso.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Miología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 Nociones de estructura corporal. Masajes amasamiento y percusión: cabeza, cuello, miembros superiores. Músculos de: cabeza, cuello, miembros superiores. Técnicas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elongación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y fuerza de: cabeza, cuello, miembros superiores. Maniobras pasivas y activas.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Obesidad. Nociones de relajación. Ejercitación respiratorios – Sedantes de carga y descarga. Biomecánica. Maniobras de amasamiento y percusión: tórax y abdomen. Músculos de tórax y abdomen. Técnicas de elongación y fuerza de tórax y abdomen. Maniobras pasivas y activas.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Sistema Nervioso. Sistema Endocrino (ampliación). Masajes de amasamiento y percusión: miembros inferiores. Celulitis.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Miología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de miembros inferiores. Técnicas de elongación y ejercitación de fuerza, movimientos activos-pasivos.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Nociones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reflexología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y eutonia. Nociones de gimnasia consciente (ejercicios). Nociones de bioenergética (ejercicios). Nociones de yoga (ejercicios). Maniobras de amasamiento, percusión y tracción de espalda y cuello. Técnicas de elongación y ejercicios de fuerza, activos y pasivos.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Integración de los masajes de los distintos módulos. Integración de técnicas de elongación y ejercicios de fuerza, activos y pasivos.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Práctica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con modelos externos.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Primario Completo.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Tener aprobado Masajes Armonizadores y Estéticos I. 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Teórico - Práctico. Objetivo: verificación del alcance de asimilación de los contenidos. Cumplimentar con el 80% de asistencia.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Arial-Bold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BGjn4jDPge40GZHX3x9YIXY8A==">AMUW2mVge9CjQjyQKz9lUNQX7bpJglGxfIvooBzVRowFKeSyFV3okSBaR4UW7hWbKkeLKxR1FPhiufwVaPeQ14WNUZmqqbvyj19v8DEfikeD/gi5JY49bXE=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2019-07-01T18:23:00Z</dcterms:created>
  <dc:creator>PC</dc:creator>
</cp:coreProperties>
</file>