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jc w:val="center"/>
        <w:rPr>
          <w:shd w:fill="6fa8dc" w:val="clear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Attori e descrizioni brevi 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spacing w:before="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Attori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Attori principali: </w:t>
      </w:r>
      <w:r w:rsidDel="00000000" w:rsidR="00000000" w:rsidRPr="00000000">
        <w:rPr>
          <w:sz w:val="20"/>
          <w:szCs w:val="20"/>
          <w:rtl w:val="0"/>
        </w:rPr>
        <w:t xml:space="preserve">Organizzatori, chef, cuochi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Attori di supporto: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Attori fuori scena: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spacing w:before="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Descrizioni brevi degli UC</w:t>
      </w:r>
    </w:p>
    <w:tbl>
      <w:tblPr>
        <w:tblStyle w:val="Table1"/>
        <w:tblW w:w="15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2210"/>
        <w:tblGridChange w:id="0">
          <w:tblGrid>
            <w:gridCol w:w="2880"/>
            <w:gridCol w:w="122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spacing w:after="0" w:before="0" w:lineRule="auto"/>
              <w:jc w:val="left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spacing w:after="0" w:before="0" w:lineRule="auto"/>
              <w:jc w:val="left"/>
              <w:rPr>
                <w:b w:val="0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Descrizioni brevi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ORGANIZZATORE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–EVENTI </w:t>
            </w:r>
          </w:p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forniscono i dettagli degli eventi;</w:t>
            </w:r>
          </w:p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richiedono il personale per realizzare gli eventi;</w:t>
            </w:r>
          </w:p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supervisionano le varie attività, cioè hanno accesso a tutti i dettagli di eventi in corso o terminati;</w:t>
            </w:r>
          </w:p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prendono in carico un nuovo evento e ne creano una scheda, che comprende luogo, date, tipo di servizio per le varie giornate, numero di persone, ed eventuali note particolari;</w:t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seguono la gestione del servizio durante l’evento;</w:t>
            </w:r>
          </w:p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chiudono un evento una volta terminato, e possono aggiungere eventuali note e allegare documentazione rilevante;</w:t>
            </w:r>
          </w:p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–TURNI</w:t>
            </w:r>
          </w:p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hanno la possibilità, guidata, di inserire i turni di servizio di un determinato evento;</w:t>
            </w:r>
          </w:p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inseriscono i turni preparatori in sede a prescindere dalla presenza di eventi;</w:t>
            </w:r>
          </w:p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modificano i turni in base alla disponibilità del personale di servizio;</w:t>
            </w:r>
          </w:p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selezionano il personale di servizio per ogni turno di servizio associato all’evento;</w:t>
            </w:r>
          </w:p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–PERSONALE</w:t>
            </w:r>
          </w:p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assegnano ruoli e compiti specifici al personale;</w:t>
            </w:r>
          </w:p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inseriscono nel sistema i dati del personale;</w:t>
            </w:r>
          </w:p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affidano la gestione della cucina ad uno chef;</w:t>
            </w:r>
          </w:p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possono approvare i menù scelti dallo chef;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organizzatori possono proporre modifiche ai menù proposti dallo chef;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–MENU’</w:t>
            </w:r>
          </w:p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chef stabiliscono selezionano uno o più menù adatti per l’evento;</w:t>
            </w:r>
          </w:p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chef possono scegliere menù già esistenti;</w:t>
            </w:r>
          </w:p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chef possono comporre uno o più menù per l’evento;</w:t>
            </w:r>
          </w:p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gli chef possono: gestire un ricettario, creare le ricette;</w:t>
            </w:r>
          </w:p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lo chef è responsabile della preparazione delle ricette in sede;</w:t>
            </w:r>
          </w:p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lo chef può approvare rifiutare le modifiche al menù proposte dagli organizzatori;</w:t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–TURNI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Lo chef ha accesso al calendario dei turni e può dare e ritirare la propria disponibilità;</w:t>
            </w:r>
          </w:p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–MENU’</w:t>
            </w:r>
          </w:p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 cuochi, che preparano il cibo,</w:t>
            </w:r>
          </w:p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 cuochi possono solo gestire il ricettario e creare le ricette</w:t>
            </w:r>
          </w:p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–TURNI</w:t>
            </w:r>
          </w:p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 cuochi hanno accesso al calendario dei turni e possono dare (e in seguito ritirare) le proprie disponibilità.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heading=h.j4o0kcty12a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Bitter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240" w:lineRule="auto"/>
    </w:pPr>
    <w:rPr>
      <w:rFonts w:ascii="Bitter" w:cs="Bitter" w:eastAsia="Bitter" w:hAnsi="Bitter"/>
      <w:b w:val="1"/>
      <w:color w:val="00615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200" w:line="240" w:lineRule="auto"/>
      <w:jc w:val="left"/>
    </w:pPr>
    <w:rPr>
      <w:rFonts w:ascii="Bitter" w:cs="Bitter" w:eastAsia="Bitter" w:hAnsi="Bitter"/>
      <w:b w:val="1"/>
      <w:color w:val="354d5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200" w:line="240" w:lineRule="auto"/>
    </w:pPr>
    <w:rPr>
      <w:rFonts w:ascii="Bitter" w:cs="Bitter" w:eastAsia="Bitter" w:hAnsi="Bitter"/>
      <w:b w:val="1"/>
      <w:color w:val="0c363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240" w:lineRule="auto"/>
    </w:pPr>
    <w:rPr>
      <w:rFonts w:ascii="Bitter" w:cs="Bitter" w:eastAsia="Bitter" w:hAnsi="Bitter"/>
      <w:b w:val="1"/>
      <w:color w:val="00615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200" w:line="240" w:lineRule="auto"/>
      <w:jc w:val="left"/>
    </w:pPr>
    <w:rPr>
      <w:rFonts w:ascii="Bitter" w:cs="Bitter" w:eastAsia="Bitter" w:hAnsi="Bitter"/>
      <w:b w:val="1"/>
      <w:color w:val="354d5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200" w:line="240" w:lineRule="auto"/>
    </w:pPr>
    <w:rPr>
      <w:rFonts w:ascii="Bitter" w:cs="Bitter" w:eastAsia="Bitter" w:hAnsi="Bitter"/>
      <w:b w:val="1"/>
      <w:color w:val="0c363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Roboto-regular.ttf"/><Relationship Id="rId11" Type="http://schemas.openxmlformats.org/officeDocument/2006/relationships/font" Target="fonts/Bitter-boldItalic.ttf"/><Relationship Id="rId10" Type="http://schemas.openxmlformats.org/officeDocument/2006/relationships/font" Target="fonts/Bitter-italic.ttf"/><Relationship Id="rId9" Type="http://schemas.openxmlformats.org/officeDocument/2006/relationships/font" Target="fonts/Bitter-bold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Relationship Id="rId8" Type="http://schemas.openxmlformats.org/officeDocument/2006/relationships/font" Target="fonts/Bit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3/70yhH1O/Z4MHn2Y52ws2OmSA==">CgMxLjAyCGguZ2pkZ3hzMgloLjMwajB6bGwyCWguMWZvYjl0ZTIJaC4zem55c2g3MgloLjJldDkycDAyDmguajRvMGtjdHkxMmF2OAByITFWZmNzeDJ3V0Q3Z0x4U2dkZUVwczlpZnBfaE1mQi1oUQ==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