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FF12" w14:textId="1425E411" w:rsidR="00C8049E" w:rsidRPr="00A03033" w:rsidRDefault="00C8049E" w:rsidP="00A03033">
      <w:pPr>
        <w:jc w:val="center"/>
        <w:rPr>
          <w:rFonts w:ascii="Verdana" w:hAnsi="Verdana"/>
          <w:sz w:val="36"/>
          <w:szCs w:val="36"/>
        </w:rPr>
      </w:pPr>
      <w:r>
        <w:br/>
      </w:r>
      <w:r w:rsidR="2882C8D5" w:rsidRPr="513499A5">
        <w:rPr>
          <w:rFonts w:ascii="Verdana" w:hAnsi="Verdana"/>
          <w:sz w:val="36"/>
          <w:szCs w:val="36"/>
        </w:rPr>
        <w:t xml:space="preserve">TP02 - </w:t>
      </w:r>
      <w:r w:rsidR="00782A42" w:rsidRPr="513499A5">
        <w:rPr>
          <w:rFonts w:ascii="Verdana" w:hAnsi="Verdana"/>
          <w:sz w:val="36"/>
          <w:szCs w:val="36"/>
        </w:rPr>
        <w:t>The Big Mac Index</w:t>
      </w:r>
      <w:r>
        <w:br/>
      </w:r>
    </w:p>
    <w:p w14:paraId="333E424A" w14:textId="77777777" w:rsidR="00C8049E" w:rsidRPr="00872EAB" w:rsidRDefault="00C8049E" w:rsidP="00C8049E">
      <w:pPr>
        <w:jc w:val="center"/>
        <w:rPr>
          <w:rFonts w:ascii="Verdana" w:hAnsi="Verdana" w:cs="Arial"/>
        </w:rPr>
      </w:pPr>
    </w:p>
    <w:p w14:paraId="3F445064" w14:textId="66857926" w:rsidR="0091170F" w:rsidRDefault="0091170F" w:rsidP="0091170F">
      <w:pPr>
        <w:jc w:val="center"/>
        <w:rPr>
          <w:rFonts w:ascii="Verdana" w:hAnsi="Verdana" w:cs="Arial"/>
          <w:noProof/>
        </w:rPr>
      </w:pPr>
      <w:r w:rsidRPr="13C341A6">
        <w:rPr>
          <w:rFonts w:ascii="Verdana" w:hAnsi="Verdana" w:cs="Arial"/>
          <w:noProof/>
        </w:rPr>
        <w:t>Team 0</w:t>
      </w:r>
      <w:r w:rsidR="74BA4047" w:rsidRPr="13C341A6">
        <w:rPr>
          <w:rFonts w:ascii="Verdana" w:hAnsi="Verdana" w:cs="Arial"/>
          <w:noProof/>
        </w:rPr>
        <w:t>X</w:t>
      </w:r>
    </w:p>
    <w:p w14:paraId="3ACCE199" w14:textId="4DA621BC" w:rsidR="0091170F" w:rsidRDefault="004D5B6D" w:rsidP="0091170F">
      <w:pPr>
        <w:jc w:val="center"/>
        <w:rPr>
          <w:rFonts w:ascii="Verdana" w:hAnsi="Verdana" w:cs="Arial"/>
          <w:noProof/>
        </w:rPr>
      </w:pPr>
      <w:r>
        <w:rPr>
          <w:rFonts w:ascii="Verdana" w:hAnsi="Verdana" w:cs="Arial"/>
          <w:noProof/>
        </w:rPr>
        <w:t>DS510</w:t>
      </w:r>
      <w:r w:rsidR="0091170F" w:rsidRPr="6263FC87">
        <w:rPr>
          <w:rFonts w:ascii="Verdana" w:hAnsi="Verdana" w:cs="Arial"/>
          <w:noProof/>
        </w:rPr>
        <w:t xml:space="preserve"> </w:t>
      </w:r>
      <w:r w:rsidR="00782A42">
        <w:rPr>
          <w:rFonts w:ascii="Verdana" w:hAnsi="Verdana" w:cs="Arial"/>
          <w:noProof/>
        </w:rPr>
        <w:t>Artificial Intelligence for Data Science</w:t>
      </w:r>
    </w:p>
    <w:p w14:paraId="60F7792E" w14:textId="3D6118F5" w:rsidR="0091170F" w:rsidRDefault="0091170F" w:rsidP="0091170F">
      <w:pPr>
        <w:jc w:val="center"/>
        <w:rPr>
          <w:rFonts w:ascii="Verdana" w:hAnsi="Verdana" w:cs="Arial"/>
          <w:noProof/>
        </w:rPr>
      </w:pPr>
      <w:r w:rsidRPr="63C93228">
        <w:rPr>
          <w:rFonts w:ascii="Verdana" w:hAnsi="Verdana" w:cs="Arial"/>
          <w:noProof/>
        </w:rPr>
        <w:t xml:space="preserve">Master of Computer Science </w:t>
      </w:r>
      <w:r w:rsidR="41EAE5AD" w:rsidRPr="63C93228">
        <w:rPr>
          <w:rFonts w:ascii="Verdana" w:hAnsi="Verdana" w:cs="Arial"/>
          <w:noProof/>
        </w:rPr>
        <w:t xml:space="preserve">(MSCS) </w:t>
      </w:r>
      <w:r w:rsidR="5105C0B9" w:rsidRPr="63C93228">
        <w:rPr>
          <w:rFonts w:ascii="Verdana" w:hAnsi="Verdana" w:cs="Arial"/>
          <w:noProof/>
        </w:rPr>
        <w:t xml:space="preserve">Program, School of Technology and Computing, </w:t>
      </w:r>
      <w:r w:rsidRPr="63C93228">
        <w:rPr>
          <w:rFonts w:ascii="Verdana" w:hAnsi="Verdana" w:cs="Arial"/>
          <w:noProof/>
        </w:rPr>
        <w:t>City University of Seattle</w:t>
      </w:r>
    </w:p>
    <w:p w14:paraId="1E107800" w14:textId="0632831C" w:rsidR="63C93228" w:rsidRDefault="63C93228" w:rsidP="63C93228">
      <w:pPr>
        <w:jc w:val="center"/>
        <w:rPr>
          <w:rFonts w:ascii="Verdana" w:hAnsi="Verdana" w:cs="Arial"/>
          <w:noProof/>
        </w:rPr>
      </w:pPr>
    </w:p>
    <w:p w14:paraId="726014A4" w14:textId="53F307B3" w:rsidR="00C8049E" w:rsidRDefault="0091170F" w:rsidP="6263FC87">
      <w:pPr>
        <w:jc w:val="center"/>
        <w:rPr>
          <w:rFonts w:ascii="Verdana" w:hAnsi="Verdana" w:cs="Arial"/>
          <w:noProof/>
        </w:rPr>
      </w:pPr>
      <w:r w:rsidRPr="6263FC87">
        <w:rPr>
          <w:rFonts w:ascii="Verdana" w:hAnsi="Verdana" w:cs="Arial"/>
          <w:noProof/>
        </w:rPr>
        <w:t xml:space="preserve">Tyler Kepler: </w:t>
      </w:r>
      <w:hyperlink r:id="rId10">
        <w:r w:rsidRPr="6263FC87">
          <w:rPr>
            <w:rStyle w:val="Hyperlink"/>
            <w:rFonts w:ascii="Verdana" w:hAnsi="Verdana" w:cs="Arial"/>
            <w:noProof/>
          </w:rPr>
          <w:t>keplertyler@cityuniversity.edu</w:t>
        </w:r>
      </w:hyperlink>
    </w:p>
    <w:p w14:paraId="461D43F2" w14:textId="0ED3D80F" w:rsidR="00224651" w:rsidRDefault="00224651" w:rsidP="13C341A6">
      <w:pPr>
        <w:jc w:val="center"/>
        <w:rPr>
          <w:rFonts w:ascii="Verdana" w:hAnsi="Verdana" w:cs="Arial"/>
        </w:rPr>
      </w:pPr>
      <w:r w:rsidRPr="13C341A6">
        <w:rPr>
          <w:rFonts w:ascii="Verdana" w:hAnsi="Verdana" w:cs="Arial"/>
        </w:rPr>
        <w:t>Katelyn Ashworth</w:t>
      </w:r>
      <w:r w:rsidR="4EE8FAA9" w:rsidRPr="13C341A6">
        <w:rPr>
          <w:rFonts w:ascii="Verdana" w:hAnsi="Verdana" w:cs="Arial"/>
        </w:rPr>
        <w:t xml:space="preserve">: </w:t>
      </w:r>
      <w:hyperlink r:id="rId11">
        <w:r w:rsidR="083C7591" w:rsidRPr="13C341A6">
          <w:rPr>
            <w:rStyle w:val="Hyperlink"/>
            <w:rFonts w:ascii="Verdana" w:hAnsi="Verdana" w:cs="Arial"/>
          </w:rPr>
          <w:t>ashworthkatelyn@cityuniversity.edu</w:t>
        </w:r>
      </w:hyperlink>
    </w:p>
    <w:p w14:paraId="4D5A45E6" w14:textId="734B14D4" w:rsidR="00224651" w:rsidRDefault="00224651" w:rsidP="00C8049E">
      <w:pPr>
        <w:jc w:val="center"/>
        <w:rPr>
          <w:rFonts w:ascii="Verdana" w:hAnsi="Verdana" w:cs="Arial"/>
        </w:rPr>
      </w:pPr>
      <w:r w:rsidRPr="1916BE67">
        <w:rPr>
          <w:rFonts w:ascii="Verdana" w:hAnsi="Verdana" w:cs="Arial"/>
        </w:rPr>
        <w:t>Nikolaj Wochnik:</w:t>
      </w:r>
      <w:r w:rsidR="49BCBC05" w:rsidRPr="1916BE67">
        <w:rPr>
          <w:rFonts w:ascii="Verdana" w:hAnsi="Verdana" w:cs="Arial"/>
        </w:rPr>
        <w:t xml:space="preserve"> </w:t>
      </w:r>
      <w:hyperlink r:id="rId12">
        <w:r w:rsidR="49BCBC05" w:rsidRPr="1916BE67">
          <w:rPr>
            <w:rStyle w:val="Hyperlink"/>
            <w:rFonts w:ascii="Verdana" w:hAnsi="Verdana" w:cs="Arial"/>
          </w:rPr>
          <w:t>wochniknikolaj@cityuniversity.edu</w:t>
        </w:r>
      </w:hyperlink>
    </w:p>
    <w:p w14:paraId="0847CFD7" w14:textId="3A55C10A" w:rsidR="00224651" w:rsidRDefault="00224651" w:rsidP="00C8049E">
      <w:pPr>
        <w:jc w:val="center"/>
        <w:rPr>
          <w:rFonts w:ascii="Verdana" w:hAnsi="Verdana" w:cs="Arial"/>
        </w:rPr>
      </w:pPr>
      <w:r w:rsidRPr="0AEE18A6">
        <w:rPr>
          <w:rFonts w:ascii="Verdana" w:hAnsi="Verdana" w:cs="Arial"/>
        </w:rPr>
        <w:t>Jeff Nelson</w:t>
      </w:r>
      <w:r w:rsidR="21DAA4B3" w:rsidRPr="0AEE18A6">
        <w:rPr>
          <w:rFonts w:ascii="Verdana" w:hAnsi="Verdana" w:cs="Arial"/>
        </w:rPr>
        <w:t>:</w:t>
      </w:r>
      <w:hyperlink r:id="rId13">
        <w:r w:rsidR="66DB2350" w:rsidRPr="0AEE18A6">
          <w:rPr>
            <w:rStyle w:val="Hyperlink"/>
            <w:rFonts w:ascii="Verdana" w:hAnsi="Verdana" w:cs="Arial"/>
          </w:rPr>
          <w:t>nelsonjeff@cityuniversity.edu</w:t>
        </w:r>
      </w:hyperlink>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782A42" w:rsidRDefault="00C8049E" w:rsidP="00C8049E">
      <w:pPr>
        <w:jc w:val="both"/>
        <w:rPr>
          <w:rFonts w:ascii="Verdana" w:hAnsi="Verdana" w:cs="Arial"/>
          <w:sz w:val="18"/>
          <w:szCs w:val="18"/>
        </w:rPr>
      </w:pPr>
    </w:p>
    <w:p w14:paraId="2ACE91A9" w14:textId="25F68F53" w:rsidR="00C8049E" w:rsidRDefault="00782A42" w:rsidP="00C8049E">
      <w:pPr>
        <w:jc w:val="both"/>
        <w:rPr>
          <w:rFonts w:ascii="Verdana" w:hAnsi="Verdana"/>
          <w:sz w:val="18"/>
          <w:szCs w:val="18"/>
        </w:rPr>
      </w:pPr>
      <w:r w:rsidRPr="00782A42">
        <w:rPr>
          <w:rFonts w:ascii="Verdana" w:hAnsi="Verdana"/>
          <w:sz w:val="18"/>
          <w:szCs w:val="18"/>
        </w:rPr>
        <w:t>This project aims to explore and model global purchasing power parity (PPP) using the Big Mac Index, a lighthearted yet insightful economic indicator published by </w:t>
      </w:r>
      <w:r w:rsidRPr="00782A42">
        <w:rPr>
          <w:rFonts w:ascii="Verdana" w:hAnsi="Verdana"/>
          <w:i/>
          <w:iCs/>
          <w:sz w:val="18"/>
          <w:szCs w:val="18"/>
        </w:rPr>
        <w:t>The Economist</w:t>
      </w:r>
      <w:r w:rsidRPr="00782A42">
        <w:rPr>
          <w:rFonts w:ascii="Verdana" w:hAnsi="Verdana"/>
          <w:sz w:val="18"/>
          <w:szCs w:val="18"/>
        </w:rPr>
        <w:t>. The index compares the prices of McDonald's Big Macs in different countries to estimate the relative value of currencies and assess whether they are overvalued or undervalued. Leveraging the 2024 Big Mac Index dataset from Kaggle, our project investigates the relationship between burger prices, exchange rates, and key economic indicators across various countries and time periods. We will apply supervised learning algorithms</w:t>
      </w:r>
      <w:r w:rsidR="009F4AD7">
        <w:rPr>
          <w:rFonts w:ascii="Verdana" w:hAnsi="Verdana"/>
          <w:sz w:val="18"/>
          <w:szCs w:val="18"/>
        </w:rPr>
        <w:t xml:space="preserve"> </w:t>
      </w:r>
      <w:r w:rsidRPr="00782A42">
        <w:rPr>
          <w:rFonts w:ascii="Verdana" w:hAnsi="Verdana"/>
          <w:sz w:val="18"/>
          <w:szCs w:val="18"/>
        </w:rPr>
        <w:t>such as linear regression, decision trees, and ensemble methods</w:t>
      </w:r>
      <w:r w:rsidR="009F4AD7">
        <w:rPr>
          <w:rFonts w:ascii="Verdana" w:hAnsi="Verdana"/>
          <w:sz w:val="18"/>
          <w:szCs w:val="18"/>
        </w:rPr>
        <w:t xml:space="preserve"> </w:t>
      </w:r>
      <w:r w:rsidRPr="00782A42">
        <w:rPr>
          <w:rFonts w:ascii="Verdana" w:hAnsi="Verdana"/>
          <w:sz w:val="18"/>
          <w:szCs w:val="18"/>
        </w:rPr>
        <w:t>to predict currency valuation and identify underlying patterns influencing local pricing. The results will be evaluated based on model accuracy and economic interpretability. This project not only demonstrates the applicability of machine learning to real-world economic data but also highlights the strengths and limitations of algorithmic insights in global financial contexts.</w:t>
      </w:r>
    </w:p>
    <w:p w14:paraId="4BA7BEE9" w14:textId="77777777" w:rsidR="0091170F" w:rsidRPr="00872EAB" w:rsidRDefault="0091170F" w:rsidP="00C8049E">
      <w:pPr>
        <w:jc w:val="both"/>
        <w:rPr>
          <w:rFonts w:ascii="Verdana" w:hAnsi="Verdana" w:cs="Arial"/>
          <w:sz w:val="18"/>
          <w:szCs w:val="18"/>
        </w:rPr>
      </w:pPr>
    </w:p>
    <w:p w14:paraId="3852FBEF" w14:textId="593F898B" w:rsidR="00782A42" w:rsidRPr="00782A42" w:rsidRDefault="00C8049E" w:rsidP="003114DF">
      <w:pPr>
        <w:jc w:val="both"/>
        <w:rPr>
          <w:rFonts w:ascii="Verdana" w:hAnsi="Verdana"/>
          <w:sz w:val="18"/>
          <w:szCs w:val="18"/>
        </w:rPr>
        <w:sectPr w:rsidR="00782A42" w:rsidRPr="00782A42" w:rsidSect="00B45C66">
          <w:headerReference w:type="default" r:id="rId14"/>
          <w:footerReference w:type="default" r:id="rId15"/>
          <w:pgSz w:w="12240" w:h="15840" w:code="1"/>
          <w:pgMar w:top="1440" w:right="1440" w:bottom="1440" w:left="1440" w:header="576" w:footer="576" w:gutter="0"/>
          <w:cols w:space="720"/>
          <w:docGrid w:linePitch="360"/>
        </w:sectPr>
      </w:pPr>
      <w:r w:rsidRPr="63C93228">
        <w:rPr>
          <w:rFonts w:ascii="Verdana" w:hAnsi="Verdana" w:cs="Arial"/>
          <w:b/>
          <w:bCs/>
          <w:sz w:val="18"/>
          <w:szCs w:val="18"/>
        </w:rPr>
        <w:t>Keywords:</w:t>
      </w:r>
      <w:r w:rsidRPr="63C93228">
        <w:rPr>
          <w:rFonts w:ascii="Verdana" w:hAnsi="Verdana" w:cs="Arial"/>
          <w:sz w:val="18"/>
          <w:szCs w:val="18"/>
        </w:rPr>
        <w:t xml:space="preserve"> </w:t>
      </w:r>
      <w:r w:rsidR="00782A42" w:rsidRPr="63C93228">
        <w:rPr>
          <w:rFonts w:ascii="Verdana" w:hAnsi="Verdana"/>
          <w:sz w:val="18"/>
          <w:szCs w:val="18"/>
        </w:rPr>
        <w:t>AI, Big Mac, Algorithm, regression</w:t>
      </w:r>
      <w:r w:rsidR="1D5030C4" w:rsidRPr="63C93228">
        <w:rPr>
          <w:rFonts w:ascii="Verdana" w:hAnsi="Verdana"/>
          <w:sz w:val="18"/>
          <w:szCs w:val="18"/>
        </w:rPr>
        <w:t>, supervised learning, currency, machine learning, finance</w:t>
      </w:r>
      <w:r w:rsidR="056E428F" w:rsidRPr="63C93228">
        <w:rPr>
          <w:rFonts w:ascii="Verdana" w:hAnsi="Verdana"/>
          <w:sz w:val="18"/>
          <w:szCs w:val="18"/>
        </w:rPr>
        <w:t xml:space="preserve">, Purchasing Power Parity </w:t>
      </w:r>
    </w:p>
    <w:p w14:paraId="606F6E9F" w14:textId="77777777" w:rsidR="003F21D1" w:rsidRDefault="003F21D1" w:rsidP="003114DF">
      <w:pPr>
        <w:rPr>
          <w:rFonts w:ascii="Verdana" w:hAnsi="Verdana"/>
          <w:sz w:val="18"/>
          <w:szCs w:val="18"/>
        </w:rPr>
      </w:pPr>
    </w:p>
    <w:p w14:paraId="3AC6DF73" w14:textId="3BA82B3C" w:rsidR="4BAC8DD3" w:rsidRDefault="4BAC8DD3" w:rsidP="4BAC8DD3">
      <w:pPr>
        <w:jc w:val="center"/>
        <w:rPr>
          <w:rFonts w:ascii="Verdana" w:hAnsi="Verdana"/>
          <w:b/>
          <w:bCs/>
          <w:sz w:val="18"/>
          <w:szCs w:val="18"/>
        </w:rPr>
      </w:pPr>
    </w:p>
    <w:p w14:paraId="6DC89888" w14:textId="70627F25" w:rsidR="4BAC8DD3" w:rsidRDefault="4BAC8DD3" w:rsidP="4BAC8DD3">
      <w:pPr>
        <w:jc w:val="center"/>
        <w:rPr>
          <w:rFonts w:ascii="Verdana" w:hAnsi="Verdana"/>
          <w:b/>
          <w:bCs/>
          <w:sz w:val="18"/>
          <w:szCs w:val="18"/>
        </w:rPr>
      </w:pPr>
    </w:p>
    <w:p w14:paraId="354F1923" w14:textId="56CEC9D3" w:rsidR="4BAC8DD3" w:rsidRDefault="4BAC8DD3" w:rsidP="4BAC8DD3">
      <w:pPr>
        <w:jc w:val="center"/>
        <w:rPr>
          <w:rFonts w:ascii="Verdana" w:hAnsi="Verdana"/>
          <w:b/>
          <w:bCs/>
          <w:sz w:val="18"/>
          <w:szCs w:val="18"/>
        </w:rPr>
      </w:pPr>
    </w:p>
    <w:p w14:paraId="42A86AE0" w14:textId="2B8DBCF7" w:rsidR="4BAC8DD3" w:rsidRDefault="587ED770" w:rsidP="7C8641D2">
      <w:pPr>
        <w:pStyle w:val="ListParagraph"/>
        <w:numPr>
          <w:ilvl w:val="0"/>
          <w:numId w:val="2"/>
        </w:numPr>
        <w:jc w:val="center"/>
        <w:rPr>
          <w:rFonts w:ascii="Verdana" w:hAnsi="Verdana"/>
          <w:b/>
          <w:bCs/>
          <w:sz w:val="18"/>
          <w:szCs w:val="18"/>
        </w:rPr>
      </w:pPr>
      <w:r w:rsidRPr="44BD66AB">
        <w:rPr>
          <w:rFonts w:ascii="Verdana" w:hAnsi="Verdana"/>
          <w:b/>
          <w:bCs/>
          <w:sz w:val="18"/>
          <w:szCs w:val="18"/>
        </w:rPr>
        <w:t xml:space="preserve">Introduction </w:t>
      </w:r>
    </w:p>
    <w:p w14:paraId="28A5A3F7" w14:textId="653BF8ED" w:rsidR="5597A562" w:rsidRDefault="5597A562" w:rsidP="1A4A2EAC">
      <w:pPr>
        <w:spacing w:before="240" w:after="240"/>
        <w:ind w:firstLine="720"/>
        <w:jc w:val="both"/>
        <w:rPr>
          <w:rFonts w:ascii="Verdana" w:eastAsia="Verdana" w:hAnsi="Verdana" w:cs="Verdana"/>
          <w:sz w:val="18"/>
          <w:szCs w:val="18"/>
        </w:rPr>
      </w:pPr>
      <w:r w:rsidRPr="1A4A2EAC">
        <w:rPr>
          <w:rFonts w:ascii="Verdana" w:eastAsia="Verdana" w:hAnsi="Verdana" w:cs="Verdana"/>
          <w:sz w:val="18"/>
          <w:szCs w:val="18"/>
        </w:rPr>
        <w:t xml:space="preserve">Purchasing Power Parity (PPP) </w:t>
      </w:r>
      <w:r w:rsidR="322EA441" w:rsidRPr="1A4A2EAC">
        <w:rPr>
          <w:rFonts w:ascii="Verdana" w:eastAsia="Verdana" w:hAnsi="Verdana" w:cs="Verdana"/>
          <w:sz w:val="18"/>
          <w:szCs w:val="18"/>
        </w:rPr>
        <w:t xml:space="preserve">is a key principle in economics and </w:t>
      </w:r>
      <w:r w:rsidRPr="1A4A2EAC">
        <w:rPr>
          <w:rFonts w:ascii="Verdana" w:eastAsia="Verdana" w:hAnsi="Verdana" w:cs="Verdana"/>
          <w:sz w:val="18"/>
          <w:szCs w:val="18"/>
        </w:rPr>
        <w:t xml:space="preserve">provides a useful framework for comparing the relative value of currencies across nations by assessing the cost of a standardized good. The Economist’s “Big Mac Index” offers a fun yet recognized measure of PPP by examining the price of a McDonald’s Big Mac in different countries. In this </w:t>
      </w:r>
      <w:r w:rsidR="6156D43D" w:rsidRPr="1A4A2EAC">
        <w:rPr>
          <w:rFonts w:ascii="Verdana" w:eastAsia="Verdana" w:hAnsi="Verdana" w:cs="Verdana"/>
          <w:sz w:val="18"/>
          <w:szCs w:val="18"/>
        </w:rPr>
        <w:t>project, a</w:t>
      </w:r>
      <w:r w:rsidRPr="1A4A2EAC">
        <w:rPr>
          <w:rFonts w:ascii="Verdana" w:eastAsia="Verdana" w:hAnsi="Verdana" w:cs="Verdana"/>
          <w:sz w:val="18"/>
          <w:szCs w:val="18"/>
        </w:rPr>
        <w:t xml:space="preserve"> sample of nations </w:t>
      </w:r>
      <w:r w:rsidR="4D691C6A" w:rsidRPr="1A4A2EAC">
        <w:rPr>
          <w:rFonts w:ascii="Verdana" w:eastAsia="Verdana" w:hAnsi="Verdana" w:cs="Verdana"/>
          <w:sz w:val="18"/>
          <w:szCs w:val="18"/>
        </w:rPr>
        <w:t xml:space="preserve">were analyzed </w:t>
      </w:r>
      <w:r w:rsidRPr="1A4A2EAC">
        <w:rPr>
          <w:rFonts w:ascii="Verdana" w:eastAsia="Verdana" w:hAnsi="Verdana" w:cs="Verdana"/>
          <w:sz w:val="18"/>
          <w:szCs w:val="18"/>
        </w:rPr>
        <w:t>using the Big Mac Index dataset from Kaggle to explore currency valuation and price disparities.</w:t>
      </w:r>
    </w:p>
    <w:p w14:paraId="7956D9C5" w14:textId="0DB3BFA4" w:rsidR="44BD66AB" w:rsidRPr="0014173E" w:rsidRDefault="5597A562" w:rsidP="0014173E">
      <w:pPr>
        <w:spacing w:before="240" w:after="240"/>
        <w:jc w:val="both"/>
        <w:rPr>
          <w:rFonts w:ascii="Verdana" w:eastAsia="Verdana" w:hAnsi="Verdana" w:cs="Verdana"/>
          <w:sz w:val="18"/>
          <w:szCs w:val="18"/>
        </w:rPr>
      </w:pPr>
      <w:r w:rsidRPr="63C93228">
        <w:rPr>
          <w:rFonts w:ascii="Verdana" w:eastAsia="Verdana" w:hAnsi="Verdana" w:cs="Verdana"/>
          <w:sz w:val="18"/>
          <w:szCs w:val="18"/>
        </w:rPr>
        <w:t xml:space="preserve">To conduct this analysis, </w:t>
      </w:r>
      <w:r w:rsidR="7490DD5B" w:rsidRPr="63C93228">
        <w:rPr>
          <w:rFonts w:ascii="Verdana" w:eastAsia="Verdana" w:hAnsi="Verdana" w:cs="Verdana"/>
          <w:sz w:val="18"/>
          <w:szCs w:val="18"/>
        </w:rPr>
        <w:t xml:space="preserve">the </w:t>
      </w:r>
      <w:r w:rsidR="13D83880" w:rsidRPr="63C93228">
        <w:rPr>
          <w:rFonts w:ascii="Verdana" w:eastAsia="Verdana" w:hAnsi="Verdana" w:cs="Verdana"/>
          <w:sz w:val="18"/>
          <w:szCs w:val="18"/>
        </w:rPr>
        <w:t xml:space="preserve">supervised learning </w:t>
      </w:r>
      <w:r w:rsidRPr="63C93228">
        <w:rPr>
          <w:rFonts w:ascii="Verdana" w:eastAsia="Verdana" w:hAnsi="Verdana" w:cs="Verdana"/>
          <w:sz w:val="18"/>
          <w:szCs w:val="18"/>
        </w:rPr>
        <w:t>techniques—specifically Decision Trees and Linear Regression</w:t>
      </w:r>
      <w:r w:rsidR="07A070CA" w:rsidRPr="63C93228">
        <w:rPr>
          <w:rFonts w:ascii="Verdana" w:eastAsia="Verdana" w:hAnsi="Verdana" w:cs="Verdana"/>
          <w:sz w:val="18"/>
          <w:szCs w:val="18"/>
        </w:rPr>
        <w:t xml:space="preserve"> were used </w:t>
      </w:r>
      <w:r w:rsidRPr="63C93228">
        <w:rPr>
          <w:rFonts w:ascii="Verdana" w:eastAsia="Verdana" w:hAnsi="Verdana" w:cs="Verdana"/>
          <w:sz w:val="18"/>
          <w:szCs w:val="18"/>
        </w:rPr>
        <w:t xml:space="preserve">to model and interpret PPP patterns. The dataset was prepared using </w:t>
      </w:r>
      <w:r w:rsidRPr="63C93228">
        <w:rPr>
          <w:rFonts w:ascii="Verdana" w:eastAsia="Verdana" w:hAnsi="Verdana" w:cs="Verdana"/>
          <w:sz w:val="18"/>
          <w:szCs w:val="18"/>
        </w:rPr>
        <w:t>standard preprocessing methods, and the resulting models are evaluated in terms of accuracy, interpretability, and practical insights. Finally, the results are discussed with attention to both the advantages and limitations of each approach, along with suggestions for potential extensions in future work.</w:t>
      </w:r>
    </w:p>
    <w:p w14:paraId="0B98F549" w14:textId="483FE70D" w:rsidR="587ED770" w:rsidRDefault="587ED770" w:rsidP="7C8641D2">
      <w:pPr>
        <w:pStyle w:val="ListParagraph"/>
        <w:numPr>
          <w:ilvl w:val="0"/>
          <w:numId w:val="2"/>
        </w:numPr>
        <w:jc w:val="center"/>
        <w:rPr>
          <w:rFonts w:ascii="Verdana" w:hAnsi="Verdana"/>
          <w:b/>
          <w:bCs/>
          <w:sz w:val="18"/>
          <w:szCs w:val="18"/>
        </w:rPr>
      </w:pPr>
      <w:r w:rsidRPr="63C93228">
        <w:rPr>
          <w:rFonts w:ascii="Verdana" w:hAnsi="Verdana"/>
          <w:b/>
          <w:bCs/>
          <w:sz w:val="18"/>
          <w:szCs w:val="18"/>
        </w:rPr>
        <w:t xml:space="preserve">Literature Review </w:t>
      </w:r>
    </w:p>
    <w:p w14:paraId="17D2D41B" w14:textId="0B8EC7F8" w:rsidR="63C93228" w:rsidRDefault="63C93228" w:rsidP="63C93228">
      <w:pPr>
        <w:pStyle w:val="ListParagraph"/>
        <w:jc w:val="center"/>
        <w:rPr>
          <w:rFonts w:ascii="Verdana" w:hAnsi="Verdana"/>
          <w:b/>
          <w:bCs/>
          <w:sz w:val="18"/>
          <w:szCs w:val="18"/>
        </w:rPr>
      </w:pPr>
    </w:p>
    <w:p w14:paraId="499919A6" w14:textId="6DE06710" w:rsidR="44BD66AB" w:rsidRDefault="65EB79BA" w:rsidP="0014173E">
      <w:pPr>
        <w:ind w:firstLine="720"/>
        <w:jc w:val="both"/>
        <w:rPr>
          <w:rFonts w:ascii="Verdana" w:hAnsi="Verdana"/>
          <w:sz w:val="18"/>
          <w:szCs w:val="18"/>
        </w:rPr>
      </w:pPr>
      <w:r w:rsidRPr="513499A5">
        <w:rPr>
          <w:rFonts w:ascii="Verdana" w:hAnsi="Verdana"/>
          <w:sz w:val="18"/>
          <w:szCs w:val="18"/>
        </w:rPr>
        <w:t>Purchasing Power Parity (PPP) is a</w:t>
      </w:r>
      <w:r w:rsidR="703A64C2" w:rsidRPr="513499A5">
        <w:rPr>
          <w:rFonts w:ascii="Verdana" w:hAnsi="Verdana"/>
          <w:sz w:val="18"/>
          <w:szCs w:val="18"/>
        </w:rPr>
        <w:t xml:space="preserve"> recognized </w:t>
      </w:r>
      <w:r w:rsidRPr="513499A5">
        <w:rPr>
          <w:rFonts w:ascii="Verdana" w:hAnsi="Verdana"/>
          <w:sz w:val="18"/>
          <w:szCs w:val="18"/>
        </w:rPr>
        <w:t>tool in international economics to measure and evaluate the relative</w:t>
      </w:r>
      <w:r w:rsidR="37662A3C" w:rsidRPr="513499A5">
        <w:rPr>
          <w:rFonts w:ascii="Verdana" w:hAnsi="Verdana"/>
          <w:sz w:val="18"/>
          <w:szCs w:val="18"/>
        </w:rPr>
        <w:t xml:space="preserve"> value of currencies by comparing the cost of a good common to all countries being evaluated.  In the case of this project the cost of the Big Mac from McDonalds is</w:t>
      </w:r>
      <w:r w:rsidR="7C8CBE3C" w:rsidRPr="513499A5">
        <w:rPr>
          <w:rFonts w:ascii="Verdana" w:hAnsi="Verdana"/>
          <w:sz w:val="18"/>
          <w:szCs w:val="18"/>
        </w:rPr>
        <w:t xml:space="preserve"> being</w:t>
      </w:r>
      <w:r w:rsidR="37662A3C" w:rsidRPr="513499A5">
        <w:rPr>
          <w:rFonts w:ascii="Verdana" w:hAnsi="Verdana"/>
          <w:sz w:val="18"/>
          <w:szCs w:val="18"/>
        </w:rPr>
        <w:t xml:space="preserve"> used for </w:t>
      </w:r>
      <w:r w:rsidR="7B8EA8C2" w:rsidRPr="513499A5">
        <w:rPr>
          <w:rFonts w:ascii="Verdana" w:hAnsi="Verdana"/>
          <w:sz w:val="18"/>
          <w:szCs w:val="18"/>
        </w:rPr>
        <w:t>comparison</w:t>
      </w:r>
      <w:r w:rsidR="37662A3C" w:rsidRPr="513499A5">
        <w:rPr>
          <w:rFonts w:ascii="Verdana" w:hAnsi="Verdana"/>
          <w:sz w:val="18"/>
          <w:szCs w:val="18"/>
        </w:rPr>
        <w:t xml:space="preserve">. </w:t>
      </w:r>
      <w:r w:rsidR="661BF82B" w:rsidRPr="513499A5">
        <w:rPr>
          <w:rFonts w:ascii="Verdana" w:hAnsi="Verdana"/>
          <w:sz w:val="18"/>
          <w:szCs w:val="18"/>
        </w:rPr>
        <w:t xml:space="preserve"> The use of the Big Mac index has been criti</w:t>
      </w:r>
      <w:r w:rsidR="241F8BE1" w:rsidRPr="513499A5">
        <w:rPr>
          <w:rFonts w:ascii="Verdana" w:hAnsi="Verdana"/>
          <w:sz w:val="18"/>
          <w:szCs w:val="18"/>
        </w:rPr>
        <w:t>ci</w:t>
      </w:r>
      <w:r w:rsidR="661BF82B" w:rsidRPr="513499A5">
        <w:rPr>
          <w:rFonts w:ascii="Verdana" w:hAnsi="Verdana"/>
          <w:sz w:val="18"/>
          <w:szCs w:val="18"/>
        </w:rPr>
        <w:t xml:space="preserve">zed for being too simplistic in terms of more complex economic factors, but it remains a viable tool for analysis. The </w:t>
      </w:r>
      <w:r w:rsidR="043606B5" w:rsidRPr="513499A5">
        <w:rPr>
          <w:rFonts w:ascii="Verdana" w:hAnsi="Verdana"/>
          <w:sz w:val="18"/>
          <w:szCs w:val="18"/>
        </w:rPr>
        <w:t xml:space="preserve">Economist Magazine introduced the index in 1986 with the expectation that it could help </w:t>
      </w:r>
      <w:r w:rsidR="043606B5" w:rsidRPr="513499A5">
        <w:rPr>
          <w:rFonts w:ascii="Verdana" w:hAnsi="Verdana"/>
          <w:sz w:val="18"/>
          <w:szCs w:val="18"/>
        </w:rPr>
        <w:lastRenderedPageBreak/>
        <w:t xml:space="preserve">determine if currencies were undervalued or overvalued. The </w:t>
      </w:r>
      <w:r w:rsidR="64A593F9" w:rsidRPr="513499A5">
        <w:rPr>
          <w:rFonts w:ascii="Verdana" w:hAnsi="Verdana"/>
          <w:sz w:val="18"/>
          <w:szCs w:val="18"/>
        </w:rPr>
        <w:t>Index can be used to potential currency misalignments.  Modern mach</w:t>
      </w:r>
      <w:r w:rsidR="5A146692" w:rsidRPr="513499A5">
        <w:rPr>
          <w:rFonts w:ascii="Verdana" w:hAnsi="Verdana"/>
          <w:sz w:val="18"/>
          <w:szCs w:val="18"/>
        </w:rPr>
        <w:t xml:space="preserve">ine learning methods such as linear regression, decision trees, and ensemble methods have proven valuable tools in PPP analysis. </w:t>
      </w:r>
      <w:r w:rsidR="4E4D061C" w:rsidRPr="513499A5">
        <w:rPr>
          <w:rFonts w:ascii="Verdana" w:hAnsi="Verdana"/>
          <w:sz w:val="18"/>
          <w:szCs w:val="18"/>
        </w:rPr>
        <w:t xml:space="preserve">These techniques have been helpful in economic analysis but one must be careful that the interpretation of results is </w:t>
      </w:r>
      <w:r w:rsidR="418C596F" w:rsidRPr="513499A5">
        <w:rPr>
          <w:rFonts w:ascii="Verdana" w:hAnsi="Verdana"/>
          <w:sz w:val="18"/>
          <w:szCs w:val="18"/>
        </w:rPr>
        <w:t>accurate</w:t>
      </w:r>
      <w:r w:rsidR="0876B901" w:rsidRPr="513499A5">
        <w:rPr>
          <w:rFonts w:ascii="Verdana" w:hAnsi="Verdana"/>
          <w:sz w:val="18"/>
          <w:szCs w:val="18"/>
        </w:rPr>
        <w:t xml:space="preserve"> and the algorithmic results are as intended. This </w:t>
      </w:r>
      <w:r w:rsidR="3C5E2A49" w:rsidRPr="513499A5">
        <w:rPr>
          <w:rFonts w:ascii="Verdana" w:hAnsi="Verdana"/>
          <w:sz w:val="18"/>
          <w:szCs w:val="18"/>
        </w:rPr>
        <w:t>project</w:t>
      </w:r>
      <w:r w:rsidR="1CFA6A17" w:rsidRPr="513499A5">
        <w:rPr>
          <w:rFonts w:ascii="Verdana" w:hAnsi="Verdana"/>
          <w:sz w:val="18"/>
          <w:szCs w:val="18"/>
        </w:rPr>
        <w:t xml:space="preserve"> contributes to the literature by showing </w:t>
      </w:r>
      <w:r w:rsidR="0876B901" w:rsidRPr="513499A5">
        <w:rPr>
          <w:rFonts w:ascii="Verdana" w:hAnsi="Verdana"/>
          <w:sz w:val="18"/>
          <w:szCs w:val="18"/>
        </w:rPr>
        <w:t>a specific use case of PPP evaluation using the Big Mac Index with a dataset from a</w:t>
      </w:r>
      <w:r w:rsidR="5D75AD2D" w:rsidRPr="513499A5">
        <w:rPr>
          <w:rFonts w:ascii="Verdana" w:hAnsi="Verdana"/>
          <w:sz w:val="18"/>
          <w:szCs w:val="18"/>
        </w:rPr>
        <w:t xml:space="preserve"> recognized source (Kaggle) and using state of the art </w:t>
      </w:r>
      <w:r w:rsidR="026309FE" w:rsidRPr="513499A5">
        <w:rPr>
          <w:rFonts w:ascii="Verdana" w:hAnsi="Verdana"/>
          <w:sz w:val="18"/>
          <w:szCs w:val="18"/>
        </w:rPr>
        <w:t>supervised learning</w:t>
      </w:r>
      <w:r w:rsidR="5D75AD2D" w:rsidRPr="513499A5">
        <w:rPr>
          <w:rFonts w:ascii="Verdana" w:hAnsi="Verdana"/>
          <w:sz w:val="18"/>
          <w:szCs w:val="18"/>
        </w:rPr>
        <w:t xml:space="preserve"> tools. </w:t>
      </w:r>
    </w:p>
    <w:p w14:paraId="017B89D9" w14:textId="77777777" w:rsidR="0014173E" w:rsidRPr="0014173E" w:rsidRDefault="0014173E" w:rsidP="0014173E">
      <w:pPr>
        <w:jc w:val="both"/>
        <w:rPr>
          <w:rFonts w:ascii="Verdana" w:hAnsi="Verdana"/>
          <w:sz w:val="18"/>
          <w:szCs w:val="18"/>
        </w:rPr>
      </w:pPr>
    </w:p>
    <w:p w14:paraId="01288A97" w14:textId="70C02546" w:rsidR="466CEFAB" w:rsidRDefault="5D75AD2D" w:rsidP="0014173E">
      <w:pPr>
        <w:pStyle w:val="ListParagraph"/>
        <w:numPr>
          <w:ilvl w:val="0"/>
          <w:numId w:val="2"/>
        </w:numPr>
        <w:jc w:val="center"/>
        <w:rPr>
          <w:rFonts w:ascii="Verdana" w:hAnsi="Verdana"/>
          <w:b/>
          <w:bCs/>
          <w:sz w:val="18"/>
          <w:szCs w:val="18"/>
        </w:rPr>
      </w:pPr>
      <w:r w:rsidRPr="466CEFAB">
        <w:rPr>
          <w:rFonts w:ascii="Verdana" w:hAnsi="Verdana"/>
          <w:b/>
          <w:bCs/>
          <w:sz w:val="18"/>
          <w:szCs w:val="18"/>
        </w:rPr>
        <w:t>Dataset</w:t>
      </w:r>
    </w:p>
    <w:p w14:paraId="69DFEBD3" w14:textId="77777777" w:rsidR="0014173E" w:rsidRPr="0014173E" w:rsidRDefault="0014173E" w:rsidP="0014173E">
      <w:pPr>
        <w:rPr>
          <w:rFonts w:ascii="Verdana" w:hAnsi="Verdana"/>
          <w:b/>
          <w:bCs/>
          <w:sz w:val="18"/>
          <w:szCs w:val="18"/>
        </w:rPr>
      </w:pPr>
    </w:p>
    <w:p w14:paraId="262A6606" w14:textId="7B25EB96" w:rsidR="3EB579CF" w:rsidRDefault="3EB579CF" w:rsidP="1A4A2EAC">
      <w:pPr>
        <w:ind w:firstLine="720"/>
        <w:jc w:val="both"/>
        <w:rPr>
          <w:rFonts w:ascii="Verdana" w:eastAsia="Verdana" w:hAnsi="Verdana" w:cs="Verdana"/>
          <w:sz w:val="18"/>
          <w:szCs w:val="18"/>
        </w:rPr>
      </w:pPr>
      <w:r w:rsidRPr="1A4A2EAC">
        <w:rPr>
          <w:rFonts w:ascii="Verdana" w:hAnsi="Verdana"/>
          <w:sz w:val="18"/>
          <w:szCs w:val="18"/>
        </w:rPr>
        <w:t>The dataset chosen for the project is the “Big Mac Index 2000-2024" found on the Kaggle website</w:t>
      </w:r>
      <w:r w:rsidR="4620E2F1" w:rsidRPr="1A4A2EAC">
        <w:rPr>
          <w:rFonts w:ascii="Verdana" w:hAnsi="Verdana"/>
          <w:sz w:val="18"/>
          <w:szCs w:val="18"/>
        </w:rPr>
        <w:t xml:space="preserve"> </w:t>
      </w:r>
      <w:r w:rsidRPr="1A4A2EAC">
        <w:rPr>
          <w:rFonts w:ascii="Verdana" w:hAnsi="Verdana"/>
          <w:sz w:val="18"/>
          <w:szCs w:val="18"/>
        </w:rPr>
        <w:t xml:space="preserve">at: </w:t>
      </w:r>
      <w:hyperlink r:id="rId16">
        <w:r w:rsidR="2C8025C8" w:rsidRPr="1A4A2EAC">
          <w:rPr>
            <w:rStyle w:val="Hyperlink"/>
            <w:rFonts w:ascii="Verdana" w:eastAsia="Verdana" w:hAnsi="Verdana" w:cs="Verdana"/>
            <w:sz w:val="18"/>
            <w:szCs w:val="18"/>
          </w:rPr>
          <w:t>Big Mac Index 2000-24</w:t>
        </w:r>
        <w:r w:rsidR="346D30FD" w:rsidRPr="1A4A2EAC">
          <w:rPr>
            <w:rStyle w:val="Hyperlink"/>
            <w:rFonts w:ascii="Verdana" w:eastAsia="Verdana" w:hAnsi="Verdana" w:cs="Verdana"/>
            <w:sz w:val="18"/>
            <w:szCs w:val="18"/>
          </w:rPr>
          <w:t>.</w:t>
        </w:r>
      </w:hyperlink>
      <w:r w:rsidR="346D30FD" w:rsidRPr="1A4A2EAC">
        <w:rPr>
          <w:rFonts w:ascii="Verdana" w:eastAsia="Verdana" w:hAnsi="Verdana" w:cs="Verdana"/>
          <w:sz w:val="18"/>
          <w:szCs w:val="18"/>
        </w:rPr>
        <w:t xml:space="preserve"> The dataset was revised by </w:t>
      </w:r>
      <w:r w:rsidR="4D601D65" w:rsidRPr="1A4A2EAC">
        <w:rPr>
          <w:rFonts w:ascii="Verdana" w:eastAsia="Verdana" w:hAnsi="Verdana" w:cs="Verdana"/>
          <w:sz w:val="18"/>
          <w:szCs w:val="18"/>
        </w:rPr>
        <w:t>converting</w:t>
      </w:r>
      <w:r w:rsidR="346D30FD" w:rsidRPr="1A4A2EAC">
        <w:rPr>
          <w:rFonts w:ascii="Verdana" w:eastAsia="Verdana" w:hAnsi="Verdana" w:cs="Verdana"/>
          <w:sz w:val="18"/>
          <w:szCs w:val="18"/>
        </w:rPr>
        <w:t xml:space="preserve"> each sheet into a .csv file and </w:t>
      </w:r>
      <w:r w:rsidR="5407FA88" w:rsidRPr="1A4A2EAC">
        <w:rPr>
          <w:rFonts w:ascii="Verdana" w:eastAsia="Verdana" w:hAnsi="Verdana" w:cs="Verdana"/>
          <w:sz w:val="18"/>
          <w:szCs w:val="18"/>
        </w:rPr>
        <w:t>concatenating</w:t>
      </w:r>
      <w:r w:rsidR="346D30FD" w:rsidRPr="1A4A2EAC">
        <w:rPr>
          <w:rFonts w:ascii="Verdana" w:eastAsia="Verdana" w:hAnsi="Verdana" w:cs="Verdana"/>
          <w:sz w:val="18"/>
          <w:szCs w:val="18"/>
        </w:rPr>
        <w:t xml:space="preserve"> them into a si</w:t>
      </w:r>
      <w:r w:rsidR="137AE9BF" w:rsidRPr="1A4A2EAC">
        <w:rPr>
          <w:rFonts w:ascii="Verdana" w:eastAsia="Verdana" w:hAnsi="Verdana" w:cs="Verdana"/>
          <w:sz w:val="18"/>
          <w:szCs w:val="18"/>
        </w:rPr>
        <w:t xml:space="preserve">ngle file. </w:t>
      </w:r>
      <w:r w:rsidR="7F7D110F" w:rsidRPr="1A4A2EAC">
        <w:rPr>
          <w:rFonts w:ascii="Verdana" w:eastAsia="Verdana" w:hAnsi="Verdana" w:cs="Verdana"/>
          <w:sz w:val="18"/>
          <w:szCs w:val="18"/>
        </w:rPr>
        <w:t>Further refinements</w:t>
      </w:r>
      <w:r w:rsidR="00194E34">
        <w:rPr>
          <w:rFonts w:ascii="Verdana" w:eastAsia="Verdana" w:hAnsi="Verdana" w:cs="Verdana"/>
          <w:sz w:val="18"/>
          <w:szCs w:val="18"/>
        </w:rPr>
        <w:t xml:space="preserve"> included </w:t>
      </w:r>
      <w:r w:rsidR="00CB54B2">
        <w:rPr>
          <w:rFonts w:ascii="Verdana" w:eastAsia="Verdana" w:hAnsi="Verdana" w:cs="Verdana"/>
          <w:sz w:val="18"/>
          <w:szCs w:val="18"/>
        </w:rPr>
        <w:t xml:space="preserve">adjusting all column names to be lowercase with spaces shown as an underscore. Unnecessary columns were </w:t>
      </w:r>
      <w:proofErr w:type="gramStart"/>
      <w:r w:rsidR="00CB54B2">
        <w:rPr>
          <w:rFonts w:ascii="Verdana" w:eastAsia="Verdana" w:hAnsi="Verdana" w:cs="Verdana"/>
          <w:sz w:val="18"/>
          <w:szCs w:val="18"/>
        </w:rPr>
        <w:t xml:space="preserve">also </w:t>
      </w:r>
      <w:r w:rsidR="7F7D110F" w:rsidRPr="1A4A2EAC">
        <w:rPr>
          <w:rFonts w:ascii="Verdana" w:eastAsia="Verdana" w:hAnsi="Verdana" w:cs="Verdana"/>
          <w:sz w:val="18"/>
          <w:szCs w:val="18"/>
        </w:rPr>
        <w:t xml:space="preserve"> removed</w:t>
      </w:r>
      <w:proofErr w:type="gramEnd"/>
      <w:r w:rsidR="7F7D110F" w:rsidRPr="1A4A2EAC">
        <w:rPr>
          <w:rFonts w:ascii="Verdana" w:eastAsia="Verdana" w:hAnsi="Verdana" w:cs="Verdana"/>
          <w:sz w:val="18"/>
          <w:szCs w:val="18"/>
        </w:rPr>
        <w:t xml:space="preserve"> so </w:t>
      </w:r>
      <w:r w:rsidR="6B4FD6BE" w:rsidRPr="1A4A2EAC">
        <w:rPr>
          <w:rFonts w:ascii="Verdana" w:eastAsia="Verdana" w:hAnsi="Verdana" w:cs="Verdana"/>
          <w:sz w:val="18"/>
          <w:szCs w:val="18"/>
        </w:rPr>
        <w:t>the result</w:t>
      </w:r>
      <w:r w:rsidR="7F7D110F" w:rsidRPr="1A4A2EAC">
        <w:rPr>
          <w:rFonts w:ascii="Verdana" w:eastAsia="Verdana" w:hAnsi="Verdana" w:cs="Verdana"/>
          <w:sz w:val="18"/>
          <w:szCs w:val="18"/>
        </w:rPr>
        <w:t xml:space="preserve"> are columns showing </w:t>
      </w:r>
      <w:r w:rsidR="7F7D110F" w:rsidRPr="1A4A2EAC">
        <w:rPr>
          <w:rFonts w:ascii="Verdana" w:eastAsia="Verdana" w:hAnsi="Verdana" w:cs="Verdana"/>
          <w:i/>
          <w:iCs/>
          <w:sz w:val="18"/>
          <w:szCs w:val="18"/>
        </w:rPr>
        <w:t>country name, iso_a3 code</w:t>
      </w:r>
      <w:r w:rsidR="75D35AC3" w:rsidRPr="1A4A2EAC">
        <w:rPr>
          <w:rFonts w:ascii="Verdana" w:eastAsia="Verdana" w:hAnsi="Verdana" w:cs="Verdana"/>
          <w:i/>
          <w:iCs/>
          <w:sz w:val="18"/>
          <w:szCs w:val="18"/>
        </w:rPr>
        <w:t xml:space="preserve">, currency code, </w:t>
      </w:r>
      <w:proofErr w:type="spellStart"/>
      <w:r w:rsidR="75D35AC3" w:rsidRPr="1A4A2EAC">
        <w:rPr>
          <w:rFonts w:ascii="Verdana" w:eastAsia="Verdana" w:hAnsi="Verdana" w:cs="Verdana"/>
          <w:i/>
          <w:iCs/>
          <w:sz w:val="18"/>
          <w:szCs w:val="18"/>
        </w:rPr>
        <w:t>local_price</w:t>
      </w:r>
      <w:proofErr w:type="spellEnd"/>
      <w:r w:rsidR="75D35AC3" w:rsidRPr="1A4A2EAC">
        <w:rPr>
          <w:rFonts w:ascii="Verdana" w:eastAsia="Verdana" w:hAnsi="Verdana" w:cs="Verdana"/>
          <w:i/>
          <w:iCs/>
          <w:sz w:val="18"/>
          <w:szCs w:val="18"/>
        </w:rPr>
        <w:t xml:space="preserve">, </w:t>
      </w:r>
      <w:proofErr w:type="spellStart"/>
      <w:r w:rsidR="75D35AC3" w:rsidRPr="1A4A2EAC">
        <w:rPr>
          <w:rFonts w:ascii="Verdana" w:eastAsia="Verdana" w:hAnsi="Verdana" w:cs="Verdana"/>
          <w:i/>
          <w:iCs/>
          <w:sz w:val="18"/>
          <w:szCs w:val="18"/>
        </w:rPr>
        <w:t>dollar_ex</w:t>
      </w:r>
      <w:proofErr w:type="spellEnd"/>
      <w:r w:rsidR="75D35AC3" w:rsidRPr="1A4A2EAC">
        <w:rPr>
          <w:rFonts w:ascii="Verdana" w:eastAsia="Verdana" w:hAnsi="Verdana" w:cs="Verdana"/>
          <w:i/>
          <w:iCs/>
          <w:sz w:val="18"/>
          <w:szCs w:val="18"/>
        </w:rPr>
        <w:t xml:space="preserve">, </w:t>
      </w:r>
      <w:proofErr w:type="spellStart"/>
      <w:r w:rsidR="75D35AC3" w:rsidRPr="1A4A2EAC">
        <w:rPr>
          <w:rFonts w:ascii="Verdana" w:eastAsia="Verdana" w:hAnsi="Verdana" w:cs="Verdana"/>
          <w:i/>
          <w:iCs/>
          <w:sz w:val="18"/>
          <w:szCs w:val="18"/>
        </w:rPr>
        <w:t>dollar_price</w:t>
      </w:r>
      <w:proofErr w:type="spellEnd"/>
      <w:r w:rsidR="75D35AC3" w:rsidRPr="1A4A2EAC">
        <w:rPr>
          <w:rFonts w:ascii="Verdana" w:eastAsia="Verdana" w:hAnsi="Verdana" w:cs="Verdana"/>
          <w:i/>
          <w:iCs/>
          <w:sz w:val="18"/>
          <w:szCs w:val="18"/>
        </w:rPr>
        <w:t>, and year of the data</w:t>
      </w:r>
      <w:r w:rsidR="00444DFF">
        <w:rPr>
          <w:rFonts w:ascii="Verdana" w:eastAsia="Verdana" w:hAnsi="Verdana" w:cs="Verdana"/>
          <w:i/>
          <w:iCs/>
          <w:sz w:val="18"/>
          <w:szCs w:val="18"/>
        </w:rPr>
        <w:t xml:space="preserve"> </w:t>
      </w:r>
      <w:r w:rsidR="00444DFF">
        <w:rPr>
          <w:rFonts w:ascii="Verdana" w:eastAsia="Verdana" w:hAnsi="Verdana" w:cs="Verdana"/>
          <w:sz w:val="18"/>
          <w:szCs w:val="18"/>
        </w:rPr>
        <w:t xml:space="preserve">which were deemed as necessary columns for the purpose of analyzing the difference between </w:t>
      </w:r>
      <w:r w:rsidR="00C04624">
        <w:rPr>
          <w:rFonts w:ascii="Verdana" w:eastAsia="Verdana" w:hAnsi="Verdana" w:cs="Verdana"/>
          <w:sz w:val="18"/>
          <w:szCs w:val="18"/>
        </w:rPr>
        <w:t>Big Mac prices</w:t>
      </w:r>
      <w:r w:rsidR="75D35AC3" w:rsidRPr="1A4A2EAC">
        <w:rPr>
          <w:rFonts w:ascii="Verdana" w:eastAsia="Verdana" w:hAnsi="Verdana" w:cs="Verdana"/>
          <w:i/>
          <w:iCs/>
          <w:sz w:val="18"/>
          <w:szCs w:val="18"/>
        </w:rPr>
        <w:t xml:space="preserve">. </w:t>
      </w:r>
      <w:r w:rsidR="00507D5E">
        <w:rPr>
          <w:rFonts w:ascii="Verdana" w:eastAsia="Verdana" w:hAnsi="Verdana" w:cs="Verdana"/>
          <w:sz w:val="18"/>
          <w:szCs w:val="18"/>
        </w:rPr>
        <w:t xml:space="preserve">Duplicates were removed from specific </w:t>
      </w:r>
      <w:r w:rsidR="00480156">
        <w:rPr>
          <w:rFonts w:ascii="Verdana" w:eastAsia="Verdana" w:hAnsi="Verdana" w:cs="Verdana"/>
          <w:sz w:val="18"/>
          <w:szCs w:val="18"/>
        </w:rPr>
        <w:t xml:space="preserve">columns such as “Year”. This is necessary so there aren’t multiple counts of a specific country’s </w:t>
      </w:r>
      <w:r w:rsidR="00416497">
        <w:rPr>
          <w:rFonts w:ascii="Verdana" w:eastAsia="Verdana" w:hAnsi="Verdana" w:cs="Verdana"/>
          <w:sz w:val="18"/>
          <w:szCs w:val="18"/>
        </w:rPr>
        <w:t xml:space="preserve">Big Mac price. </w:t>
      </w:r>
      <w:r w:rsidR="11FEE884" w:rsidRPr="1A4A2EAC">
        <w:rPr>
          <w:rFonts w:ascii="Verdana" w:eastAsia="Verdana" w:hAnsi="Verdana" w:cs="Verdana"/>
          <w:sz w:val="18"/>
          <w:szCs w:val="18"/>
        </w:rPr>
        <w:t xml:space="preserve">Additional clean up in python coding in the notebook included </w:t>
      </w:r>
      <w:r w:rsidR="44C118AB" w:rsidRPr="1A4A2EAC">
        <w:rPr>
          <w:rFonts w:ascii="Verdana" w:eastAsia="Verdana" w:hAnsi="Verdana" w:cs="Verdana"/>
          <w:sz w:val="18"/>
          <w:szCs w:val="18"/>
        </w:rPr>
        <w:t>converting</w:t>
      </w:r>
      <w:r w:rsidR="180789FE" w:rsidRPr="1A4A2EAC">
        <w:rPr>
          <w:rFonts w:ascii="Verdana" w:eastAsia="Verdana" w:hAnsi="Verdana" w:cs="Verdana"/>
          <w:sz w:val="18"/>
          <w:szCs w:val="18"/>
        </w:rPr>
        <w:t xml:space="preserve"> currency data types to floats, dropping duplicate columns, dropping rows with missing data, and saving the refined data to a new file</w:t>
      </w:r>
      <w:r w:rsidR="2F5E2E6A" w:rsidRPr="1A4A2EAC">
        <w:rPr>
          <w:rFonts w:ascii="Verdana" w:eastAsia="Verdana" w:hAnsi="Verdana" w:cs="Verdana"/>
          <w:sz w:val="18"/>
          <w:szCs w:val="18"/>
        </w:rPr>
        <w:t xml:space="preserve"> to be used in the modeling stage.</w:t>
      </w:r>
      <w:r w:rsidR="00194E34">
        <w:rPr>
          <w:rFonts w:ascii="Verdana" w:eastAsia="Verdana" w:hAnsi="Verdana" w:cs="Verdana"/>
          <w:sz w:val="18"/>
          <w:szCs w:val="18"/>
        </w:rPr>
        <w:t xml:space="preserve"> Converting the data to a specific type, allows the model to consider all data the same.</w:t>
      </w:r>
      <w:r w:rsidR="00C04624">
        <w:rPr>
          <w:rFonts w:ascii="Verdana" w:eastAsia="Verdana" w:hAnsi="Verdana" w:cs="Verdana"/>
          <w:sz w:val="18"/>
          <w:szCs w:val="18"/>
        </w:rPr>
        <w:t xml:space="preserve"> Dropping duplicates and missing data ensures that there is only one row for each country </w:t>
      </w:r>
      <w:r w:rsidR="00E77575">
        <w:rPr>
          <w:rFonts w:ascii="Verdana" w:eastAsia="Verdana" w:hAnsi="Verdana" w:cs="Verdana"/>
          <w:sz w:val="18"/>
          <w:szCs w:val="18"/>
        </w:rPr>
        <w:t xml:space="preserve">which is necessary to ensure that results are per country </w:t>
      </w:r>
      <w:r w:rsidR="00BB09EE">
        <w:rPr>
          <w:rFonts w:ascii="Verdana" w:eastAsia="Verdana" w:hAnsi="Verdana" w:cs="Verdana"/>
          <w:sz w:val="18"/>
          <w:szCs w:val="18"/>
        </w:rPr>
        <w:t xml:space="preserve">as needed for this project. </w:t>
      </w:r>
      <w:r w:rsidR="00194E34">
        <w:rPr>
          <w:rFonts w:ascii="Verdana" w:eastAsia="Verdana" w:hAnsi="Verdana" w:cs="Verdana"/>
          <w:sz w:val="18"/>
          <w:szCs w:val="18"/>
        </w:rPr>
        <w:t xml:space="preserve"> </w:t>
      </w:r>
    </w:p>
    <w:p w14:paraId="23CDD7D0" w14:textId="6C691047" w:rsidR="466CEFAB" w:rsidRDefault="466CEFAB" w:rsidP="466CEFAB">
      <w:pPr>
        <w:jc w:val="both"/>
        <w:rPr>
          <w:rFonts w:ascii="Verdana" w:eastAsia="Verdana" w:hAnsi="Verdana" w:cs="Verdana"/>
          <w:sz w:val="18"/>
          <w:szCs w:val="18"/>
        </w:rPr>
      </w:pPr>
    </w:p>
    <w:p w14:paraId="42F26D7D" w14:textId="3B2A8647" w:rsidR="587ED770" w:rsidRDefault="492AB957" w:rsidP="52947D82">
      <w:pPr>
        <w:pStyle w:val="ListParagraph"/>
        <w:jc w:val="center"/>
        <w:rPr>
          <w:rFonts w:ascii="Verdana" w:hAnsi="Verdana"/>
          <w:b/>
          <w:bCs/>
          <w:sz w:val="18"/>
          <w:szCs w:val="18"/>
        </w:rPr>
      </w:pPr>
      <w:r w:rsidRPr="52947D82">
        <w:rPr>
          <w:rFonts w:ascii="Verdana" w:hAnsi="Verdana"/>
          <w:b/>
          <w:bCs/>
          <w:sz w:val="18"/>
          <w:szCs w:val="18"/>
        </w:rPr>
        <w:t>4</w:t>
      </w:r>
      <w:r w:rsidR="0014173E">
        <w:rPr>
          <w:rFonts w:ascii="Verdana" w:hAnsi="Verdana"/>
          <w:b/>
          <w:bCs/>
          <w:sz w:val="18"/>
          <w:szCs w:val="18"/>
        </w:rPr>
        <w:t>.</w:t>
      </w:r>
      <w:r w:rsidR="007600F1">
        <w:rPr>
          <w:rFonts w:ascii="Verdana" w:hAnsi="Verdana"/>
          <w:b/>
          <w:bCs/>
          <w:sz w:val="18"/>
          <w:szCs w:val="18"/>
        </w:rPr>
        <w:t>1</w:t>
      </w:r>
      <w:r w:rsidRPr="52947D82">
        <w:rPr>
          <w:rFonts w:ascii="Verdana" w:hAnsi="Verdana"/>
          <w:b/>
          <w:bCs/>
          <w:sz w:val="18"/>
          <w:szCs w:val="18"/>
        </w:rPr>
        <w:t xml:space="preserve"> </w:t>
      </w:r>
      <w:r w:rsidR="587ED770" w:rsidRPr="52947D82">
        <w:rPr>
          <w:rFonts w:ascii="Verdana" w:hAnsi="Verdana"/>
          <w:b/>
          <w:bCs/>
          <w:sz w:val="18"/>
          <w:szCs w:val="18"/>
        </w:rPr>
        <w:t xml:space="preserve">Modeling </w:t>
      </w:r>
      <w:r w:rsidR="7DB8D16D" w:rsidRPr="52947D82">
        <w:rPr>
          <w:rFonts w:ascii="Verdana" w:hAnsi="Verdana"/>
          <w:b/>
          <w:bCs/>
          <w:sz w:val="18"/>
          <w:szCs w:val="18"/>
        </w:rPr>
        <w:t>- Decision Tree</w:t>
      </w:r>
    </w:p>
    <w:p w14:paraId="2DF679E6" w14:textId="26451E86" w:rsidR="0D718D9B" w:rsidRDefault="0D718D9B" w:rsidP="0D718D9B">
      <w:pPr>
        <w:jc w:val="center"/>
        <w:rPr>
          <w:rFonts w:ascii="Verdana" w:hAnsi="Verdana"/>
          <w:b/>
          <w:bCs/>
        </w:rPr>
      </w:pPr>
    </w:p>
    <w:p w14:paraId="562CB85E" w14:textId="5D010E82" w:rsidR="5DBFEED6" w:rsidRDefault="5DBFEED6" w:rsidP="0D718D9B">
      <w:pPr>
        <w:jc w:val="both"/>
        <w:rPr>
          <w:rFonts w:ascii="Verdana" w:hAnsi="Verdana"/>
          <w:sz w:val="18"/>
          <w:szCs w:val="18"/>
        </w:rPr>
      </w:pPr>
      <w:r w:rsidRPr="0D718D9B">
        <w:rPr>
          <w:rFonts w:ascii="Verdana" w:hAnsi="Verdana"/>
          <w:sz w:val="18"/>
          <w:szCs w:val="18"/>
        </w:rPr>
        <w:t>The supervised learning models of Decision Trees and Linear Regression were chosen for the project as they both are strong tools for such an anal</w:t>
      </w:r>
      <w:r w:rsidR="34CFEB7A" w:rsidRPr="0D718D9B">
        <w:rPr>
          <w:rFonts w:ascii="Verdana" w:hAnsi="Verdana"/>
          <w:sz w:val="18"/>
          <w:szCs w:val="18"/>
        </w:rPr>
        <w:t xml:space="preserve">ysis as PPP and both have unique characteristics that provide clear and useful results.  The combination of the two models shows a balanced approach. </w:t>
      </w:r>
    </w:p>
    <w:p w14:paraId="4BFD0595" w14:textId="06A3FEFC" w:rsidR="7F267522" w:rsidRDefault="7F267522" w:rsidP="0D718D9B">
      <w:pPr>
        <w:ind w:firstLine="720"/>
        <w:jc w:val="both"/>
        <w:rPr>
          <w:rFonts w:ascii="Verdana" w:hAnsi="Verdana"/>
          <w:sz w:val="18"/>
          <w:szCs w:val="18"/>
        </w:rPr>
      </w:pPr>
      <w:r w:rsidRPr="0D718D9B">
        <w:rPr>
          <w:rFonts w:ascii="Verdana" w:hAnsi="Verdana"/>
          <w:sz w:val="18"/>
          <w:szCs w:val="18"/>
        </w:rPr>
        <w:t>The Decision Tree model is well suited due to its ability to capture non-linear relationships in the data such as the economic</w:t>
      </w:r>
      <w:r w:rsidR="62F99571" w:rsidRPr="0D718D9B">
        <w:rPr>
          <w:rFonts w:ascii="Verdana" w:hAnsi="Verdana"/>
          <w:sz w:val="18"/>
          <w:szCs w:val="18"/>
        </w:rPr>
        <w:t xml:space="preserve"> </w:t>
      </w:r>
      <w:r w:rsidR="62F99571" w:rsidRPr="0D718D9B">
        <w:rPr>
          <w:rFonts w:ascii="Verdana" w:hAnsi="Verdana"/>
          <w:sz w:val="18"/>
          <w:szCs w:val="18"/>
        </w:rPr>
        <w:t xml:space="preserve">indicators </w:t>
      </w:r>
      <w:r w:rsidR="04EE62EA" w:rsidRPr="0D718D9B">
        <w:rPr>
          <w:rFonts w:ascii="Verdana" w:hAnsi="Verdana"/>
          <w:sz w:val="18"/>
          <w:szCs w:val="18"/>
        </w:rPr>
        <w:t>found in</w:t>
      </w:r>
      <w:r w:rsidR="62F99571" w:rsidRPr="0D718D9B">
        <w:rPr>
          <w:rFonts w:ascii="Verdana" w:hAnsi="Verdana"/>
          <w:sz w:val="18"/>
          <w:szCs w:val="18"/>
        </w:rPr>
        <w:t xml:space="preserve"> the data set. The model is also </w:t>
      </w:r>
      <w:r w:rsidR="3DA76401" w:rsidRPr="0D718D9B">
        <w:rPr>
          <w:rFonts w:ascii="Verdana" w:hAnsi="Verdana"/>
          <w:sz w:val="18"/>
          <w:szCs w:val="18"/>
        </w:rPr>
        <w:t>flexible,</w:t>
      </w:r>
      <w:r w:rsidR="62F99571" w:rsidRPr="0D718D9B">
        <w:rPr>
          <w:rFonts w:ascii="Verdana" w:hAnsi="Verdana"/>
          <w:sz w:val="18"/>
          <w:szCs w:val="18"/>
        </w:rPr>
        <w:t xml:space="preserve"> and the results are straightforward and </w:t>
      </w:r>
      <w:r w:rsidR="64D5CD06" w:rsidRPr="0D718D9B">
        <w:rPr>
          <w:rFonts w:ascii="Verdana" w:hAnsi="Verdana"/>
          <w:sz w:val="18"/>
          <w:szCs w:val="18"/>
        </w:rPr>
        <w:t xml:space="preserve">interpretable, and the model provided helpful in determining undervaluing or overvaluing of the currencies analyzed. </w:t>
      </w:r>
    </w:p>
    <w:p w14:paraId="11032249" w14:textId="78659598" w:rsidR="0D718D9B" w:rsidRDefault="0D718D9B" w:rsidP="0D718D9B">
      <w:pPr>
        <w:ind w:firstLine="720"/>
        <w:jc w:val="both"/>
        <w:rPr>
          <w:rFonts w:ascii="Verdana" w:hAnsi="Verdana"/>
          <w:sz w:val="18"/>
          <w:szCs w:val="18"/>
        </w:rPr>
      </w:pPr>
    </w:p>
    <w:p w14:paraId="51D4B376" w14:textId="54B14557" w:rsidR="007600F1" w:rsidRDefault="64D5CD06" w:rsidP="007600F1">
      <w:pPr>
        <w:ind w:firstLine="720"/>
        <w:jc w:val="both"/>
        <w:rPr>
          <w:rFonts w:ascii="Verdana" w:hAnsi="Verdana"/>
          <w:sz w:val="18"/>
          <w:szCs w:val="18"/>
        </w:rPr>
      </w:pPr>
      <w:r w:rsidRPr="52947D82">
        <w:rPr>
          <w:rFonts w:ascii="Verdana" w:hAnsi="Verdana"/>
          <w:sz w:val="18"/>
          <w:szCs w:val="18"/>
        </w:rPr>
        <w:t xml:space="preserve">Linear Regression is also a good tool for the PPP analysis of the Big Mac Index </w:t>
      </w:r>
      <w:r w:rsidR="1C94FC4E" w:rsidRPr="52947D82">
        <w:rPr>
          <w:rFonts w:ascii="Verdana" w:hAnsi="Verdana"/>
          <w:sz w:val="18"/>
          <w:szCs w:val="18"/>
        </w:rPr>
        <w:t xml:space="preserve">as it provides a good baseline by quantifying relationships between prices, exchange rates, and time. </w:t>
      </w:r>
      <w:r w:rsidR="22C2ECB6" w:rsidRPr="52947D82">
        <w:rPr>
          <w:rFonts w:ascii="Verdana" w:hAnsi="Verdana"/>
          <w:sz w:val="18"/>
          <w:szCs w:val="18"/>
        </w:rPr>
        <w:t>This is helpful in overall economic analysis.</w:t>
      </w:r>
    </w:p>
    <w:p w14:paraId="28C163C6" w14:textId="77777777" w:rsidR="007600F1" w:rsidRDefault="007600F1" w:rsidP="007600F1">
      <w:pPr>
        <w:jc w:val="both"/>
        <w:rPr>
          <w:rFonts w:ascii="Verdana" w:hAnsi="Verdana"/>
          <w:sz w:val="18"/>
          <w:szCs w:val="18"/>
        </w:rPr>
      </w:pPr>
    </w:p>
    <w:p w14:paraId="32AF1078" w14:textId="5E027DF1" w:rsidR="007600F1" w:rsidRDefault="007600F1" w:rsidP="007600F1">
      <w:pPr>
        <w:jc w:val="center"/>
        <w:rPr>
          <w:rFonts w:ascii="Verdana" w:hAnsi="Verdana"/>
          <w:b/>
          <w:bCs/>
          <w:sz w:val="18"/>
          <w:szCs w:val="18"/>
        </w:rPr>
      </w:pPr>
      <w:r>
        <w:rPr>
          <w:rFonts w:ascii="Verdana" w:hAnsi="Verdana"/>
          <w:b/>
          <w:bCs/>
          <w:sz w:val="18"/>
          <w:szCs w:val="18"/>
        </w:rPr>
        <w:t>4</w:t>
      </w:r>
      <w:r>
        <w:rPr>
          <w:rFonts w:ascii="Verdana" w:hAnsi="Verdana"/>
          <w:b/>
          <w:bCs/>
          <w:sz w:val="18"/>
          <w:szCs w:val="18"/>
        </w:rPr>
        <w:t>.</w:t>
      </w:r>
      <w:r>
        <w:rPr>
          <w:rFonts w:ascii="Verdana" w:hAnsi="Verdana"/>
          <w:b/>
          <w:bCs/>
          <w:sz w:val="18"/>
          <w:szCs w:val="18"/>
        </w:rPr>
        <w:t>2</w:t>
      </w:r>
      <w:r w:rsidRPr="67BB6EEA">
        <w:rPr>
          <w:rFonts w:ascii="Verdana" w:hAnsi="Verdana"/>
          <w:b/>
          <w:bCs/>
          <w:sz w:val="18"/>
          <w:szCs w:val="18"/>
        </w:rPr>
        <w:t xml:space="preserve"> Analysis -</w:t>
      </w:r>
      <w:r>
        <w:rPr>
          <w:rFonts w:ascii="Verdana" w:hAnsi="Verdana"/>
          <w:b/>
          <w:bCs/>
          <w:sz w:val="18"/>
          <w:szCs w:val="18"/>
        </w:rPr>
        <w:t xml:space="preserve"> </w:t>
      </w:r>
      <w:r w:rsidRPr="67BB6EEA">
        <w:rPr>
          <w:rFonts w:ascii="Verdana" w:hAnsi="Verdana"/>
          <w:b/>
          <w:bCs/>
          <w:sz w:val="18"/>
          <w:szCs w:val="18"/>
        </w:rPr>
        <w:t>Decision Tree</w:t>
      </w:r>
    </w:p>
    <w:p w14:paraId="0117A596" w14:textId="77777777" w:rsidR="007600F1" w:rsidRDefault="007600F1" w:rsidP="007600F1">
      <w:pPr>
        <w:rPr>
          <w:rFonts w:ascii="Verdana" w:hAnsi="Verdana"/>
          <w:b/>
          <w:bCs/>
        </w:rPr>
      </w:pPr>
    </w:p>
    <w:p w14:paraId="033824BE" w14:textId="77777777" w:rsidR="007600F1" w:rsidRDefault="007600F1" w:rsidP="007600F1">
      <w:pPr>
        <w:ind w:firstLine="720"/>
        <w:jc w:val="both"/>
        <w:rPr>
          <w:rFonts w:ascii="Verdana" w:hAnsi="Verdana"/>
          <w:sz w:val="18"/>
          <w:szCs w:val="18"/>
        </w:rPr>
      </w:pPr>
      <w:r w:rsidRPr="1A4A2EAC">
        <w:rPr>
          <w:rFonts w:ascii="Verdana" w:hAnsi="Verdana"/>
          <w:sz w:val="18"/>
          <w:szCs w:val="18"/>
        </w:rPr>
        <w:t xml:space="preserve">The Decision Tree analysis indicates an overemphasis on undervalued currencies as indicated by the Decision Tree and the Classification Report. This is seen by a higher recall for category “0”.  The planned remedy for this shortcoming will be to rebalance the weighting of the classes to mitigate the skew towards undervalued currencies. </w:t>
      </w:r>
    </w:p>
    <w:p w14:paraId="2B9CA3F7" w14:textId="5093817D" w:rsidR="52947D82" w:rsidRDefault="52947D82" w:rsidP="007600F1">
      <w:pPr>
        <w:jc w:val="both"/>
        <w:rPr>
          <w:rFonts w:ascii="Verdana" w:hAnsi="Verdana"/>
          <w:sz w:val="18"/>
          <w:szCs w:val="18"/>
        </w:rPr>
      </w:pPr>
    </w:p>
    <w:p w14:paraId="479E02EF" w14:textId="4DF56F47" w:rsidR="007600F1" w:rsidRPr="007600F1" w:rsidRDefault="007600F1" w:rsidP="007600F1">
      <w:pPr>
        <w:jc w:val="center"/>
        <w:rPr>
          <w:rFonts w:ascii="Verdana" w:hAnsi="Verdana"/>
          <w:b/>
          <w:bCs/>
          <w:sz w:val="18"/>
          <w:szCs w:val="18"/>
        </w:rPr>
      </w:pPr>
      <w:r>
        <w:rPr>
          <w:rFonts w:ascii="Verdana" w:hAnsi="Verdana"/>
          <w:b/>
          <w:bCs/>
          <w:sz w:val="18"/>
          <w:szCs w:val="18"/>
        </w:rPr>
        <w:t xml:space="preserve">4.3 </w:t>
      </w:r>
      <w:r w:rsidRPr="007600F1">
        <w:rPr>
          <w:rFonts w:ascii="Verdana" w:hAnsi="Verdana"/>
          <w:b/>
          <w:bCs/>
          <w:sz w:val="18"/>
          <w:szCs w:val="18"/>
        </w:rPr>
        <w:t>Results – Decision Tree</w:t>
      </w:r>
    </w:p>
    <w:p w14:paraId="13E37899" w14:textId="77777777" w:rsidR="007600F1" w:rsidRDefault="007600F1" w:rsidP="007600F1">
      <w:pPr>
        <w:jc w:val="center"/>
        <w:rPr>
          <w:rFonts w:ascii="Verdana" w:hAnsi="Verdana"/>
        </w:rPr>
      </w:pPr>
    </w:p>
    <w:p w14:paraId="18963D08" w14:textId="77777777" w:rsidR="007600F1" w:rsidRDefault="007600F1" w:rsidP="007600F1">
      <w:pPr>
        <w:ind w:firstLine="720"/>
        <w:jc w:val="both"/>
        <w:rPr>
          <w:rFonts w:ascii="Verdana" w:hAnsi="Verdana"/>
          <w:sz w:val="18"/>
          <w:szCs w:val="18"/>
        </w:rPr>
      </w:pPr>
      <w:r w:rsidRPr="1A4A2EAC">
        <w:rPr>
          <w:rFonts w:ascii="Verdana" w:hAnsi="Verdana"/>
          <w:sz w:val="18"/>
          <w:szCs w:val="18"/>
        </w:rPr>
        <w:t xml:space="preserve">The classification report below shows the results of the model in terms of signifying undervalued or overvalued currencies. </w:t>
      </w:r>
    </w:p>
    <w:p w14:paraId="56B01F44" w14:textId="77777777" w:rsidR="007600F1" w:rsidRDefault="007600F1" w:rsidP="007600F1">
      <w:pPr>
        <w:jc w:val="both"/>
      </w:pPr>
      <w:r>
        <w:rPr>
          <w:noProof/>
        </w:rPr>
        <w:drawing>
          <wp:inline distT="0" distB="0" distL="0" distR="0" wp14:anchorId="3CBB89C7" wp14:editId="01A1605A">
            <wp:extent cx="2838450" cy="1019175"/>
            <wp:effectExtent l="0" t="0" r="0" b="0"/>
            <wp:docPr id="6850989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989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8450" cy="1019175"/>
                    </a:xfrm>
                    <a:prstGeom prst="rect">
                      <a:avLst/>
                    </a:prstGeom>
                  </pic:spPr>
                </pic:pic>
              </a:graphicData>
            </a:graphic>
          </wp:inline>
        </w:drawing>
      </w:r>
    </w:p>
    <w:p w14:paraId="3DAC58DB" w14:textId="77777777" w:rsidR="007600F1" w:rsidRDefault="007600F1" w:rsidP="007600F1">
      <w:pPr>
        <w:jc w:val="both"/>
        <w:rPr>
          <w:rFonts w:ascii="Verdana" w:hAnsi="Verdana"/>
          <w:sz w:val="18"/>
          <w:szCs w:val="18"/>
        </w:rPr>
      </w:pPr>
      <w:r w:rsidRPr="0D718D9B">
        <w:rPr>
          <w:rFonts w:ascii="Verdana" w:hAnsi="Verdana"/>
          <w:sz w:val="18"/>
          <w:szCs w:val="18"/>
        </w:rPr>
        <w:t>“0” indicates undervalued and “1” indicates overvalued currencies. These results indicated the model is good at recognizing undervalued currencies (95%) but poor at identifying overvalued currencies (41%). This indicates a need for rebalancing the model. In practical terms in relation to PPP, this means that i</w:t>
      </w:r>
      <w:r w:rsidRPr="0D718D9B">
        <w:rPr>
          <w:rFonts w:ascii="Verdana" w:eastAsia="Verdana" w:hAnsi="Verdana" w:cs="Verdana"/>
          <w:sz w:val="18"/>
          <w:szCs w:val="18"/>
        </w:rPr>
        <w:t>f a Big Mac is cheaper than in the U.S. (after converting with exchange rates), the currency is undervalued; if it is more expensive, the currency is overvalued.</w:t>
      </w:r>
    </w:p>
    <w:p w14:paraId="17D9ABA4" w14:textId="77777777" w:rsidR="007600F1" w:rsidRDefault="007600F1" w:rsidP="007600F1">
      <w:pPr>
        <w:jc w:val="both"/>
        <w:rPr>
          <w:rFonts w:ascii="Verdana" w:eastAsia="Verdana" w:hAnsi="Verdana" w:cs="Verdana"/>
          <w:sz w:val="18"/>
          <w:szCs w:val="18"/>
        </w:rPr>
      </w:pPr>
      <w:r w:rsidRPr="0D718D9B">
        <w:rPr>
          <w:rFonts w:ascii="Verdana" w:eastAsia="Verdana" w:hAnsi="Verdana" w:cs="Verdana"/>
          <w:sz w:val="18"/>
          <w:szCs w:val="18"/>
        </w:rPr>
        <w:t xml:space="preserve">The results of Feature Importance calculation are listed below: </w:t>
      </w:r>
    </w:p>
    <w:p w14:paraId="149A8381" w14:textId="77777777" w:rsidR="007600F1" w:rsidRDefault="007600F1" w:rsidP="007600F1">
      <w:pPr>
        <w:jc w:val="both"/>
        <w:rPr>
          <w:rFonts w:ascii="Verdana" w:eastAsia="Verdana" w:hAnsi="Verdana" w:cs="Verdana"/>
          <w:sz w:val="18"/>
          <w:szCs w:val="18"/>
        </w:rPr>
      </w:pPr>
    </w:p>
    <w:p w14:paraId="06B3A5F0" w14:textId="77777777" w:rsidR="007600F1" w:rsidRDefault="007600F1" w:rsidP="007600F1">
      <w:pPr>
        <w:jc w:val="both"/>
      </w:pPr>
      <w:r>
        <w:rPr>
          <w:noProof/>
        </w:rPr>
        <w:lastRenderedPageBreak/>
        <w:drawing>
          <wp:inline distT="0" distB="0" distL="0" distR="0" wp14:anchorId="26FA13FF" wp14:editId="62DDD30F">
            <wp:extent cx="2838450" cy="2028825"/>
            <wp:effectExtent l="0" t="0" r="0" b="0"/>
            <wp:docPr id="149771859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859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8450" cy="2028825"/>
                    </a:xfrm>
                    <a:prstGeom prst="rect">
                      <a:avLst/>
                    </a:prstGeom>
                  </pic:spPr>
                </pic:pic>
              </a:graphicData>
            </a:graphic>
          </wp:inline>
        </w:drawing>
      </w:r>
    </w:p>
    <w:p w14:paraId="34F192E6" w14:textId="77777777" w:rsidR="007600F1" w:rsidRDefault="007600F1" w:rsidP="007600F1">
      <w:pPr>
        <w:jc w:val="both"/>
        <w:rPr>
          <w:rFonts w:ascii="Verdana" w:hAnsi="Verdana"/>
          <w:sz w:val="18"/>
          <w:szCs w:val="18"/>
        </w:rPr>
      </w:pPr>
      <w:r w:rsidRPr="0D718D9B">
        <w:rPr>
          <w:rFonts w:ascii="Verdana" w:hAnsi="Verdana"/>
          <w:sz w:val="18"/>
          <w:szCs w:val="18"/>
        </w:rPr>
        <w:t>From these results we see the model put the highest importance on the dollar exchange rate, followed by local price, and lastly by year. This makes sense as PPP does rely on exchange rate adjustments. The local price of the Big Mac is also important as this is the good being compared to US pricing. The year is less important as it is the pricing comparisons that matter the most in the PPP analysis.</w:t>
      </w:r>
    </w:p>
    <w:p w14:paraId="329D4990" w14:textId="77777777" w:rsidR="007600F1" w:rsidRDefault="007600F1" w:rsidP="007600F1">
      <w:pPr>
        <w:jc w:val="both"/>
        <w:rPr>
          <w:rFonts w:ascii="Verdana" w:hAnsi="Verdana"/>
          <w:sz w:val="18"/>
          <w:szCs w:val="18"/>
        </w:rPr>
      </w:pPr>
    </w:p>
    <w:p w14:paraId="571BE224" w14:textId="77777777" w:rsidR="007600F1" w:rsidRDefault="007600F1" w:rsidP="007600F1">
      <w:pPr>
        <w:jc w:val="both"/>
        <w:rPr>
          <w:rFonts w:ascii="Verdana" w:hAnsi="Verdana"/>
          <w:sz w:val="18"/>
          <w:szCs w:val="18"/>
        </w:rPr>
      </w:pPr>
      <w:r w:rsidRPr="0D718D9B">
        <w:rPr>
          <w:rFonts w:ascii="Verdana" w:hAnsi="Verdana"/>
          <w:sz w:val="18"/>
          <w:szCs w:val="18"/>
        </w:rPr>
        <w:t>The Decision Tree results are below:</w:t>
      </w:r>
    </w:p>
    <w:p w14:paraId="63BF6E32" w14:textId="77777777" w:rsidR="007600F1" w:rsidRDefault="007600F1" w:rsidP="007600F1">
      <w:pPr>
        <w:jc w:val="both"/>
      </w:pPr>
      <w:r>
        <w:rPr>
          <w:noProof/>
        </w:rPr>
        <w:drawing>
          <wp:inline distT="0" distB="0" distL="0" distR="0" wp14:anchorId="72F6DF58" wp14:editId="03E322FE">
            <wp:extent cx="2838450" cy="1362075"/>
            <wp:effectExtent l="0" t="0" r="0" b="0"/>
            <wp:docPr id="1953724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2430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8450" cy="1362075"/>
                    </a:xfrm>
                    <a:prstGeom prst="rect">
                      <a:avLst/>
                    </a:prstGeom>
                  </pic:spPr>
                </pic:pic>
              </a:graphicData>
            </a:graphic>
          </wp:inline>
        </w:drawing>
      </w:r>
    </w:p>
    <w:p w14:paraId="41F35C51" w14:textId="77777777" w:rsidR="007600F1" w:rsidRDefault="007600F1" w:rsidP="007600F1">
      <w:pPr>
        <w:jc w:val="both"/>
        <w:rPr>
          <w:rFonts w:ascii="Verdana" w:eastAsia="Verdana" w:hAnsi="Verdana" w:cs="Verdana"/>
          <w:sz w:val="18"/>
          <w:szCs w:val="18"/>
        </w:rPr>
      </w:pPr>
      <w:r w:rsidRPr="1A4A2EAC">
        <w:rPr>
          <w:rFonts w:ascii="Verdana" w:eastAsia="Verdana" w:hAnsi="Verdana" w:cs="Verdana"/>
          <w:sz w:val="18"/>
          <w:szCs w:val="18"/>
        </w:rPr>
        <w:t>The Decision Tree provides a visual representation of the results of the model. The first split is based on the exchange rate (</w:t>
      </w:r>
      <w:proofErr w:type="spellStart"/>
      <w:r w:rsidRPr="1A4A2EAC">
        <w:rPr>
          <w:rFonts w:ascii="Verdana" w:eastAsia="Verdana" w:hAnsi="Verdana" w:cs="Verdana"/>
          <w:sz w:val="18"/>
          <w:szCs w:val="18"/>
        </w:rPr>
        <w:t>dollar_ex</w:t>
      </w:r>
      <w:proofErr w:type="spellEnd"/>
      <w:r w:rsidRPr="1A4A2EAC">
        <w:rPr>
          <w:rFonts w:ascii="Verdana" w:eastAsia="Verdana" w:hAnsi="Verdana" w:cs="Verdana"/>
          <w:sz w:val="18"/>
          <w:szCs w:val="18"/>
        </w:rPr>
        <w:t>) showing the misalignment of exchange rates.  The following splits are based on local Big Mac prices (</w:t>
      </w:r>
      <w:proofErr w:type="spellStart"/>
      <w:r w:rsidRPr="1A4A2EAC">
        <w:rPr>
          <w:rFonts w:ascii="Verdana" w:eastAsia="Verdana" w:hAnsi="Verdana" w:cs="Verdana"/>
          <w:sz w:val="18"/>
          <w:szCs w:val="18"/>
        </w:rPr>
        <w:t>local_price</w:t>
      </w:r>
      <w:proofErr w:type="spellEnd"/>
      <w:r w:rsidRPr="1A4A2EAC">
        <w:rPr>
          <w:rFonts w:ascii="Verdana" w:eastAsia="Verdana" w:hAnsi="Verdana" w:cs="Verdana"/>
          <w:sz w:val="18"/>
          <w:szCs w:val="18"/>
        </w:rPr>
        <w:t xml:space="preserve">) and time. </w:t>
      </w:r>
    </w:p>
    <w:p w14:paraId="30295556" w14:textId="77777777" w:rsidR="007600F1" w:rsidRDefault="007600F1" w:rsidP="007600F1">
      <w:pPr>
        <w:jc w:val="both"/>
        <w:rPr>
          <w:rFonts w:ascii="Verdana" w:eastAsia="Verdana" w:hAnsi="Verdana" w:cs="Verdana"/>
          <w:sz w:val="18"/>
          <w:szCs w:val="18"/>
        </w:rPr>
      </w:pPr>
    </w:p>
    <w:p w14:paraId="5FEDFA09" w14:textId="77777777" w:rsidR="007600F1" w:rsidRDefault="007600F1" w:rsidP="007600F1">
      <w:pPr>
        <w:jc w:val="both"/>
        <w:rPr>
          <w:rFonts w:ascii="Verdana" w:hAnsi="Verdana"/>
          <w:sz w:val="18"/>
          <w:szCs w:val="18"/>
        </w:rPr>
      </w:pPr>
    </w:p>
    <w:p w14:paraId="5EBED413" w14:textId="20A66E1B" w:rsidR="12894F40" w:rsidRDefault="0014173E" w:rsidP="52947D82">
      <w:pPr>
        <w:ind w:firstLine="720"/>
        <w:jc w:val="both"/>
        <w:rPr>
          <w:rFonts w:ascii="Verdana" w:hAnsi="Verdana"/>
          <w:color w:val="000000" w:themeColor="text1"/>
          <w:sz w:val="18"/>
          <w:szCs w:val="18"/>
        </w:rPr>
      </w:pPr>
      <w:r>
        <w:rPr>
          <w:rStyle w:val="Strong"/>
          <w:rFonts w:ascii="Verdana" w:hAnsi="Verdana"/>
          <w:color w:val="000000" w:themeColor="text1"/>
          <w:sz w:val="18"/>
          <w:szCs w:val="18"/>
        </w:rPr>
        <w:t>5.</w:t>
      </w:r>
      <w:r w:rsidR="007600F1">
        <w:rPr>
          <w:rStyle w:val="Strong"/>
          <w:rFonts w:ascii="Verdana" w:hAnsi="Verdana"/>
          <w:color w:val="000000" w:themeColor="text1"/>
          <w:sz w:val="18"/>
          <w:szCs w:val="18"/>
        </w:rPr>
        <w:t>1</w:t>
      </w:r>
      <w:r w:rsidR="12894F40" w:rsidRPr="52947D82">
        <w:rPr>
          <w:rStyle w:val="Strong"/>
          <w:rFonts w:ascii="Verdana" w:hAnsi="Verdana"/>
          <w:color w:val="000000" w:themeColor="text1"/>
          <w:sz w:val="18"/>
          <w:szCs w:val="18"/>
        </w:rPr>
        <w:t xml:space="preserve"> Modeling - Linear Regression</w:t>
      </w:r>
    </w:p>
    <w:p w14:paraId="08DD5403" w14:textId="15C5DFD3" w:rsidR="52947D82" w:rsidRDefault="52947D82" w:rsidP="52947D82">
      <w:pPr>
        <w:ind w:firstLine="720"/>
        <w:jc w:val="both"/>
        <w:rPr>
          <w:rStyle w:val="Strong"/>
          <w:rFonts w:ascii="Verdana" w:hAnsi="Verdana"/>
          <w:color w:val="000000" w:themeColor="text1"/>
          <w:sz w:val="18"/>
          <w:szCs w:val="18"/>
        </w:rPr>
      </w:pPr>
    </w:p>
    <w:p w14:paraId="4C15986C" w14:textId="50761366" w:rsidR="007600F1" w:rsidRP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In addition to Decision Trees, we applied Linear</w:t>
      </w:r>
      <w:r>
        <w:rPr>
          <w:rFonts w:ascii="Verdana" w:hAnsi="Verdana"/>
          <w:color w:val="000000" w:themeColor="text1"/>
          <w:sz w:val="18"/>
          <w:szCs w:val="18"/>
        </w:rPr>
        <w:t xml:space="preserve"> </w:t>
      </w:r>
      <w:r w:rsidRPr="007600F1">
        <w:rPr>
          <w:rFonts w:ascii="Verdana" w:hAnsi="Verdana"/>
          <w:color w:val="000000" w:themeColor="text1"/>
          <w:sz w:val="18"/>
          <w:szCs w:val="18"/>
        </w:rPr>
        <w:t xml:space="preserve">Regression and Ridge Regression as complementary modeling techniques to evaluate the determinants of currency </w:t>
      </w:r>
      <w:proofErr w:type="spellStart"/>
      <w:r w:rsidRPr="007600F1">
        <w:rPr>
          <w:rFonts w:ascii="Verdana" w:hAnsi="Verdana"/>
          <w:color w:val="000000" w:themeColor="text1"/>
          <w:sz w:val="18"/>
          <w:szCs w:val="18"/>
        </w:rPr>
        <w:t>misvaluation</w:t>
      </w:r>
      <w:proofErr w:type="spellEnd"/>
      <w:r w:rsidRPr="007600F1">
        <w:rPr>
          <w:rFonts w:ascii="Verdana" w:hAnsi="Verdana"/>
          <w:color w:val="000000" w:themeColor="text1"/>
          <w:sz w:val="18"/>
          <w:szCs w:val="18"/>
        </w:rPr>
        <w:t xml:space="preserve"> within the Big Mac Index framework. While tree-based methods are adept at capturing non-linear interactions, linear models provide a transparent and interpretable baseline for assessing whether observed pricing patterns align with Purchasing Power Parity (PPP) theory.</w:t>
      </w:r>
    </w:p>
    <w:p w14:paraId="73853A2D" w14:textId="77777777" w:rsidR="007600F1" w:rsidRP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 xml:space="preserve">A critical modeling decision was the choice of target variable. Rather than predicting </w:t>
      </w:r>
      <w:r w:rsidRPr="007600F1">
        <w:rPr>
          <w:rFonts w:ascii="Verdana" w:hAnsi="Verdana"/>
          <w:color w:val="000000" w:themeColor="text1"/>
          <w:sz w:val="18"/>
          <w:szCs w:val="18"/>
        </w:rPr>
        <w:t>raw exchange rates (</w:t>
      </w:r>
      <w:proofErr w:type="spellStart"/>
      <w:r w:rsidRPr="007600F1">
        <w:rPr>
          <w:rFonts w:ascii="Verdana" w:hAnsi="Verdana"/>
          <w:color w:val="000000" w:themeColor="text1"/>
          <w:sz w:val="18"/>
          <w:szCs w:val="18"/>
        </w:rPr>
        <w:t>dollar_ex</w:t>
      </w:r>
      <w:proofErr w:type="spellEnd"/>
      <w:r w:rsidRPr="007600F1">
        <w:rPr>
          <w:rFonts w:ascii="Verdana" w:hAnsi="Verdana"/>
          <w:color w:val="000000" w:themeColor="text1"/>
          <w:sz w:val="18"/>
          <w:szCs w:val="18"/>
        </w:rPr>
        <w:t xml:space="preserve">), which differ by several orders of magnitude across countries and lead to unstable model performance, we utilized the USD </w:t>
      </w:r>
      <w:proofErr w:type="spellStart"/>
      <w:r w:rsidRPr="007600F1">
        <w:rPr>
          <w:rFonts w:ascii="Verdana" w:hAnsi="Verdana"/>
          <w:color w:val="000000" w:themeColor="text1"/>
          <w:sz w:val="18"/>
          <w:szCs w:val="18"/>
        </w:rPr>
        <w:t>misvaluation</w:t>
      </w:r>
      <w:proofErr w:type="spellEnd"/>
      <w:r w:rsidRPr="007600F1">
        <w:rPr>
          <w:rFonts w:ascii="Verdana" w:hAnsi="Verdana"/>
          <w:color w:val="000000" w:themeColor="text1"/>
          <w:sz w:val="18"/>
          <w:szCs w:val="18"/>
        </w:rPr>
        <w:t xml:space="preserve"> index (USD). This normalized measure expresses each country’s currency valuation as a percentage deviation from its implied PPP rate, making it comparable across currencies and over time.</w:t>
      </w:r>
    </w:p>
    <w:p w14:paraId="5915D379" w14:textId="77777777" w:rsidR="007600F1" w:rsidRP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The predictor set incorporated both economic fundamentals (</w:t>
      </w:r>
      <w:proofErr w:type="spellStart"/>
      <w:r w:rsidRPr="007600F1">
        <w:rPr>
          <w:rFonts w:ascii="Verdana" w:hAnsi="Verdana"/>
          <w:color w:val="000000" w:themeColor="text1"/>
          <w:sz w:val="18"/>
          <w:szCs w:val="18"/>
        </w:rPr>
        <w:t>adj_price</w:t>
      </w:r>
      <w:proofErr w:type="spellEnd"/>
      <w:r w:rsidRPr="007600F1">
        <w:rPr>
          <w:rFonts w:ascii="Verdana" w:hAnsi="Verdana"/>
          <w:color w:val="000000" w:themeColor="text1"/>
          <w:sz w:val="18"/>
          <w:szCs w:val="18"/>
        </w:rPr>
        <w:t>, </w:t>
      </w:r>
      <w:proofErr w:type="spellStart"/>
      <w:r w:rsidRPr="007600F1">
        <w:rPr>
          <w:rFonts w:ascii="Verdana" w:hAnsi="Verdana"/>
          <w:color w:val="000000" w:themeColor="text1"/>
          <w:sz w:val="18"/>
          <w:szCs w:val="18"/>
        </w:rPr>
        <w:t>GDP_bigmac</w:t>
      </w:r>
      <w:proofErr w:type="spellEnd"/>
      <w:r w:rsidRPr="007600F1">
        <w:rPr>
          <w:rFonts w:ascii="Verdana" w:hAnsi="Verdana"/>
          <w:color w:val="000000" w:themeColor="text1"/>
          <w:sz w:val="18"/>
          <w:szCs w:val="18"/>
        </w:rPr>
        <w:t xml:space="preserve">) and fixed effects for country and year (via one-hot encoding). This specification allowed the model to control for systematic differences in pricing across regions and temporal trends. An initial Ordinary Least Squares (OLS) Linear Regression achieved moderate performance (R² ≈ 0.67, RMSE ≈ 0.22), indicating that approximately two-thirds of the variation in USD </w:t>
      </w:r>
      <w:proofErr w:type="spellStart"/>
      <w:r w:rsidRPr="007600F1">
        <w:rPr>
          <w:rFonts w:ascii="Verdana" w:hAnsi="Verdana"/>
          <w:color w:val="000000" w:themeColor="text1"/>
          <w:sz w:val="18"/>
          <w:szCs w:val="18"/>
        </w:rPr>
        <w:t>misvaluation</w:t>
      </w:r>
      <w:proofErr w:type="spellEnd"/>
      <w:r w:rsidRPr="007600F1">
        <w:rPr>
          <w:rFonts w:ascii="Verdana" w:hAnsi="Verdana"/>
          <w:color w:val="000000" w:themeColor="text1"/>
          <w:sz w:val="18"/>
          <w:szCs w:val="18"/>
        </w:rPr>
        <w:t xml:space="preserve"> could be explained by the model.</w:t>
      </w:r>
    </w:p>
    <w:p w14:paraId="355E9DDA" w14:textId="77777777" w:rsidR="007600F1" w:rsidRP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To address issues of multicollinearity introduced by the large number of country and year dummy variables, we extended the model with Ridge Regression, which penalizes excessively large coefficients. With a fixed penalty (α = 1.0), Ridge regression performed poorly (R² ≈ –0.01), demonstrating that over-regularization can reduce explanatory power. However, a cross-validated version (</w:t>
      </w:r>
      <w:proofErr w:type="spellStart"/>
      <w:r w:rsidRPr="007600F1">
        <w:rPr>
          <w:rFonts w:ascii="Verdana" w:hAnsi="Verdana"/>
          <w:color w:val="000000" w:themeColor="text1"/>
          <w:sz w:val="18"/>
          <w:szCs w:val="18"/>
        </w:rPr>
        <w:t>RidgeCV</w:t>
      </w:r>
      <w:proofErr w:type="spellEnd"/>
      <w:r w:rsidRPr="007600F1">
        <w:rPr>
          <w:rFonts w:ascii="Verdana" w:hAnsi="Verdana"/>
          <w:color w:val="000000" w:themeColor="text1"/>
          <w:sz w:val="18"/>
          <w:szCs w:val="18"/>
        </w:rPr>
        <w:t>) selected an optimal penalty term (α ≈ 0.037), yielding substantially improved results (R² ≈ 0.735, RMSE ≈ 0.20, MAE ≈ 0.14). This represents a meaningful gain over the baseline OLS model, highlighting the value of regularization in stabilizing estimates when high-dimensional categorical features are present.</w:t>
      </w:r>
    </w:p>
    <w:p w14:paraId="09DA8652" w14:textId="77777777" w:rsidR="007600F1" w:rsidRP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Residual analysis further reinforced these findings. Plots of predicted versus actual USD values showed close alignment, while country-level residuals revealed systematic over- and under-predictions concentrated in a small subset of economies, often corresponding to known macroeconomic distortions (e.g., inflationary episodes or exchange-rate interventions). Time-series analysis of residuals demonstrated that model performance was relatively stable, though deviations widened during financial crises, consistent with external shocks not captured by PPP fundamentals.</w:t>
      </w:r>
    </w:p>
    <w:p w14:paraId="34AD1C34" w14:textId="35A168B7" w:rsidR="007600F1" w:rsidRDefault="007600F1" w:rsidP="007600F1">
      <w:pPr>
        <w:ind w:firstLine="720"/>
        <w:jc w:val="both"/>
        <w:rPr>
          <w:rFonts w:ascii="Verdana" w:hAnsi="Verdana"/>
          <w:color w:val="000000" w:themeColor="text1"/>
          <w:sz w:val="18"/>
          <w:szCs w:val="18"/>
        </w:rPr>
      </w:pPr>
      <w:r w:rsidRPr="007600F1">
        <w:rPr>
          <w:rFonts w:ascii="Verdana" w:hAnsi="Verdana"/>
          <w:color w:val="000000" w:themeColor="text1"/>
          <w:sz w:val="18"/>
          <w:szCs w:val="18"/>
        </w:rPr>
        <w:t>Overall, the regression framework demonstrates that while PPP-based predictors explain a large share of cross-country valuation patterns, systematic deviations remain. These deviations are economically meaningful, underscoring the limits of simple parity models and the importance of controlling for institutional, political, and crisis-related factors in exchange rate determination.</w:t>
      </w:r>
    </w:p>
    <w:p w14:paraId="25E0314E" w14:textId="77777777" w:rsidR="007600F1" w:rsidRPr="007600F1" w:rsidRDefault="007600F1" w:rsidP="007600F1">
      <w:pPr>
        <w:jc w:val="both"/>
        <w:rPr>
          <w:rFonts w:ascii="Verdana" w:hAnsi="Verdana"/>
          <w:color w:val="000000" w:themeColor="text1"/>
          <w:sz w:val="18"/>
          <w:szCs w:val="18"/>
        </w:rPr>
      </w:pPr>
    </w:p>
    <w:p w14:paraId="02BA53B4" w14:textId="0D17CF7D" w:rsidR="007600F1" w:rsidRDefault="007600F1" w:rsidP="007600F1">
      <w:pPr>
        <w:jc w:val="center"/>
        <w:rPr>
          <w:rFonts w:ascii="Verdana" w:hAnsi="Verdana"/>
          <w:color w:val="000000" w:themeColor="text1"/>
          <w:sz w:val="18"/>
          <w:szCs w:val="18"/>
        </w:rPr>
      </w:pPr>
      <w:r>
        <w:rPr>
          <w:rFonts w:ascii="Verdana" w:hAnsi="Verdana"/>
          <w:b/>
          <w:bCs/>
          <w:color w:val="000000" w:themeColor="text1"/>
          <w:sz w:val="18"/>
          <w:szCs w:val="18"/>
        </w:rPr>
        <w:lastRenderedPageBreak/>
        <w:t>5</w:t>
      </w:r>
      <w:r>
        <w:rPr>
          <w:rFonts w:ascii="Verdana" w:hAnsi="Verdana"/>
          <w:b/>
          <w:bCs/>
          <w:color w:val="000000" w:themeColor="text1"/>
          <w:sz w:val="18"/>
          <w:szCs w:val="18"/>
        </w:rPr>
        <w:t>.</w:t>
      </w:r>
      <w:r>
        <w:rPr>
          <w:rFonts w:ascii="Verdana" w:hAnsi="Verdana"/>
          <w:b/>
          <w:bCs/>
          <w:color w:val="000000" w:themeColor="text1"/>
          <w:sz w:val="18"/>
          <w:szCs w:val="18"/>
        </w:rPr>
        <w:t>2</w:t>
      </w:r>
      <w:r w:rsidRPr="1A4A2EAC">
        <w:rPr>
          <w:rFonts w:ascii="Verdana" w:hAnsi="Verdana"/>
          <w:b/>
          <w:bCs/>
          <w:color w:val="000000" w:themeColor="text1"/>
          <w:sz w:val="18"/>
          <w:szCs w:val="18"/>
        </w:rPr>
        <w:t xml:space="preserve"> Results - Linear Regression</w:t>
      </w:r>
    </w:p>
    <w:p w14:paraId="4129CB8D" w14:textId="77777777" w:rsidR="007600F1" w:rsidRDefault="007600F1" w:rsidP="007600F1">
      <w:pPr>
        <w:jc w:val="center"/>
        <w:rPr>
          <w:rFonts w:ascii="Verdana" w:hAnsi="Verdana"/>
          <w:b/>
          <w:bCs/>
          <w:color w:val="000000" w:themeColor="text1"/>
          <w:sz w:val="18"/>
          <w:szCs w:val="18"/>
        </w:rPr>
      </w:pPr>
    </w:p>
    <w:p w14:paraId="6FA97956" w14:textId="457659CD" w:rsidR="007600F1" w:rsidRDefault="007600F1" w:rsidP="00BF5E7B">
      <w:pPr>
        <w:jc w:val="both"/>
        <w:rPr>
          <w:rFonts w:ascii="Verdana" w:hAnsi="Verdana"/>
          <w:color w:val="000000" w:themeColor="text1"/>
          <w:sz w:val="18"/>
          <w:szCs w:val="18"/>
        </w:rPr>
      </w:pPr>
      <w:r w:rsidRPr="007600F1">
        <w:rPr>
          <w:rFonts w:ascii="Verdana" w:hAnsi="Verdana"/>
          <w:color w:val="000000" w:themeColor="text1"/>
          <w:sz w:val="18"/>
          <w:szCs w:val="18"/>
        </w:rPr>
        <w:t xml:space="preserve">The regression analysis demonstrates that PPP-adjusted Big Mac prices, GDP per capita, and country/year fixed effects explain a substantial portion of cross-country currency </w:t>
      </w:r>
      <w:proofErr w:type="spellStart"/>
      <w:r w:rsidRPr="007600F1">
        <w:rPr>
          <w:rFonts w:ascii="Verdana" w:hAnsi="Verdana"/>
          <w:color w:val="000000" w:themeColor="text1"/>
          <w:sz w:val="18"/>
          <w:szCs w:val="18"/>
        </w:rPr>
        <w:t>misvaluation</w:t>
      </w:r>
      <w:proofErr w:type="spellEnd"/>
      <w:r w:rsidRPr="007600F1">
        <w:rPr>
          <w:rFonts w:ascii="Verdana" w:hAnsi="Verdana"/>
          <w:color w:val="000000" w:themeColor="text1"/>
          <w:sz w:val="18"/>
          <w:szCs w:val="18"/>
        </w:rPr>
        <w:t xml:space="preserve">. The </w:t>
      </w:r>
      <w:proofErr w:type="spellStart"/>
      <w:r w:rsidRPr="007600F1">
        <w:rPr>
          <w:rFonts w:ascii="Verdana" w:hAnsi="Verdana"/>
          <w:color w:val="000000" w:themeColor="text1"/>
          <w:sz w:val="18"/>
          <w:szCs w:val="18"/>
        </w:rPr>
        <w:t>RidgeCV</w:t>
      </w:r>
      <w:proofErr w:type="spellEnd"/>
      <w:r w:rsidRPr="007600F1">
        <w:rPr>
          <w:rFonts w:ascii="Verdana" w:hAnsi="Verdana"/>
          <w:color w:val="000000" w:themeColor="text1"/>
          <w:sz w:val="18"/>
          <w:szCs w:val="18"/>
        </w:rPr>
        <w:t xml:space="preserve"> model, which optimally balances explanatory power with regularization, achieved strong predictive performance (R² ≈ 0.73, RMSE ≈ 0.20). Residual analysis confirmed that errors are generally unbiased and stable across most countries and time periods, though systematic misfits persist in economies with inflationary volatility, exchange-rate interventions, or crisis-driven shocks. Temporal patterns further revealed that deviations widen during episodes of global or regional financial instability, highlighting the limits of parity-based models in periods dominated by external shocks. Overall, the results support the Big Mac Index as a meaningful, though imperfect, proxy for relative currency valuation.</w:t>
      </w:r>
    </w:p>
    <w:p w14:paraId="418781C1" w14:textId="77777777" w:rsidR="007600F1" w:rsidRPr="007600F1" w:rsidRDefault="007600F1" w:rsidP="007600F1">
      <w:pPr>
        <w:rPr>
          <w:rFonts w:ascii="Verdana" w:hAnsi="Verdana"/>
          <w:color w:val="000000" w:themeColor="text1"/>
          <w:sz w:val="18"/>
          <w:szCs w:val="18"/>
        </w:rPr>
      </w:pPr>
    </w:p>
    <w:p w14:paraId="4D365B25" w14:textId="63BD2E21" w:rsidR="007600F1" w:rsidRDefault="007600F1" w:rsidP="007600F1">
      <w:pPr>
        <w:ind w:firstLine="720"/>
        <w:jc w:val="both"/>
        <w:rPr>
          <w:rFonts w:ascii="Verdana" w:hAnsi="Verdana"/>
          <w:b/>
          <w:bCs/>
          <w:sz w:val="18"/>
          <w:szCs w:val="18"/>
        </w:rPr>
      </w:pPr>
      <w:r>
        <w:rPr>
          <w:rFonts w:ascii="Verdana" w:hAnsi="Verdana"/>
          <w:b/>
          <w:bCs/>
          <w:sz w:val="18"/>
          <w:szCs w:val="18"/>
        </w:rPr>
        <w:t>5</w:t>
      </w:r>
      <w:r>
        <w:rPr>
          <w:rFonts w:ascii="Verdana" w:hAnsi="Verdana"/>
          <w:b/>
          <w:bCs/>
          <w:sz w:val="18"/>
          <w:szCs w:val="18"/>
        </w:rPr>
        <w:t>.</w:t>
      </w:r>
      <w:r>
        <w:rPr>
          <w:rFonts w:ascii="Verdana" w:hAnsi="Verdana"/>
          <w:b/>
          <w:bCs/>
          <w:sz w:val="18"/>
          <w:szCs w:val="18"/>
        </w:rPr>
        <w:t>4</w:t>
      </w:r>
      <w:r w:rsidRPr="1A4A2EAC">
        <w:rPr>
          <w:rFonts w:ascii="Verdana" w:hAnsi="Verdana"/>
          <w:b/>
          <w:bCs/>
          <w:sz w:val="18"/>
          <w:szCs w:val="18"/>
        </w:rPr>
        <w:t xml:space="preserve"> Analysis – Linear Regression</w:t>
      </w:r>
    </w:p>
    <w:p w14:paraId="6EF93E05" w14:textId="34035940" w:rsidR="00BF5E7B" w:rsidRDefault="00D408F0" w:rsidP="00D408F0">
      <w:pPr>
        <w:rPr>
          <w:rFonts w:ascii="Verdana" w:hAnsi="Verdana"/>
          <w:b/>
          <w:bCs/>
          <w:sz w:val="18"/>
          <w:szCs w:val="18"/>
        </w:rPr>
      </w:pPr>
      <w:r>
        <w:rPr>
          <w:noProof/>
        </w:rPr>
        <w:drawing>
          <wp:inline distT="0" distB="0" distL="0" distR="0" wp14:anchorId="7E62A332" wp14:editId="55B923BE">
            <wp:extent cx="2834640" cy="2118360"/>
            <wp:effectExtent l="0" t="0" r="0" b="2540"/>
            <wp:docPr id="309457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4640" cy="2118360"/>
                    </a:xfrm>
                    <a:prstGeom prst="rect">
                      <a:avLst/>
                    </a:prstGeom>
                    <a:noFill/>
                    <a:ln>
                      <a:noFill/>
                    </a:ln>
                  </pic:spPr>
                </pic:pic>
              </a:graphicData>
            </a:graphic>
          </wp:inline>
        </w:drawing>
      </w:r>
    </w:p>
    <w:p w14:paraId="6AB10C2B" w14:textId="69D262CE" w:rsidR="00D408F0" w:rsidRDefault="00D408F0" w:rsidP="00D408F0">
      <w:pPr>
        <w:jc w:val="center"/>
        <w:rPr>
          <w:rFonts w:ascii="Verdana" w:hAnsi="Verdana"/>
          <w:i/>
          <w:iCs/>
          <w:color w:val="000000" w:themeColor="text1"/>
          <w:sz w:val="18"/>
          <w:szCs w:val="18"/>
        </w:rPr>
      </w:pPr>
      <w:r>
        <w:rPr>
          <w:noProof/>
        </w:rPr>
        <w:drawing>
          <wp:inline distT="0" distB="0" distL="0" distR="0" wp14:anchorId="28A8B4E8" wp14:editId="3A151450">
            <wp:extent cx="2834640" cy="2118360"/>
            <wp:effectExtent l="0" t="0" r="0" b="2540"/>
            <wp:docPr id="807068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4640" cy="2118360"/>
                    </a:xfrm>
                    <a:prstGeom prst="rect">
                      <a:avLst/>
                    </a:prstGeom>
                    <a:noFill/>
                    <a:ln>
                      <a:noFill/>
                    </a:ln>
                  </pic:spPr>
                </pic:pic>
              </a:graphicData>
            </a:graphic>
          </wp:inline>
        </w:drawing>
      </w:r>
    </w:p>
    <w:p w14:paraId="0BCF0277" w14:textId="4EDF61A0" w:rsidR="00D408F0" w:rsidRPr="00D408F0" w:rsidRDefault="00D408F0" w:rsidP="00D408F0">
      <w:pPr>
        <w:jc w:val="center"/>
        <w:rPr>
          <w:rFonts w:ascii="Verdana" w:hAnsi="Verdana"/>
          <w:i/>
          <w:iCs/>
          <w:color w:val="000000" w:themeColor="text1"/>
          <w:sz w:val="18"/>
          <w:szCs w:val="18"/>
        </w:rPr>
      </w:pPr>
      <w:r w:rsidRPr="00D408F0">
        <w:rPr>
          <w:rFonts w:ascii="Verdana" w:hAnsi="Verdana"/>
          <w:i/>
          <w:iCs/>
          <w:color w:val="000000" w:themeColor="text1"/>
          <w:sz w:val="18"/>
          <w:szCs w:val="18"/>
        </w:rPr>
        <w:t xml:space="preserve">Figure </w:t>
      </w:r>
      <w:r>
        <w:rPr>
          <w:rFonts w:ascii="Verdana" w:hAnsi="Verdana"/>
          <w:i/>
          <w:iCs/>
          <w:color w:val="000000" w:themeColor="text1"/>
          <w:sz w:val="18"/>
          <w:szCs w:val="18"/>
        </w:rPr>
        <w:t>4</w:t>
      </w:r>
      <w:r w:rsidRPr="00D408F0">
        <w:rPr>
          <w:rFonts w:ascii="Verdana" w:hAnsi="Verdana"/>
          <w:i/>
          <w:iCs/>
          <w:color w:val="000000" w:themeColor="text1"/>
          <w:sz w:val="18"/>
          <w:szCs w:val="18"/>
        </w:rPr>
        <w:t xml:space="preserve">. Predicted versus actual values of the USD </w:t>
      </w:r>
      <w:proofErr w:type="spellStart"/>
      <w:r w:rsidRPr="00D408F0">
        <w:rPr>
          <w:rFonts w:ascii="Verdana" w:hAnsi="Verdana"/>
          <w:i/>
          <w:iCs/>
          <w:color w:val="000000" w:themeColor="text1"/>
          <w:sz w:val="18"/>
          <w:szCs w:val="18"/>
        </w:rPr>
        <w:t>misvaluation</w:t>
      </w:r>
      <w:proofErr w:type="spellEnd"/>
      <w:r w:rsidRPr="00D408F0">
        <w:rPr>
          <w:rFonts w:ascii="Verdana" w:hAnsi="Verdana"/>
          <w:i/>
          <w:iCs/>
          <w:color w:val="000000" w:themeColor="text1"/>
          <w:sz w:val="18"/>
          <w:szCs w:val="18"/>
        </w:rPr>
        <w:t xml:space="preserve"> index. The diagonal reference line represents perfect prediction. Points clustered closely along this line indicate that the </w:t>
      </w:r>
      <w:proofErr w:type="spellStart"/>
      <w:r w:rsidRPr="00D408F0">
        <w:rPr>
          <w:rFonts w:ascii="Verdana" w:hAnsi="Verdana"/>
          <w:i/>
          <w:iCs/>
          <w:color w:val="000000" w:themeColor="text1"/>
          <w:sz w:val="18"/>
          <w:szCs w:val="18"/>
        </w:rPr>
        <w:t>RidgeCV</w:t>
      </w:r>
      <w:proofErr w:type="spellEnd"/>
      <w:r w:rsidRPr="00D408F0">
        <w:rPr>
          <w:rFonts w:ascii="Verdana" w:hAnsi="Verdana"/>
          <w:i/>
          <w:iCs/>
          <w:color w:val="000000" w:themeColor="text1"/>
          <w:sz w:val="18"/>
          <w:szCs w:val="18"/>
        </w:rPr>
        <w:t xml:space="preserve"> model captures the majority of variance in the normalized index, with limited dispersion. Deviations from the line correspond to instances where country-specific or time-specific shocks introduced departures from PPP fundamentals, highlighting the limits of purely price-based explanatory variables.</w:t>
      </w:r>
    </w:p>
    <w:p w14:paraId="25BAD6CB" w14:textId="77777777" w:rsidR="00D408F0" w:rsidRDefault="00D408F0" w:rsidP="00BF5E7B">
      <w:pPr>
        <w:jc w:val="both"/>
        <w:rPr>
          <w:rFonts w:ascii="Verdana" w:hAnsi="Verdana"/>
          <w:color w:val="000000" w:themeColor="text1"/>
          <w:sz w:val="18"/>
          <w:szCs w:val="18"/>
        </w:rPr>
      </w:pPr>
    </w:p>
    <w:p w14:paraId="2F3965A3" w14:textId="43BC3144" w:rsidR="007600F1" w:rsidRDefault="00BF5E7B" w:rsidP="00BF5E7B">
      <w:pPr>
        <w:jc w:val="both"/>
        <w:rPr>
          <w:rFonts w:ascii="Verdana" w:hAnsi="Verdana"/>
          <w:color w:val="000000" w:themeColor="text1"/>
          <w:sz w:val="18"/>
          <w:szCs w:val="18"/>
        </w:rPr>
      </w:pPr>
      <w:r>
        <w:rPr>
          <w:rFonts w:ascii="Verdana" w:hAnsi="Verdana"/>
          <w:color w:val="000000" w:themeColor="text1"/>
          <w:sz w:val="18"/>
          <w:szCs w:val="18"/>
        </w:rPr>
        <w:t xml:space="preserve">Figure 4 above </w:t>
      </w:r>
      <w:r w:rsidR="007600F1" w:rsidRPr="007600F1">
        <w:rPr>
          <w:rFonts w:ascii="Verdana" w:hAnsi="Verdana"/>
          <w:color w:val="000000" w:themeColor="text1"/>
          <w:sz w:val="18"/>
          <w:szCs w:val="18"/>
        </w:rPr>
        <w:t xml:space="preserve">presents the predicted versus actual values of the USD </w:t>
      </w:r>
      <w:proofErr w:type="spellStart"/>
      <w:r w:rsidR="007600F1" w:rsidRPr="007600F1">
        <w:rPr>
          <w:rFonts w:ascii="Verdana" w:hAnsi="Verdana"/>
          <w:color w:val="000000" w:themeColor="text1"/>
          <w:sz w:val="18"/>
          <w:szCs w:val="18"/>
        </w:rPr>
        <w:t>misvaluation</w:t>
      </w:r>
      <w:proofErr w:type="spellEnd"/>
      <w:r w:rsidR="007600F1" w:rsidRPr="007600F1">
        <w:rPr>
          <w:rFonts w:ascii="Verdana" w:hAnsi="Verdana"/>
          <w:color w:val="000000" w:themeColor="text1"/>
          <w:sz w:val="18"/>
          <w:szCs w:val="18"/>
        </w:rPr>
        <w:t xml:space="preserve"> index using the </w:t>
      </w:r>
      <w:proofErr w:type="spellStart"/>
      <w:r w:rsidR="007600F1" w:rsidRPr="007600F1">
        <w:rPr>
          <w:rFonts w:ascii="Verdana" w:hAnsi="Verdana"/>
          <w:color w:val="000000" w:themeColor="text1"/>
          <w:sz w:val="18"/>
          <w:szCs w:val="18"/>
        </w:rPr>
        <w:t>RidgeCV</w:t>
      </w:r>
      <w:proofErr w:type="spellEnd"/>
      <w:r w:rsidR="007600F1" w:rsidRPr="007600F1">
        <w:rPr>
          <w:rFonts w:ascii="Verdana" w:hAnsi="Verdana"/>
          <w:color w:val="000000" w:themeColor="text1"/>
          <w:sz w:val="18"/>
          <w:szCs w:val="18"/>
        </w:rPr>
        <w:t xml:space="preserve"> regression model. The points cluster closely along the 45-degree reference line, indicating that the model captures a substantial share of the cross-sectional and temporal variation in normalized currency </w:t>
      </w:r>
      <w:proofErr w:type="spellStart"/>
      <w:r w:rsidR="007600F1" w:rsidRPr="007600F1">
        <w:rPr>
          <w:rFonts w:ascii="Verdana" w:hAnsi="Verdana"/>
          <w:color w:val="000000" w:themeColor="text1"/>
          <w:sz w:val="18"/>
          <w:szCs w:val="18"/>
        </w:rPr>
        <w:t>misvaluation</w:t>
      </w:r>
      <w:proofErr w:type="spellEnd"/>
      <w:r w:rsidR="007600F1" w:rsidRPr="007600F1">
        <w:rPr>
          <w:rFonts w:ascii="Verdana" w:hAnsi="Verdana"/>
          <w:color w:val="000000" w:themeColor="text1"/>
          <w:sz w:val="18"/>
          <w:szCs w:val="18"/>
        </w:rPr>
        <w:t>. This alignment suggests that PPP-adjusted Big Mac prices, combined with GDP per capita and country/year fixed effects, provide a strong basis for explaining valuation outcomes. The dispersion around the diagonal, however, highlights that while the model approximates parity relationships effectively, there remain systematic deviations attributable to country-specific shocks and institutional factors not captured in the predictors.</w:t>
      </w:r>
    </w:p>
    <w:p w14:paraId="2DA2D5DF" w14:textId="6B0979CE" w:rsidR="00BF5E7B" w:rsidRPr="007600F1" w:rsidRDefault="00BF5E7B" w:rsidP="00BF5E7B">
      <w:pPr>
        <w:jc w:val="both"/>
        <w:rPr>
          <w:rFonts w:ascii="Verdana" w:hAnsi="Verdana"/>
          <w:color w:val="000000" w:themeColor="text1"/>
          <w:sz w:val="18"/>
          <w:szCs w:val="18"/>
        </w:rPr>
      </w:pPr>
      <w:r>
        <w:rPr>
          <w:noProof/>
        </w:rPr>
        <w:drawing>
          <wp:inline distT="0" distB="0" distL="0" distR="0" wp14:anchorId="6592B790" wp14:editId="00B3B89F">
            <wp:extent cx="2834640" cy="2118360"/>
            <wp:effectExtent l="0" t="0" r="0" b="2540"/>
            <wp:docPr id="2068476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4640" cy="2118360"/>
                    </a:xfrm>
                    <a:prstGeom prst="rect">
                      <a:avLst/>
                    </a:prstGeom>
                    <a:noFill/>
                    <a:ln>
                      <a:noFill/>
                    </a:ln>
                  </pic:spPr>
                </pic:pic>
              </a:graphicData>
            </a:graphic>
          </wp:inline>
        </w:drawing>
      </w:r>
    </w:p>
    <w:p w14:paraId="3361C284" w14:textId="486FFF52" w:rsidR="00BF5E7B" w:rsidRDefault="00BF5E7B" w:rsidP="007600F1">
      <w:pPr>
        <w:jc w:val="both"/>
        <w:rPr>
          <w:rFonts w:ascii="Verdana" w:hAnsi="Verdana"/>
          <w:color w:val="000000" w:themeColor="text1"/>
          <w:sz w:val="18"/>
          <w:szCs w:val="18"/>
        </w:rPr>
      </w:pPr>
      <w:r>
        <w:rPr>
          <w:noProof/>
        </w:rPr>
        <w:drawing>
          <wp:inline distT="0" distB="0" distL="0" distR="0" wp14:anchorId="0BA2BD91" wp14:editId="2CE5A33A">
            <wp:extent cx="2834640" cy="2118360"/>
            <wp:effectExtent l="0" t="0" r="0" b="2540"/>
            <wp:docPr id="160554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4640" cy="2118360"/>
                    </a:xfrm>
                    <a:prstGeom prst="rect">
                      <a:avLst/>
                    </a:prstGeom>
                    <a:noFill/>
                    <a:ln>
                      <a:noFill/>
                    </a:ln>
                  </pic:spPr>
                </pic:pic>
              </a:graphicData>
            </a:graphic>
          </wp:inline>
        </w:drawing>
      </w:r>
    </w:p>
    <w:p w14:paraId="41B83846" w14:textId="57DB5F9F" w:rsidR="00D408F0" w:rsidRPr="00D408F0" w:rsidRDefault="00D408F0" w:rsidP="00D408F0">
      <w:pPr>
        <w:jc w:val="center"/>
        <w:rPr>
          <w:rFonts w:ascii="Verdana" w:hAnsi="Verdana"/>
          <w:i/>
          <w:iCs/>
          <w:color w:val="000000" w:themeColor="text1"/>
          <w:sz w:val="18"/>
          <w:szCs w:val="18"/>
        </w:rPr>
      </w:pPr>
      <w:r w:rsidRPr="00D408F0">
        <w:rPr>
          <w:rFonts w:ascii="Verdana" w:hAnsi="Verdana"/>
          <w:i/>
          <w:iCs/>
          <w:color w:val="000000" w:themeColor="text1"/>
          <w:sz w:val="18"/>
          <w:szCs w:val="18"/>
        </w:rPr>
        <w:t>Figure</w:t>
      </w:r>
      <w:r w:rsidRPr="00D408F0">
        <w:rPr>
          <w:rFonts w:ascii="Verdana" w:hAnsi="Verdana"/>
          <w:i/>
          <w:iCs/>
          <w:color w:val="000000" w:themeColor="text1"/>
          <w:sz w:val="18"/>
          <w:szCs w:val="18"/>
        </w:rPr>
        <w:t>s 5 &amp; 6</w:t>
      </w:r>
      <w:r w:rsidRPr="00D408F0">
        <w:rPr>
          <w:rFonts w:ascii="Verdana" w:hAnsi="Verdana"/>
          <w:i/>
          <w:iCs/>
          <w:color w:val="000000" w:themeColor="text1"/>
          <w:sz w:val="18"/>
          <w:szCs w:val="18"/>
        </w:rPr>
        <w:t xml:space="preserve">. Distribution of model residuals from the </w:t>
      </w:r>
      <w:proofErr w:type="spellStart"/>
      <w:r w:rsidRPr="00D408F0">
        <w:rPr>
          <w:rFonts w:ascii="Verdana" w:hAnsi="Verdana"/>
          <w:i/>
          <w:iCs/>
          <w:color w:val="000000" w:themeColor="text1"/>
          <w:sz w:val="18"/>
          <w:szCs w:val="18"/>
        </w:rPr>
        <w:t>RidgeCV</w:t>
      </w:r>
      <w:proofErr w:type="spellEnd"/>
      <w:r>
        <w:rPr>
          <w:rFonts w:ascii="Verdana" w:hAnsi="Verdana"/>
          <w:i/>
          <w:iCs/>
          <w:color w:val="000000" w:themeColor="text1"/>
          <w:sz w:val="18"/>
          <w:szCs w:val="18"/>
        </w:rPr>
        <w:t xml:space="preserve"> and OLS</w:t>
      </w:r>
      <w:r w:rsidRPr="00D408F0">
        <w:rPr>
          <w:rFonts w:ascii="Verdana" w:hAnsi="Verdana"/>
          <w:i/>
          <w:iCs/>
          <w:color w:val="000000" w:themeColor="text1"/>
          <w:sz w:val="18"/>
          <w:szCs w:val="18"/>
        </w:rPr>
        <w:t xml:space="preserve"> regression. Residuals are centered near zero, with a bell-shaped </w:t>
      </w:r>
      <w:r w:rsidRPr="00D408F0">
        <w:rPr>
          <w:rFonts w:ascii="Verdana" w:hAnsi="Verdana"/>
          <w:i/>
          <w:iCs/>
          <w:color w:val="000000" w:themeColor="text1"/>
          <w:sz w:val="18"/>
          <w:szCs w:val="18"/>
        </w:rPr>
        <w:lastRenderedPageBreak/>
        <w:t>distribution, suggesting that the model errors are relatively symmetric and unbiased overall. The spread of residuals indicates moderate variability around the predicted values, consistent with unobserved macroeconomic factors that influence currency valuations beyond those captured by the Big Mac Index and GDP adjustments.</w:t>
      </w:r>
    </w:p>
    <w:p w14:paraId="5255B4F7" w14:textId="77777777" w:rsidR="00D408F0" w:rsidRDefault="00D408F0" w:rsidP="00D408F0">
      <w:pPr>
        <w:jc w:val="center"/>
        <w:rPr>
          <w:rFonts w:ascii="Verdana" w:hAnsi="Verdana"/>
          <w:i/>
          <w:iCs/>
          <w:color w:val="000000" w:themeColor="text1"/>
          <w:sz w:val="18"/>
          <w:szCs w:val="18"/>
        </w:rPr>
      </w:pPr>
    </w:p>
    <w:p w14:paraId="47FCE639" w14:textId="6EE90784" w:rsidR="007600F1" w:rsidRPr="007600F1" w:rsidRDefault="007600F1" w:rsidP="007600F1">
      <w:pPr>
        <w:jc w:val="both"/>
        <w:rPr>
          <w:rFonts w:ascii="Verdana" w:hAnsi="Verdana"/>
          <w:color w:val="000000" w:themeColor="text1"/>
          <w:sz w:val="18"/>
          <w:szCs w:val="18"/>
        </w:rPr>
      </w:pPr>
      <w:r w:rsidRPr="007600F1">
        <w:rPr>
          <w:rFonts w:ascii="Verdana" w:hAnsi="Verdana"/>
          <w:color w:val="000000" w:themeColor="text1"/>
          <w:sz w:val="18"/>
          <w:szCs w:val="18"/>
        </w:rPr>
        <w:t xml:space="preserve">To better assess model accuracy, Figure </w:t>
      </w:r>
      <w:r w:rsidR="00D408F0" w:rsidRPr="00D408F0">
        <w:rPr>
          <w:rFonts w:ascii="Verdana" w:hAnsi="Verdana"/>
          <w:color w:val="000000" w:themeColor="text1"/>
          <w:sz w:val="18"/>
          <w:szCs w:val="18"/>
        </w:rPr>
        <w:t>5</w:t>
      </w:r>
      <w:r w:rsidRPr="007600F1">
        <w:rPr>
          <w:rFonts w:ascii="Verdana" w:hAnsi="Verdana"/>
          <w:color w:val="000000" w:themeColor="text1"/>
          <w:sz w:val="18"/>
          <w:szCs w:val="18"/>
        </w:rPr>
        <w:t xml:space="preserve"> displays the distribution of residuals. Residuals are centered near zero and approximately symmetric, consistent with unbiased errors. The spread of the residuals indicates moderate</w:t>
      </w:r>
      <w:r w:rsidR="00D408F0">
        <w:rPr>
          <w:rFonts w:ascii="Verdana" w:hAnsi="Verdana"/>
          <w:color w:val="000000" w:themeColor="text1"/>
          <w:sz w:val="18"/>
          <w:szCs w:val="18"/>
        </w:rPr>
        <w:t xml:space="preserve"> </w:t>
      </w:r>
      <w:r w:rsidRPr="007600F1">
        <w:rPr>
          <w:rFonts w:ascii="Verdana" w:hAnsi="Verdana"/>
          <w:color w:val="000000" w:themeColor="text1"/>
          <w:sz w:val="18"/>
          <w:szCs w:val="18"/>
        </w:rPr>
        <w:t xml:space="preserve">variability around predicted values, which reflects the presence of unobserved macroeconomic or policy drivers that extend beyond price-based fundamentals. The relatively tight clustering around zero also confirms that the </w:t>
      </w:r>
      <w:proofErr w:type="spellStart"/>
      <w:r w:rsidRPr="007600F1">
        <w:rPr>
          <w:rFonts w:ascii="Verdana" w:hAnsi="Verdana"/>
          <w:color w:val="000000" w:themeColor="text1"/>
          <w:sz w:val="18"/>
          <w:szCs w:val="18"/>
        </w:rPr>
        <w:t>RidgeCV</w:t>
      </w:r>
      <w:proofErr w:type="spellEnd"/>
      <w:r w:rsidRPr="007600F1">
        <w:rPr>
          <w:rFonts w:ascii="Verdana" w:hAnsi="Verdana"/>
          <w:color w:val="000000" w:themeColor="text1"/>
          <w:sz w:val="18"/>
          <w:szCs w:val="18"/>
        </w:rPr>
        <w:t xml:space="preserve"> specification meaningfully improves on the plain linear regression baseline, which produced larger and more dispersed errors.</w:t>
      </w:r>
      <w:r w:rsidR="00BF5E7B" w:rsidRPr="00BF5E7B">
        <w:rPr>
          <w:noProof/>
        </w:rPr>
        <w:t xml:space="preserve"> </w:t>
      </w:r>
      <w:r w:rsidR="00BF5E7B">
        <w:rPr>
          <w:noProof/>
        </w:rPr>
        <w:drawing>
          <wp:inline distT="0" distB="0" distL="0" distR="0" wp14:anchorId="2E42EB4C" wp14:editId="43E114BE">
            <wp:extent cx="2834640" cy="1691005"/>
            <wp:effectExtent l="0" t="0" r="0" b="0"/>
            <wp:docPr id="763527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4640" cy="1691005"/>
                    </a:xfrm>
                    <a:prstGeom prst="rect">
                      <a:avLst/>
                    </a:prstGeom>
                    <a:noFill/>
                    <a:ln>
                      <a:noFill/>
                    </a:ln>
                  </pic:spPr>
                </pic:pic>
              </a:graphicData>
            </a:graphic>
          </wp:inline>
        </w:drawing>
      </w:r>
    </w:p>
    <w:p w14:paraId="3D4B55AD" w14:textId="08678BD0" w:rsidR="00D408F0" w:rsidRDefault="006D0083" w:rsidP="00D408F0">
      <w:pPr>
        <w:jc w:val="center"/>
        <w:rPr>
          <w:rFonts w:ascii="Verdana" w:hAnsi="Verdana"/>
          <w:i/>
          <w:iCs/>
          <w:color w:val="000000" w:themeColor="text1"/>
          <w:sz w:val="18"/>
          <w:szCs w:val="18"/>
        </w:rPr>
      </w:pPr>
      <w:r>
        <w:rPr>
          <w:noProof/>
        </w:rPr>
        <w:drawing>
          <wp:inline distT="0" distB="0" distL="0" distR="0" wp14:anchorId="02F08118" wp14:editId="03588ACA">
            <wp:extent cx="2834640" cy="1691005"/>
            <wp:effectExtent l="0" t="0" r="0" b="0"/>
            <wp:docPr id="520193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4640" cy="1691005"/>
                    </a:xfrm>
                    <a:prstGeom prst="rect">
                      <a:avLst/>
                    </a:prstGeom>
                    <a:noFill/>
                    <a:ln>
                      <a:noFill/>
                    </a:ln>
                  </pic:spPr>
                </pic:pic>
              </a:graphicData>
            </a:graphic>
          </wp:inline>
        </w:drawing>
      </w:r>
    </w:p>
    <w:p w14:paraId="226BFF3B" w14:textId="214230D8" w:rsidR="00D408F0" w:rsidRPr="006D0083" w:rsidRDefault="00D408F0" w:rsidP="006D0083">
      <w:pPr>
        <w:jc w:val="center"/>
        <w:rPr>
          <w:rFonts w:ascii="Verdana" w:hAnsi="Verdana"/>
          <w:i/>
          <w:iCs/>
          <w:color w:val="000000" w:themeColor="text1"/>
          <w:sz w:val="18"/>
          <w:szCs w:val="18"/>
        </w:rPr>
      </w:pPr>
      <w:r w:rsidRPr="00D408F0">
        <w:rPr>
          <w:rFonts w:ascii="Verdana" w:hAnsi="Verdana"/>
          <w:i/>
          <w:iCs/>
          <w:color w:val="000000" w:themeColor="text1"/>
          <w:sz w:val="18"/>
          <w:szCs w:val="18"/>
        </w:rPr>
        <w:t xml:space="preserve">Figure </w:t>
      </w:r>
      <w:r>
        <w:rPr>
          <w:rFonts w:ascii="Verdana" w:hAnsi="Verdana"/>
          <w:i/>
          <w:iCs/>
          <w:color w:val="000000" w:themeColor="text1"/>
          <w:sz w:val="18"/>
          <w:szCs w:val="18"/>
        </w:rPr>
        <w:t>6</w:t>
      </w:r>
      <w:r w:rsidRPr="00D408F0">
        <w:rPr>
          <w:rFonts w:ascii="Verdana" w:hAnsi="Verdana"/>
          <w:i/>
          <w:iCs/>
          <w:color w:val="000000" w:themeColor="text1"/>
          <w:sz w:val="18"/>
          <w:szCs w:val="18"/>
        </w:rPr>
        <w:t xml:space="preserve">. Boxplots of residuals grouped by country for the twelve economies with the largest average model misfit. Positive residuals indicate systematic underprediction of currency </w:t>
      </w:r>
      <w:proofErr w:type="spellStart"/>
      <w:r w:rsidRPr="00D408F0">
        <w:rPr>
          <w:rFonts w:ascii="Verdana" w:hAnsi="Verdana"/>
          <w:i/>
          <w:iCs/>
          <w:color w:val="000000" w:themeColor="text1"/>
          <w:sz w:val="18"/>
          <w:szCs w:val="18"/>
        </w:rPr>
        <w:t>misvaluation</w:t>
      </w:r>
      <w:proofErr w:type="spellEnd"/>
      <w:r w:rsidRPr="00D408F0">
        <w:rPr>
          <w:rFonts w:ascii="Verdana" w:hAnsi="Verdana"/>
          <w:i/>
          <w:iCs/>
          <w:color w:val="000000" w:themeColor="text1"/>
          <w:sz w:val="18"/>
          <w:szCs w:val="18"/>
        </w:rPr>
        <w:t>, while negative residuals indicate overprediction. The concentration of large residuals in certain countries (e.g., those experiencing inflationary pressures or non-market interventions) demonstrates that institutional and policy factors drive persistent deviations from PPP, which linear models alone cannot fully capture.</w:t>
      </w:r>
    </w:p>
    <w:p w14:paraId="4C18E189" w14:textId="28863FF6" w:rsidR="007600F1" w:rsidRDefault="007600F1" w:rsidP="007600F1">
      <w:pPr>
        <w:jc w:val="both"/>
        <w:rPr>
          <w:rFonts w:ascii="Verdana" w:hAnsi="Verdana"/>
          <w:color w:val="000000" w:themeColor="text1"/>
          <w:sz w:val="18"/>
          <w:szCs w:val="18"/>
        </w:rPr>
      </w:pPr>
      <w:r w:rsidRPr="007600F1">
        <w:rPr>
          <w:rFonts w:ascii="Verdana" w:hAnsi="Verdana"/>
          <w:color w:val="000000" w:themeColor="text1"/>
          <w:sz w:val="18"/>
          <w:szCs w:val="18"/>
        </w:rPr>
        <w:t xml:space="preserve">Residual patterns are further explored in Figure </w:t>
      </w:r>
      <w:r w:rsidR="00D408F0">
        <w:rPr>
          <w:rFonts w:ascii="Verdana" w:hAnsi="Verdana"/>
          <w:color w:val="000000" w:themeColor="text1"/>
          <w:sz w:val="18"/>
          <w:szCs w:val="18"/>
        </w:rPr>
        <w:t>6</w:t>
      </w:r>
      <w:r w:rsidRPr="007600F1">
        <w:rPr>
          <w:rFonts w:ascii="Verdana" w:hAnsi="Verdana"/>
          <w:color w:val="000000" w:themeColor="text1"/>
          <w:sz w:val="18"/>
          <w:szCs w:val="18"/>
        </w:rPr>
        <w:t xml:space="preserve">, which groups prediction errors by country for the twelve economies with the largest average misfit. Several countries exhibit systematic underprediction or overprediction of </w:t>
      </w:r>
      <w:proofErr w:type="spellStart"/>
      <w:r w:rsidRPr="007600F1">
        <w:rPr>
          <w:rFonts w:ascii="Verdana" w:hAnsi="Verdana"/>
          <w:color w:val="000000" w:themeColor="text1"/>
          <w:sz w:val="18"/>
          <w:szCs w:val="18"/>
        </w:rPr>
        <w:t>misvaluation</w:t>
      </w:r>
      <w:proofErr w:type="spellEnd"/>
      <w:r w:rsidRPr="007600F1">
        <w:rPr>
          <w:rFonts w:ascii="Verdana" w:hAnsi="Verdana"/>
          <w:color w:val="000000" w:themeColor="text1"/>
          <w:sz w:val="18"/>
          <w:szCs w:val="18"/>
        </w:rPr>
        <w:t>, suggesting structural biases in how the model interprets Big Mac pricing relative to actual exchange rate behavior. Economies with histories of inflationary volatility, exchange-rate interventions, or non-market policy distortions are disproportionately represented among those with large residuals. These findings reinforce the idea that PPP-based measures, while informative, cannot fully account for political, institutional, or crisis-driven deviations in currency markets.</w:t>
      </w:r>
    </w:p>
    <w:p w14:paraId="63FCBD02" w14:textId="77777777" w:rsidR="00D408F0" w:rsidRDefault="00D408F0" w:rsidP="007600F1">
      <w:pPr>
        <w:jc w:val="both"/>
        <w:rPr>
          <w:rFonts w:ascii="Verdana" w:hAnsi="Verdana"/>
          <w:color w:val="000000" w:themeColor="text1"/>
          <w:sz w:val="18"/>
          <w:szCs w:val="18"/>
        </w:rPr>
      </w:pPr>
    </w:p>
    <w:p w14:paraId="2D3BCA9F" w14:textId="77777777" w:rsidR="00D408F0" w:rsidRDefault="00D408F0" w:rsidP="00D408F0">
      <w:pPr>
        <w:jc w:val="both"/>
        <w:rPr>
          <w:rFonts w:ascii="Verdana" w:hAnsi="Verdana"/>
          <w:b/>
          <w:bCs/>
          <w:color w:val="000000" w:themeColor="text1"/>
          <w:sz w:val="18"/>
          <w:szCs w:val="18"/>
        </w:rPr>
      </w:pPr>
      <w:r>
        <w:rPr>
          <w:noProof/>
        </w:rPr>
        <w:drawing>
          <wp:inline distT="0" distB="0" distL="0" distR="0" wp14:anchorId="44EB1321" wp14:editId="0949B335">
            <wp:extent cx="2834640" cy="1407160"/>
            <wp:effectExtent l="0" t="0" r="0" b="2540"/>
            <wp:docPr id="208828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4640" cy="1407160"/>
                    </a:xfrm>
                    <a:prstGeom prst="rect">
                      <a:avLst/>
                    </a:prstGeom>
                    <a:noFill/>
                    <a:ln>
                      <a:noFill/>
                    </a:ln>
                  </pic:spPr>
                </pic:pic>
              </a:graphicData>
            </a:graphic>
          </wp:inline>
        </w:drawing>
      </w:r>
    </w:p>
    <w:p w14:paraId="3D5AE3AB" w14:textId="2AC7D876" w:rsidR="00D408F0" w:rsidRDefault="00D408F0" w:rsidP="00D408F0">
      <w:pPr>
        <w:jc w:val="center"/>
        <w:rPr>
          <w:rFonts w:ascii="Verdana" w:hAnsi="Verdana"/>
          <w:i/>
          <w:iCs/>
          <w:color w:val="000000" w:themeColor="text1"/>
          <w:sz w:val="18"/>
          <w:szCs w:val="18"/>
        </w:rPr>
      </w:pPr>
      <w:r>
        <w:rPr>
          <w:noProof/>
        </w:rPr>
        <w:drawing>
          <wp:inline distT="0" distB="0" distL="0" distR="0" wp14:anchorId="5D4EBE6F" wp14:editId="32E51F07">
            <wp:extent cx="2834640" cy="1407160"/>
            <wp:effectExtent l="0" t="0" r="0" b="2540"/>
            <wp:docPr id="8116578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4640" cy="1407160"/>
                    </a:xfrm>
                    <a:prstGeom prst="rect">
                      <a:avLst/>
                    </a:prstGeom>
                    <a:noFill/>
                    <a:ln>
                      <a:noFill/>
                    </a:ln>
                  </pic:spPr>
                </pic:pic>
              </a:graphicData>
            </a:graphic>
          </wp:inline>
        </w:drawing>
      </w:r>
    </w:p>
    <w:p w14:paraId="34D6BDCA" w14:textId="7C2BF4CA" w:rsidR="00D408F0" w:rsidRDefault="00D408F0" w:rsidP="00D408F0">
      <w:pPr>
        <w:jc w:val="center"/>
        <w:rPr>
          <w:rFonts w:ascii="Verdana" w:hAnsi="Verdana"/>
          <w:i/>
          <w:iCs/>
          <w:color w:val="000000" w:themeColor="text1"/>
          <w:sz w:val="18"/>
          <w:szCs w:val="18"/>
        </w:rPr>
      </w:pPr>
      <w:r w:rsidRPr="00D408F0">
        <w:rPr>
          <w:rFonts w:ascii="Verdana" w:hAnsi="Verdana"/>
          <w:i/>
          <w:iCs/>
          <w:color w:val="000000" w:themeColor="text1"/>
          <w:sz w:val="18"/>
          <w:szCs w:val="18"/>
        </w:rPr>
        <w:t xml:space="preserve">Figure </w:t>
      </w:r>
      <w:r>
        <w:rPr>
          <w:rFonts w:ascii="Verdana" w:hAnsi="Verdana"/>
          <w:i/>
          <w:iCs/>
          <w:color w:val="000000" w:themeColor="text1"/>
          <w:sz w:val="18"/>
          <w:szCs w:val="18"/>
        </w:rPr>
        <w:t>7</w:t>
      </w:r>
      <w:r w:rsidRPr="00D408F0">
        <w:rPr>
          <w:rFonts w:ascii="Verdana" w:hAnsi="Verdana"/>
          <w:i/>
          <w:iCs/>
          <w:color w:val="000000" w:themeColor="text1"/>
          <w:sz w:val="18"/>
          <w:szCs w:val="18"/>
        </w:rPr>
        <w:t>. Average residuals plotted across time periods, with a rolling mean overlay for the top five countries by absolute misfit. The temporal pattern shows that residuals are generally stable, but widen significantly during episodes of financial crisis or macroeconomic disruption. This suggests that while the model captures structural parity relationships, its accuracy diminishes when external shocks dominate currency movements.</w:t>
      </w:r>
    </w:p>
    <w:p w14:paraId="6585FB9C" w14:textId="77777777" w:rsidR="00D408F0" w:rsidRPr="007600F1" w:rsidRDefault="00D408F0" w:rsidP="00D408F0">
      <w:pPr>
        <w:jc w:val="both"/>
        <w:rPr>
          <w:rFonts w:ascii="Verdana" w:hAnsi="Verdana"/>
          <w:color w:val="000000" w:themeColor="text1"/>
          <w:sz w:val="18"/>
          <w:szCs w:val="18"/>
        </w:rPr>
      </w:pPr>
    </w:p>
    <w:p w14:paraId="042E64CB" w14:textId="268BF3A8" w:rsidR="1A4A2EAC" w:rsidRPr="00D408F0" w:rsidRDefault="007600F1" w:rsidP="1A4A2EAC">
      <w:pPr>
        <w:jc w:val="both"/>
        <w:rPr>
          <w:rFonts w:ascii="Verdana" w:hAnsi="Verdana"/>
          <w:color w:val="000000" w:themeColor="text1"/>
          <w:sz w:val="18"/>
          <w:szCs w:val="18"/>
        </w:rPr>
      </w:pPr>
      <w:r w:rsidRPr="007600F1">
        <w:rPr>
          <w:rFonts w:ascii="Verdana" w:hAnsi="Verdana"/>
          <w:color w:val="000000" w:themeColor="text1"/>
          <w:sz w:val="18"/>
          <w:szCs w:val="18"/>
        </w:rPr>
        <w:t xml:space="preserve">Finally, Figure </w:t>
      </w:r>
      <w:r w:rsidR="00D408F0">
        <w:rPr>
          <w:rFonts w:ascii="Verdana" w:hAnsi="Verdana"/>
          <w:color w:val="000000" w:themeColor="text1"/>
          <w:sz w:val="18"/>
          <w:szCs w:val="18"/>
        </w:rPr>
        <w:t>7</w:t>
      </w:r>
      <w:r w:rsidRPr="007600F1">
        <w:rPr>
          <w:rFonts w:ascii="Verdana" w:hAnsi="Verdana"/>
          <w:color w:val="000000" w:themeColor="text1"/>
          <w:sz w:val="18"/>
          <w:szCs w:val="18"/>
        </w:rPr>
        <w:t xml:space="preserve"> plots residuals over time, both in aggregate and for the five countries with the highest average misfit. The results show that model performance is relatively stable during periods of economic normalcy but deteriorates during episodes of financial crisis or macroeconomic disruption. For example, widening residuals are evident in years corresponding to global downturns or local currency crises, underscoring the sensitivity of PPP-based models to exogenous shocks. This </w:t>
      </w:r>
      <w:r w:rsidRPr="007600F1">
        <w:rPr>
          <w:rFonts w:ascii="Verdana" w:hAnsi="Verdana"/>
          <w:color w:val="000000" w:themeColor="text1"/>
          <w:sz w:val="18"/>
          <w:szCs w:val="18"/>
        </w:rPr>
        <w:lastRenderedPageBreak/>
        <w:t>temporal analysis emphasizes that while the Big Mac Index provides a useful framework for benchmarking relative currency valuations, it is less effective in periods dominated by crisis dynamics rather than market fundamentals.</w:t>
      </w:r>
    </w:p>
    <w:p w14:paraId="21892E6F" w14:textId="22E4A191" w:rsidR="67BB6EEA" w:rsidRDefault="67BB6EEA" w:rsidP="67BB6EEA">
      <w:pPr>
        <w:jc w:val="center"/>
        <w:rPr>
          <w:rFonts w:ascii="Verdana" w:hAnsi="Verdana"/>
          <w:b/>
          <w:bCs/>
          <w:sz w:val="18"/>
          <w:szCs w:val="18"/>
        </w:rPr>
      </w:pPr>
    </w:p>
    <w:p w14:paraId="2DF3A88C" w14:textId="1E0C12B5" w:rsidR="003F21D1" w:rsidRPr="00872EAB" w:rsidRDefault="0014173E" w:rsidP="003F21D1">
      <w:pPr>
        <w:jc w:val="center"/>
        <w:rPr>
          <w:rFonts w:ascii="Verdana" w:hAnsi="Verdana"/>
          <w:sz w:val="18"/>
          <w:szCs w:val="18"/>
        </w:rPr>
      </w:pPr>
      <w:r>
        <w:rPr>
          <w:rFonts w:ascii="Verdana" w:hAnsi="Verdana"/>
          <w:b/>
          <w:bCs/>
          <w:sz w:val="18"/>
          <w:szCs w:val="18"/>
        </w:rPr>
        <w:t>10</w:t>
      </w:r>
      <w:r w:rsidR="003F21D1" w:rsidRPr="1A4A2EAC">
        <w:rPr>
          <w:rFonts w:ascii="Verdana" w:hAnsi="Verdana"/>
          <w:b/>
          <w:bCs/>
          <w:sz w:val="18"/>
          <w:szCs w:val="18"/>
        </w:rPr>
        <w:t>.</w:t>
      </w:r>
      <w:r w:rsidR="003F21D1" w:rsidRPr="1A4A2EAC">
        <w:rPr>
          <w:rFonts w:ascii="Verdana" w:hAnsi="Verdana"/>
          <w:sz w:val="18"/>
          <w:szCs w:val="18"/>
        </w:rPr>
        <w:t xml:space="preserve"> </w:t>
      </w:r>
      <w:r w:rsidR="003F21D1" w:rsidRPr="1A4A2EAC">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70D4FE99" w14:textId="0391690A" w:rsidR="61D9351B" w:rsidRDefault="61D9351B" w:rsidP="2C422C32">
      <w:pPr>
        <w:spacing w:before="120"/>
        <w:ind w:left="360" w:hanging="360"/>
        <w:jc w:val="both"/>
        <w:rPr>
          <w:rFonts w:ascii="Verdana" w:eastAsia="Verdana" w:hAnsi="Verdana" w:cs="Verdana"/>
          <w:sz w:val="18"/>
          <w:szCs w:val="18"/>
        </w:rPr>
      </w:pPr>
      <w:r w:rsidRPr="2C422C32">
        <w:rPr>
          <w:rFonts w:ascii="Verdana" w:hAnsi="Verdana"/>
          <w:sz w:val="18"/>
          <w:szCs w:val="18"/>
        </w:rPr>
        <w:t xml:space="preserve">Bezek, I. (16 Apr 2024). </w:t>
      </w:r>
      <w:r w:rsidRPr="2C422C32">
        <w:rPr>
          <w:rFonts w:ascii="Verdana" w:hAnsi="Verdana"/>
          <w:i/>
          <w:iCs/>
          <w:sz w:val="18"/>
          <w:szCs w:val="18"/>
        </w:rPr>
        <w:t xml:space="preserve">What Is Purchasing Power Parity? </w:t>
      </w:r>
      <w:r w:rsidRPr="2C422C32">
        <w:rPr>
          <w:rFonts w:ascii="Verdana" w:hAnsi="Verdana"/>
          <w:sz w:val="18"/>
          <w:szCs w:val="18"/>
        </w:rPr>
        <w:t xml:space="preserve">Seeking Alpha. </w:t>
      </w:r>
      <w:hyperlink r:id="rId28">
        <w:r w:rsidRPr="2C422C32">
          <w:rPr>
            <w:rStyle w:val="Hyperlink"/>
            <w:rFonts w:ascii="Verdana" w:eastAsia="Verdana" w:hAnsi="Verdana" w:cs="Verdana"/>
            <w:sz w:val="18"/>
            <w:szCs w:val="18"/>
          </w:rPr>
          <w:t>What Is Purchasing Power Parity? Definition, Meaning &amp; Examples | Seeking Alpha</w:t>
        </w:r>
      </w:hyperlink>
    </w:p>
    <w:p w14:paraId="4580D128" w14:textId="782E5848" w:rsidR="56A901EF" w:rsidRDefault="56A901EF" w:rsidP="2C422C32">
      <w:pPr>
        <w:spacing w:before="120"/>
        <w:ind w:left="360" w:hanging="360"/>
        <w:jc w:val="both"/>
        <w:rPr>
          <w:rFonts w:ascii="Verdana" w:eastAsia="Verdana" w:hAnsi="Verdana" w:cs="Verdana"/>
          <w:sz w:val="18"/>
          <w:szCs w:val="18"/>
        </w:rPr>
      </w:pPr>
      <w:proofErr w:type="spellStart"/>
      <w:r w:rsidRPr="2C422C32">
        <w:rPr>
          <w:rFonts w:ascii="Verdana" w:hAnsi="Verdana"/>
          <w:sz w:val="18"/>
          <w:szCs w:val="18"/>
        </w:rPr>
        <w:t>Dabbura</w:t>
      </w:r>
      <w:proofErr w:type="spellEnd"/>
      <w:r w:rsidRPr="2C422C32">
        <w:rPr>
          <w:rFonts w:ascii="Verdana" w:hAnsi="Verdana"/>
          <w:sz w:val="18"/>
          <w:szCs w:val="18"/>
        </w:rPr>
        <w:t>, I. (17 September 2018). K-means Clustering: Algorithm, Applications, Evaluation</w:t>
      </w:r>
      <w:r w:rsidR="6E87C05E" w:rsidRPr="2C422C32">
        <w:rPr>
          <w:rFonts w:ascii="Verdana" w:hAnsi="Verdana"/>
          <w:sz w:val="18"/>
          <w:szCs w:val="18"/>
        </w:rPr>
        <w:t xml:space="preserve"> Methods, and Drawbacks. Towards Data Science. </w:t>
      </w:r>
      <w:hyperlink r:id="rId29">
        <w:r w:rsidR="6E87C05E" w:rsidRPr="2C422C32">
          <w:rPr>
            <w:rStyle w:val="Hyperlink"/>
            <w:rFonts w:ascii="Verdana" w:eastAsia="Verdana" w:hAnsi="Verdana" w:cs="Verdana"/>
            <w:sz w:val="18"/>
            <w:szCs w:val="18"/>
          </w:rPr>
          <w:t>K-means Clustering: Algorithm, Applications, Evaluation Methods, and Drawbacks | Towards Data Science</w:t>
        </w:r>
      </w:hyperlink>
    </w:p>
    <w:p w14:paraId="231C6133" w14:textId="77777777" w:rsidR="00782A42" w:rsidRPr="00782A42" w:rsidRDefault="00782A42" w:rsidP="00782A42">
      <w:pPr>
        <w:spacing w:before="120"/>
        <w:ind w:left="360" w:hanging="360"/>
        <w:jc w:val="both"/>
        <w:rPr>
          <w:rFonts w:ascii="Verdana" w:hAnsi="Verdana"/>
          <w:sz w:val="18"/>
          <w:szCs w:val="18"/>
        </w:rPr>
      </w:pPr>
      <w:r w:rsidRPr="2C422C32">
        <w:rPr>
          <w:rFonts w:ascii="Verdana" w:hAnsi="Verdana"/>
          <w:sz w:val="18"/>
          <w:szCs w:val="18"/>
        </w:rPr>
        <w:t>Dataset (Kaggle):</w:t>
      </w:r>
      <w:r>
        <w:br/>
      </w:r>
      <w:r w:rsidRPr="2C422C32">
        <w:rPr>
          <w:rFonts w:ascii="Verdana" w:hAnsi="Verdana"/>
          <w:sz w:val="18"/>
          <w:szCs w:val="18"/>
        </w:rPr>
        <w:t>Justine231. (2024). </w:t>
      </w:r>
      <w:r w:rsidRPr="2C422C32">
        <w:rPr>
          <w:rFonts w:ascii="Verdana" w:hAnsi="Verdana"/>
          <w:i/>
          <w:iCs/>
          <w:sz w:val="18"/>
          <w:szCs w:val="18"/>
        </w:rPr>
        <w:t>Big Mac Index (2024)</w:t>
      </w:r>
      <w:r w:rsidRPr="2C422C32">
        <w:rPr>
          <w:rFonts w:ascii="Verdana" w:hAnsi="Verdana"/>
          <w:sz w:val="18"/>
          <w:szCs w:val="18"/>
        </w:rPr>
        <w:t> [Data set]. Kaggle. </w:t>
      </w:r>
      <w:hyperlink r:id="rId30">
        <w:r w:rsidRPr="2C422C32">
          <w:rPr>
            <w:rStyle w:val="Hyperlink"/>
            <w:rFonts w:ascii="Verdana" w:hAnsi="Verdana"/>
            <w:sz w:val="18"/>
            <w:szCs w:val="18"/>
          </w:rPr>
          <w:t>https://www.kaggle.com/datasets/justine231/big-mac-index-2024</w:t>
        </w:r>
      </w:hyperlink>
    </w:p>
    <w:p w14:paraId="37A89D10" w14:textId="17F6F31F" w:rsidR="00782A42" w:rsidRPr="00782A42" w:rsidRDefault="59DBE2E6" w:rsidP="2C422C32">
      <w:pPr>
        <w:spacing w:before="120"/>
        <w:ind w:left="360" w:hanging="360"/>
        <w:jc w:val="both"/>
        <w:rPr>
          <w:rFonts w:ascii="Verdana" w:eastAsia="Verdana" w:hAnsi="Verdana" w:cs="Verdana"/>
          <w:sz w:val="18"/>
          <w:szCs w:val="18"/>
        </w:rPr>
      </w:pPr>
      <w:proofErr w:type="spellStart"/>
      <w:r w:rsidRPr="2C422C32">
        <w:rPr>
          <w:rFonts w:ascii="Verdana" w:eastAsia="Verdana" w:hAnsi="Verdana" w:cs="Verdana"/>
          <w:sz w:val="18"/>
          <w:szCs w:val="18"/>
        </w:rPr>
        <w:t>Nobanee</w:t>
      </w:r>
      <w:proofErr w:type="spellEnd"/>
      <w:r w:rsidRPr="2C422C32">
        <w:rPr>
          <w:rFonts w:ascii="Verdana" w:eastAsia="Verdana" w:hAnsi="Verdana" w:cs="Verdana"/>
          <w:sz w:val="18"/>
          <w:szCs w:val="18"/>
        </w:rPr>
        <w:t>, H., Vo, D. T. H., Trinh, H. H., &amp; Ullah, S. (2025)</w:t>
      </w:r>
      <w:r w:rsidRPr="2C422C32">
        <w:rPr>
          <w:rFonts w:ascii="Verdana" w:eastAsia="Verdana" w:hAnsi="Verdana" w:cs="Verdana"/>
          <w:b/>
          <w:bCs/>
          <w:sz w:val="18"/>
          <w:szCs w:val="18"/>
        </w:rPr>
        <w:t>.</w:t>
      </w:r>
      <w:r w:rsidRPr="2C422C32">
        <w:rPr>
          <w:rFonts w:ascii="Verdana" w:eastAsia="Verdana" w:hAnsi="Verdana" w:cs="Verdana"/>
          <w:sz w:val="18"/>
          <w:szCs w:val="18"/>
        </w:rPr>
        <w:t xml:space="preserve"> The Big Mac Index: A comprehensive bibliometric and systematic review. </w:t>
      </w:r>
      <w:r w:rsidRPr="2C422C32">
        <w:rPr>
          <w:rFonts w:ascii="Verdana" w:eastAsia="Verdana" w:hAnsi="Verdana" w:cs="Verdana"/>
          <w:i/>
          <w:iCs/>
          <w:sz w:val="18"/>
          <w:szCs w:val="18"/>
        </w:rPr>
        <w:t>Research in Globalization, 10</w:t>
      </w:r>
      <w:r w:rsidRPr="2C422C32">
        <w:rPr>
          <w:rFonts w:ascii="Verdana" w:eastAsia="Verdana" w:hAnsi="Verdana" w:cs="Verdana"/>
          <w:sz w:val="18"/>
          <w:szCs w:val="18"/>
        </w:rPr>
        <w:t xml:space="preserve">(3), 100269. </w:t>
      </w:r>
      <w:hyperlink r:id="rId31" w:anchor="s0025">
        <w:r w:rsidR="294556BD" w:rsidRPr="2C422C32">
          <w:rPr>
            <w:rStyle w:val="Hyperlink"/>
            <w:rFonts w:ascii="Verdana" w:eastAsia="Verdana" w:hAnsi="Verdana" w:cs="Verdana"/>
            <w:sz w:val="18"/>
            <w:szCs w:val="18"/>
          </w:rPr>
          <w:t>The Big Mac Index: A comprehensive bibliometric and systematic review - ScienceDirect</w:t>
        </w:r>
      </w:hyperlink>
    </w:p>
    <w:p w14:paraId="12C9B201" w14:textId="7832FA67" w:rsidR="00782A42" w:rsidRPr="00782A42" w:rsidRDefault="00782A42" w:rsidP="00782A42">
      <w:pPr>
        <w:spacing w:before="120"/>
        <w:ind w:left="360" w:hanging="360"/>
        <w:jc w:val="both"/>
        <w:rPr>
          <w:rFonts w:ascii="Verdana" w:hAnsi="Verdana"/>
          <w:sz w:val="18"/>
          <w:szCs w:val="18"/>
        </w:rPr>
      </w:pPr>
      <w:r w:rsidRPr="44BD66AB">
        <w:rPr>
          <w:rFonts w:ascii="Verdana" w:hAnsi="Verdana"/>
          <w:sz w:val="18"/>
          <w:szCs w:val="18"/>
        </w:rPr>
        <w:t>Original</w:t>
      </w:r>
      <w:r w:rsidR="47C43F78" w:rsidRPr="44BD66AB">
        <w:rPr>
          <w:rFonts w:ascii="Verdana" w:hAnsi="Verdana"/>
          <w:sz w:val="18"/>
          <w:szCs w:val="18"/>
        </w:rPr>
        <w:t xml:space="preserve"> source</w:t>
      </w:r>
      <w:r w:rsidRPr="44BD66AB">
        <w:rPr>
          <w:rFonts w:ascii="Verdana" w:hAnsi="Verdana"/>
          <w:sz w:val="18"/>
          <w:szCs w:val="18"/>
        </w:rPr>
        <w:t xml:space="preserve"> (The Economist):</w:t>
      </w:r>
      <w:r>
        <w:br/>
      </w:r>
      <w:r w:rsidRPr="44BD66AB">
        <w:rPr>
          <w:rFonts w:ascii="Verdana" w:hAnsi="Verdana"/>
          <w:sz w:val="18"/>
          <w:szCs w:val="18"/>
        </w:rPr>
        <w:t>The Economist. (2024). </w:t>
      </w:r>
      <w:r w:rsidRPr="44BD66AB">
        <w:rPr>
          <w:rFonts w:ascii="Verdana" w:hAnsi="Verdana"/>
          <w:i/>
          <w:iCs/>
          <w:sz w:val="18"/>
          <w:szCs w:val="18"/>
        </w:rPr>
        <w:t>The Big Mac Index</w:t>
      </w:r>
      <w:r w:rsidRPr="44BD66AB">
        <w:rPr>
          <w:rFonts w:ascii="Verdana" w:hAnsi="Verdana"/>
          <w:sz w:val="18"/>
          <w:szCs w:val="18"/>
        </w:rPr>
        <w:t>. https://www.economist.com/big-mac-index</w:t>
      </w:r>
    </w:p>
    <w:p w14:paraId="59CE4A1A" w14:textId="315DFDD7" w:rsidR="602E2AAC" w:rsidRDefault="602E2AAC" w:rsidP="44BD66AB">
      <w:pPr>
        <w:spacing w:before="120"/>
        <w:ind w:left="360" w:hanging="360"/>
        <w:jc w:val="both"/>
        <w:rPr>
          <w:rFonts w:ascii="Verdana" w:eastAsia="Verdana" w:hAnsi="Verdana" w:cs="Verdana"/>
          <w:sz w:val="18"/>
          <w:szCs w:val="18"/>
        </w:rPr>
      </w:pPr>
      <w:r w:rsidRPr="44BD66AB">
        <w:rPr>
          <w:rFonts w:ascii="Verdana" w:eastAsia="Verdana" w:hAnsi="Verdana" w:cs="Verdana"/>
          <w:sz w:val="18"/>
          <w:szCs w:val="18"/>
        </w:rPr>
        <w:t xml:space="preserve">Taylor, A. M., &amp; Taylor, M. P. (2004). The purchasing power parity debate. </w:t>
      </w:r>
      <w:r w:rsidRPr="44BD66AB">
        <w:rPr>
          <w:rFonts w:ascii="Verdana" w:eastAsia="Verdana" w:hAnsi="Verdana" w:cs="Verdana"/>
          <w:i/>
          <w:iCs/>
          <w:sz w:val="18"/>
          <w:szCs w:val="18"/>
        </w:rPr>
        <w:t>Journal of Economic Perspectives, 18</w:t>
      </w:r>
      <w:r w:rsidRPr="44BD66AB">
        <w:rPr>
          <w:rFonts w:ascii="Verdana" w:eastAsia="Verdana" w:hAnsi="Verdana" w:cs="Verdana"/>
          <w:sz w:val="18"/>
          <w:szCs w:val="18"/>
        </w:rPr>
        <w:t xml:space="preserve">(4), 135–158. </w:t>
      </w:r>
      <w:hyperlink r:id="rId32">
        <w:r w:rsidR="5E06EEFE" w:rsidRPr="44BD66AB">
          <w:rPr>
            <w:rStyle w:val="Hyperlink"/>
            <w:rFonts w:ascii="Verdana" w:eastAsia="Verdana" w:hAnsi="Verdana" w:cs="Verdana"/>
            <w:sz w:val="18"/>
            <w:szCs w:val="18"/>
          </w:rPr>
          <w:t>The Purchasing Power Parity Debate - American Economic Association</w:t>
        </w:r>
      </w:hyperlink>
    </w:p>
    <w:p w14:paraId="0187598C" w14:textId="5196C57A" w:rsidR="2C422C32" w:rsidRDefault="2C422C32" w:rsidP="2C422C32">
      <w:pPr>
        <w:spacing w:before="120"/>
        <w:ind w:left="360" w:hanging="360"/>
        <w:jc w:val="both"/>
        <w:rPr>
          <w:rFonts w:ascii="Verdana" w:hAnsi="Verdana"/>
          <w:sz w:val="18"/>
          <w:szCs w:val="18"/>
        </w:rPr>
      </w:pPr>
    </w:p>
    <w:p w14:paraId="6D90DFCD" w14:textId="37F3E81D" w:rsidR="52E1A9FF" w:rsidRDefault="52E1A9FF" w:rsidP="00782A42">
      <w:pPr>
        <w:spacing w:before="120"/>
        <w:ind w:left="360" w:hanging="360"/>
        <w:jc w:val="both"/>
      </w:pPr>
    </w:p>
    <w:sectPr w:rsidR="52E1A9FF" w:rsidSect="003114DF">
      <w:headerReference w:type="default" r:id="rId33"/>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CCE2" w14:textId="77777777" w:rsidR="001B60EA" w:rsidRDefault="001B60EA" w:rsidP="00B45C66">
      <w:r>
        <w:separator/>
      </w:r>
    </w:p>
  </w:endnote>
  <w:endnote w:type="continuationSeparator" w:id="0">
    <w:p w14:paraId="38CA6EBD" w14:textId="77777777" w:rsidR="001B60EA" w:rsidRDefault="001B60EA"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6409" w14:textId="77777777" w:rsidR="001B60EA" w:rsidRDefault="001B60EA" w:rsidP="00B45C66">
      <w:r>
        <w:separator/>
      </w:r>
    </w:p>
  </w:footnote>
  <w:footnote w:type="continuationSeparator" w:id="0">
    <w:p w14:paraId="0C2944B4" w14:textId="77777777" w:rsidR="001B60EA" w:rsidRDefault="001B60EA" w:rsidP="00B4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B8A438" w14:paraId="5E49E379" w14:textId="77777777" w:rsidTr="6AB8A438">
      <w:trPr>
        <w:trHeight w:val="300"/>
      </w:trPr>
      <w:tc>
        <w:tcPr>
          <w:tcW w:w="3120" w:type="dxa"/>
        </w:tcPr>
        <w:p w14:paraId="2481306A" w14:textId="0F0545EC" w:rsidR="6AB8A438" w:rsidRDefault="6AB8A438" w:rsidP="6AB8A438">
          <w:pPr>
            <w:pStyle w:val="Header"/>
            <w:ind w:left="-115"/>
          </w:pPr>
        </w:p>
      </w:tc>
      <w:tc>
        <w:tcPr>
          <w:tcW w:w="3120" w:type="dxa"/>
        </w:tcPr>
        <w:p w14:paraId="7A49AFE3" w14:textId="2567A7B8" w:rsidR="6AB8A438" w:rsidRDefault="6AB8A438" w:rsidP="6AB8A438">
          <w:pPr>
            <w:pStyle w:val="Header"/>
            <w:jc w:val="center"/>
          </w:pPr>
        </w:p>
      </w:tc>
      <w:tc>
        <w:tcPr>
          <w:tcW w:w="3120" w:type="dxa"/>
        </w:tcPr>
        <w:p w14:paraId="4D5B926C" w14:textId="4580B705" w:rsidR="6AB8A438" w:rsidRDefault="6AB8A438" w:rsidP="6AB8A438">
          <w:pPr>
            <w:pStyle w:val="Header"/>
            <w:ind w:right="-115"/>
            <w:jc w:val="right"/>
          </w:pPr>
        </w:p>
      </w:tc>
    </w:tr>
  </w:tbl>
  <w:p w14:paraId="15442D6C" w14:textId="0CB72FFA" w:rsidR="6AB8A438" w:rsidRDefault="6AB8A438" w:rsidP="6AB8A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B8A438" w14:paraId="0E8F0813" w14:textId="77777777" w:rsidTr="6AB8A438">
      <w:trPr>
        <w:trHeight w:val="300"/>
      </w:trPr>
      <w:tc>
        <w:tcPr>
          <w:tcW w:w="3120" w:type="dxa"/>
        </w:tcPr>
        <w:p w14:paraId="062C3608" w14:textId="1FAF352E" w:rsidR="6AB8A438" w:rsidRDefault="6AB8A438" w:rsidP="6AB8A438">
          <w:pPr>
            <w:pStyle w:val="Header"/>
            <w:ind w:left="-115"/>
          </w:pPr>
        </w:p>
      </w:tc>
      <w:tc>
        <w:tcPr>
          <w:tcW w:w="3120" w:type="dxa"/>
        </w:tcPr>
        <w:p w14:paraId="3921EB68" w14:textId="318DA63C" w:rsidR="6AB8A438" w:rsidRDefault="6AB8A438" w:rsidP="6AB8A438">
          <w:pPr>
            <w:pStyle w:val="Header"/>
            <w:jc w:val="center"/>
          </w:pPr>
        </w:p>
      </w:tc>
      <w:tc>
        <w:tcPr>
          <w:tcW w:w="3120" w:type="dxa"/>
        </w:tcPr>
        <w:p w14:paraId="420754EE" w14:textId="07FAA983" w:rsidR="6AB8A438" w:rsidRDefault="6AB8A438" w:rsidP="6AB8A438">
          <w:pPr>
            <w:pStyle w:val="Header"/>
            <w:ind w:right="-115"/>
            <w:jc w:val="right"/>
          </w:pPr>
        </w:p>
      </w:tc>
    </w:tr>
  </w:tbl>
  <w:p w14:paraId="012A05B8" w14:textId="1FBB6C88" w:rsidR="6AB8A438" w:rsidRDefault="6AB8A438" w:rsidP="6AB8A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3E58"/>
    <w:multiLevelType w:val="multilevel"/>
    <w:tmpl w:val="DF7C3436"/>
    <w:lvl w:ilvl="0">
      <w:start w:val="4"/>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7D49A9"/>
    <w:multiLevelType w:val="hybridMultilevel"/>
    <w:tmpl w:val="2D380C7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D74445"/>
    <w:multiLevelType w:val="multilevel"/>
    <w:tmpl w:val="81A04ED6"/>
    <w:lvl w:ilvl="0">
      <w:start w:val="4"/>
      <w:numFmt w:val="decimal"/>
      <w:lvlText w:val="%1"/>
      <w:lvlJc w:val="left"/>
      <w:pPr>
        <w:ind w:left="360" w:hanging="36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DB975EB"/>
    <w:multiLevelType w:val="hybridMultilevel"/>
    <w:tmpl w:val="4F5CE7EE"/>
    <w:lvl w:ilvl="0" w:tplc="53B4AE6C">
      <w:start w:val="1"/>
      <w:numFmt w:val="bullet"/>
      <w:lvlText w:val=""/>
      <w:lvlJc w:val="left"/>
      <w:pPr>
        <w:ind w:left="720" w:hanging="360"/>
      </w:pPr>
      <w:rPr>
        <w:rFonts w:ascii="Symbol" w:hAnsi="Symbol" w:hint="default"/>
      </w:rPr>
    </w:lvl>
    <w:lvl w:ilvl="1" w:tplc="1378589A">
      <w:start w:val="1"/>
      <w:numFmt w:val="bullet"/>
      <w:lvlText w:val="o"/>
      <w:lvlJc w:val="left"/>
      <w:pPr>
        <w:ind w:left="1440" w:hanging="360"/>
      </w:pPr>
      <w:rPr>
        <w:rFonts w:ascii="Courier New" w:hAnsi="Courier New" w:hint="default"/>
      </w:rPr>
    </w:lvl>
    <w:lvl w:ilvl="2" w:tplc="9BD23338">
      <w:start w:val="1"/>
      <w:numFmt w:val="bullet"/>
      <w:lvlText w:val=""/>
      <w:lvlJc w:val="left"/>
      <w:pPr>
        <w:ind w:left="2160" w:hanging="360"/>
      </w:pPr>
      <w:rPr>
        <w:rFonts w:ascii="Wingdings" w:hAnsi="Wingdings" w:hint="default"/>
      </w:rPr>
    </w:lvl>
    <w:lvl w:ilvl="3" w:tplc="3D6EF7DE">
      <w:start w:val="1"/>
      <w:numFmt w:val="bullet"/>
      <w:lvlText w:val=""/>
      <w:lvlJc w:val="left"/>
      <w:pPr>
        <w:ind w:left="2880" w:hanging="360"/>
      </w:pPr>
      <w:rPr>
        <w:rFonts w:ascii="Symbol" w:hAnsi="Symbol" w:hint="default"/>
      </w:rPr>
    </w:lvl>
    <w:lvl w:ilvl="4" w:tplc="AE8A85B2">
      <w:start w:val="1"/>
      <w:numFmt w:val="bullet"/>
      <w:lvlText w:val="o"/>
      <w:lvlJc w:val="left"/>
      <w:pPr>
        <w:ind w:left="3600" w:hanging="360"/>
      </w:pPr>
      <w:rPr>
        <w:rFonts w:ascii="Courier New" w:hAnsi="Courier New" w:hint="default"/>
      </w:rPr>
    </w:lvl>
    <w:lvl w:ilvl="5" w:tplc="A386D10A">
      <w:start w:val="1"/>
      <w:numFmt w:val="bullet"/>
      <w:lvlText w:val=""/>
      <w:lvlJc w:val="left"/>
      <w:pPr>
        <w:ind w:left="4320" w:hanging="360"/>
      </w:pPr>
      <w:rPr>
        <w:rFonts w:ascii="Wingdings" w:hAnsi="Wingdings" w:hint="default"/>
      </w:rPr>
    </w:lvl>
    <w:lvl w:ilvl="6" w:tplc="F67ED63C">
      <w:start w:val="1"/>
      <w:numFmt w:val="bullet"/>
      <w:lvlText w:val=""/>
      <w:lvlJc w:val="left"/>
      <w:pPr>
        <w:ind w:left="5040" w:hanging="360"/>
      </w:pPr>
      <w:rPr>
        <w:rFonts w:ascii="Symbol" w:hAnsi="Symbol" w:hint="default"/>
      </w:rPr>
    </w:lvl>
    <w:lvl w:ilvl="7" w:tplc="5F2A62A2">
      <w:start w:val="1"/>
      <w:numFmt w:val="bullet"/>
      <w:lvlText w:val="o"/>
      <w:lvlJc w:val="left"/>
      <w:pPr>
        <w:ind w:left="5760" w:hanging="360"/>
      </w:pPr>
      <w:rPr>
        <w:rFonts w:ascii="Courier New" w:hAnsi="Courier New" w:hint="default"/>
      </w:rPr>
    </w:lvl>
    <w:lvl w:ilvl="8" w:tplc="4E5484F0">
      <w:start w:val="1"/>
      <w:numFmt w:val="bullet"/>
      <w:lvlText w:val=""/>
      <w:lvlJc w:val="left"/>
      <w:pPr>
        <w:ind w:left="6480" w:hanging="360"/>
      </w:pPr>
      <w:rPr>
        <w:rFonts w:ascii="Wingdings" w:hAnsi="Wingdings" w:hint="default"/>
      </w:rPr>
    </w:lvl>
  </w:abstractNum>
  <w:abstractNum w:abstractNumId="5" w15:restartNumberingAfterBreak="0">
    <w:nsid w:val="49C86F11"/>
    <w:multiLevelType w:val="hybridMultilevel"/>
    <w:tmpl w:val="5ED6ACE4"/>
    <w:lvl w:ilvl="0" w:tplc="11ECE588">
      <w:start w:val="1"/>
      <w:numFmt w:val="decimal"/>
      <w:lvlText w:val="%1."/>
      <w:lvlJc w:val="left"/>
      <w:pPr>
        <w:ind w:left="720" w:hanging="360"/>
      </w:pPr>
    </w:lvl>
    <w:lvl w:ilvl="1" w:tplc="30EC4808">
      <w:start w:val="1"/>
      <w:numFmt w:val="lowerLetter"/>
      <w:lvlText w:val="%2."/>
      <w:lvlJc w:val="left"/>
      <w:pPr>
        <w:ind w:left="1440" w:hanging="360"/>
      </w:pPr>
    </w:lvl>
    <w:lvl w:ilvl="2" w:tplc="D62CDFFE">
      <w:start w:val="1"/>
      <w:numFmt w:val="lowerRoman"/>
      <w:lvlText w:val="%3."/>
      <w:lvlJc w:val="right"/>
      <w:pPr>
        <w:ind w:left="2160" w:hanging="180"/>
      </w:pPr>
    </w:lvl>
    <w:lvl w:ilvl="3" w:tplc="B1FEE574">
      <w:start w:val="1"/>
      <w:numFmt w:val="decimal"/>
      <w:lvlText w:val="%4."/>
      <w:lvlJc w:val="left"/>
      <w:pPr>
        <w:ind w:left="2880" w:hanging="360"/>
      </w:pPr>
    </w:lvl>
    <w:lvl w:ilvl="4" w:tplc="3982A234">
      <w:start w:val="1"/>
      <w:numFmt w:val="lowerLetter"/>
      <w:lvlText w:val="%5."/>
      <w:lvlJc w:val="left"/>
      <w:pPr>
        <w:ind w:left="3600" w:hanging="360"/>
      </w:pPr>
    </w:lvl>
    <w:lvl w:ilvl="5" w:tplc="41B2BB2A">
      <w:start w:val="1"/>
      <w:numFmt w:val="lowerRoman"/>
      <w:lvlText w:val="%6."/>
      <w:lvlJc w:val="right"/>
      <w:pPr>
        <w:ind w:left="4320" w:hanging="180"/>
      </w:pPr>
    </w:lvl>
    <w:lvl w:ilvl="6" w:tplc="E0E8D440">
      <w:start w:val="1"/>
      <w:numFmt w:val="decimal"/>
      <w:lvlText w:val="%7."/>
      <w:lvlJc w:val="left"/>
      <w:pPr>
        <w:ind w:left="5040" w:hanging="360"/>
      </w:pPr>
    </w:lvl>
    <w:lvl w:ilvl="7" w:tplc="22800A4C">
      <w:start w:val="1"/>
      <w:numFmt w:val="lowerLetter"/>
      <w:lvlText w:val="%8."/>
      <w:lvlJc w:val="left"/>
      <w:pPr>
        <w:ind w:left="5760" w:hanging="360"/>
      </w:pPr>
    </w:lvl>
    <w:lvl w:ilvl="8" w:tplc="61D0D54A">
      <w:start w:val="1"/>
      <w:numFmt w:val="lowerRoman"/>
      <w:lvlText w:val="%9."/>
      <w:lvlJc w:val="right"/>
      <w:pPr>
        <w:ind w:left="6480" w:hanging="180"/>
      </w:pPr>
    </w:lvl>
  </w:abstractNum>
  <w:abstractNum w:abstractNumId="6"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4333384">
    <w:abstractNumId w:val="4"/>
  </w:num>
  <w:num w:numId="2" w16cid:durableId="1295210216">
    <w:abstractNumId w:val="5"/>
  </w:num>
  <w:num w:numId="3" w16cid:durableId="1868911096">
    <w:abstractNumId w:val="7"/>
  </w:num>
  <w:num w:numId="4" w16cid:durableId="985622091">
    <w:abstractNumId w:val="6"/>
  </w:num>
  <w:num w:numId="5" w16cid:durableId="1620335243">
    <w:abstractNumId w:val="2"/>
  </w:num>
  <w:num w:numId="6" w16cid:durableId="1123696527">
    <w:abstractNumId w:val="1"/>
  </w:num>
  <w:num w:numId="7" w16cid:durableId="651107472">
    <w:abstractNumId w:val="0"/>
  </w:num>
  <w:num w:numId="8" w16cid:durableId="1925718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1AFC"/>
    <w:rsid w:val="000B3724"/>
    <w:rsid w:val="000B4B0D"/>
    <w:rsid w:val="000D5E56"/>
    <w:rsid w:val="000E063F"/>
    <w:rsid w:val="000F604C"/>
    <w:rsid w:val="00106BE7"/>
    <w:rsid w:val="0013215F"/>
    <w:rsid w:val="0014173E"/>
    <w:rsid w:val="00142950"/>
    <w:rsid w:val="00154DF9"/>
    <w:rsid w:val="00192491"/>
    <w:rsid w:val="00194E34"/>
    <w:rsid w:val="001A3D1D"/>
    <w:rsid w:val="001B60EA"/>
    <w:rsid w:val="00224651"/>
    <w:rsid w:val="00245F4E"/>
    <w:rsid w:val="00266030"/>
    <w:rsid w:val="002F4642"/>
    <w:rsid w:val="003114DF"/>
    <w:rsid w:val="00315308"/>
    <w:rsid w:val="003312D9"/>
    <w:rsid w:val="00360C4A"/>
    <w:rsid w:val="00362DCE"/>
    <w:rsid w:val="003902FD"/>
    <w:rsid w:val="003A6106"/>
    <w:rsid w:val="003B643A"/>
    <w:rsid w:val="003F21D1"/>
    <w:rsid w:val="00416497"/>
    <w:rsid w:val="00427E8B"/>
    <w:rsid w:val="004315A0"/>
    <w:rsid w:val="00444DFF"/>
    <w:rsid w:val="00446670"/>
    <w:rsid w:val="00480156"/>
    <w:rsid w:val="00484BCD"/>
    <w:rsid w:val="00490515"/>
    <w:rsid w:val="004968B2"/>
    <w:rsid w:val="004C3BD5"/>
    <w:rsid w:val="004D24B3"/>
    <w:rsid w:val="004D44D9"/>
    <w:rsid w:val="004D5B6D"/>
    <w:rsid w:val="00507D5E"/>
    <w:rsid w:val="00527835"/>
    <w:rsid w:val="00563EE3"/>
    <w:rsid w:val="005932A0"/>
    <w:rsid w:val="005E1EBF"/>
    <w:rsid w:val="00636FCB"/>
    <w:rsid w:val="006440FA"/>
    <w:rsid w:val="006A3BFC"/>
    <w:rsid w:val="006D0083"/>
    <w:rsid w:val="006F2790"/>
    <w:rsid w:val="00703FB6"/>
    <w:rsid w:val="007600F1"/>
    <w:rsid w:val="00782A42"/>
    <w:rsid w:val="007A7F77"/>
    <w:rsid w:val="007B5D16"/>
    <w:rsid w:val="007C7F55"/>
    <w:rsid w:val="007F00AB"/>
    <w:rsid w:val="007F03E1"/>
    <w:rsid w:val="00801985"/>
    <w:rsid w:val="00866F54"/>
    <w:rsid w:val="00872EAB"/>
    <w:rsid w:val="0087576C"/>
    <w:rsid w:val="008B5586"/>
    <w:rsid w:val="008E67F7"/>
    <w:rsid w:val="0091170F"/>
    <w:rsid w:val="00942535"/>
    <w:rsid w:val="009628BD"/>
    <w:rsid w:val="009937E2"/>
    <w:rsid w:val="009F4AD7"/>
    <w:rsid w:val="00A03033"/>
    <w:rsid w:val="00A24CE3"/>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B09EE"/>
    <w:rsid w:val="00BE0812"/>
    <w:rsid w:val="00BF084A"/>
    <w:rsid w:val="00BF5E7B"/>
    <w:rsid w:val="00C04624"/>
    <w:rsid w:val="00C661F1"/>
    <w:rsid w:val="00C7077A"/>
    <w:rsid w:val="00C75791"/>
    <w:rsid w:val="00C8049E"/>
    <w:rsid w:val="00CA018F"/>
    <w:rsid w:val="00CA0695"/>
    <w:rsid w:val="00CA1198"/>
    <w:rsid w:val="00CB54B2"/>
    <w:rsid w:val="00CBFBE4"/>
    <w:rsid w:val="00CF182A"/>
    <w:rsid w:val="00D408F0"/>
    <w:rsid w:val="00D418DA"/>
    <w:rsid w:val="00D8472F"/>
    <w:rsid w:val="00D87630"/>
    <w:rsid w:val="00DD2BB4"/>
    <w:rsid w:val="00DF4809"/>
    <w:rsid w:val="00E10E7A"/>
    <w:rsid w:val="00E77575"/>
    <w:rsid w:val="00F1395F"/>
    <w:rsid w:val="00F24AFC"/>
    <w:rsid w:val="00F27472"/>
    <w:rsid w:val="00F92874"/>
    <w:rsid w:val="00FE5CB2"/>
    <w:rsid w:val="019EA5F0"/>
    <w:rsid w:val="026309FE"/>
    <w:rsid w:val="03096955"/>
    <w:rsid w:val="0353C608"/>
    <w:rsid w:val="03AF81C5"/>
    <w:rsid w:val="043606B5"/>
    <w:rsid w:val="048C8850"/>
    <w:rsid w:val="04EE62EA"/>
    <w:rsid w:val="054D702E"/>
    <w:rsid w:val="056E428F"/>
    <w:rsid w:val="0665FC62"/>
    <w:rsid w:val="07220641"/>
    <w:rsid w:val="07399AE1"/>
    <w:rsid w:val="076D6781"/>
    <w:rsid w:val="07A070CA"/>
    <w:rsid w:val="07D06CA8"/>
    <w:rsid w:val="07DE4140"/>
    <w:rsid w:val="083C7591"/>
    <w:rsid w:val="0876B901"/>
    <w:rsid w:val="09A2F773"/>
    <w:rsid w:val="0A41868A"/>
    <w:rsid w:val="0AB883F1"/>
    <w:rsid w:val="0AEE18A6"/>
    <w:rsid w:val="0B750899"/>
    <w:rsid w:val="0B8C173F"/>
    <w:rsid w:val="0C4D473C"/>
    <w:rsid w:val="0C715A74"/>
    <w:rsid w:val="0CB06B9B"/>
    <w:rsid w:val="0D718D9B"/>
    <w:rsid w:val="0E4C2215"/>
    <w:rsid w:val="0E80DD6A"/>
    <w:rsid w:val="10A166FE"/>
    <w:rsid w:val="10ABFCA1"/>
    <w:rsid w:val="10D94B0E"/>
    <w:rsid w:val="112949E0"/>
    <w:rsid w:val="11B7259D"/>
    <w:rsid w:val="11FEE884"/>
    <w:rsid w:val="121F0305"/>
    <w:rsid w:val="126F6E70"/>
    <w:rsid w:val="12894F40"/>
    <w:rsid w:val="132A9DFC"/>
    <w:rsid w:val="137AE9BF"/>
    <w:rsid w:val="139E5925"/>
    <w:rsid w:val="13C341A6"/>
    <w:rsid w:val="13CEB98A"/>
    <w:rsid w:val="13D83880"/>
    <w:rsid w:val="13EC0DA0"/>
    <w:rsid w:val="13F3B75E"/>
    <w:rsid w:val="14772063"/>
    <w:rsid w:val="148F1068"/>
    <w:rsid w:val="17220014"/>
    <w:rsid w:val="180789FE"/>
    <w:rsid w:val="1839D07B"/>
    <w:rsid w:val="18D92D6C"/>
    <w:rsid w:val="19002F90"/>
    <w:rsid w:val="1916BE67"/>
    <w:rsid w:val="1A42D868"/>
    <w:rsid w:val="1A4A2EAC"/>
    <w:rsid w:val="1AFB1BED"/>
    <w:rsid w:val="1C94FC4E"/>
    <w:rsid w:val="1CFA6A17"/>
    <w:rsid w:val="1D5030C4"/>
    <w:rsid w:val="1D8A7706"/>
    <w:rsid w:val="1D96605F"/>
    <w:rsid w:val="1DC07E26"/>
    <w:rsid w:val="1F92C07C"/>
    <w:rsid w:val="2038D2E3"/>
    <w:rsid w:val="204F5D74"/>
    <w:rsid w:val="20D6710A"/>
    <w:rsid w:val="21DAA4B3"/>
    <w:rsid w:val="22C2ECB6"/>
    <w:rsid w:val="230EDAC6"/>
    <w:rsid w:val="241F8BE1"/>
    <w:rsid w:val="24417D01"/>
    <w:rsid w:val="25A7E976"/>
    <w:rsid w:val="26E0D1DA"/>
    <w:rsid w:val="27208831"/>
    <w:rsid w:val="2882C8D5"/>
    <w:rsid w:val="28AE3A80"/>
    <w:rsid w:val="28C48D87"/>
    <w:rsid w:val="294556BD"/>
    <w:rsid w:val="2AB0AE6F"/>
    <w:rsid w:val="2B803051"/>
    <w:rsid w:val="2B84D9DD"/>
    <w:rsid w:val="2C422C32"/>
    <w:rsid w:val="2C8025C8"/>
    <w:rsid w:val="2CA53D22"/>
    <w:rsid w:val="2F5E2E6A"/>
    <w:rsid w:val="2F8F4FC3"/>
    <w:rsid w:val="2FC8FA67"/>
    <w:rsid w:val="30304EE3"/>
    <w:rsid w:val="3035B019"/>
    <w:rsid w:val="307CD061"/>
    <w:rsid w:val="30F690EE"/>
    <w:rsid w:val="316780F5"/>
    <w:rsid w:val="3185A2ED"/>
    <w:rsid w:val="3197DD74"/>
    <w:rsid w:val="322EA441"/>
    <w:rsid w:val="346D30FD"/>
    <w:rsid w:val="34A30756"/>
    <w:rsid w:val="34CFEB7A"/>
    <w:rsid w:val="34E6E647"/>
    <w:rsid w:val="35A1DDB8"/>
    <w:rsid w:val="36522A94"/>
    <w:rsid w:val="36782858"/>
    <w:rsid w:val="37221A75"/>
    <w:rsid w:val="3738FA6E"/>
    <w:rsid w:val="37662A3C"/>
    <w:rsid w:val="37D44766"/>
    <w:rsid w:val="387F413D"/>
    <w:rsid w:val="38E235DF"/>
    <w:rsid w:val="39689A2C"/>
    <w:rsid w:val="39C932F9"/>
    <w:rsid w:val="39EB9A4D"/>
    <w:rsid w:val="3AC67771"/>
    <w:rsid w:val="3AE4B627"/>
    <w:rsid w:val="3B03F5D8"/>
    <w:rsid w:val="3C0D5824"/>
    <w:rsid w:val="3C5E2A49"/>
    <w:rsid w:val="3C6B8D6B"/>
    <w:rsid w:val="3CC74BA9"/>
    <w:rsid w:val="3D6CFE56"/>
    <w:rsid w:val="3DA76401"/>
    <w:rsid w:val="3EB579CF"/>
    <w:rsid w:val="3EE9AE84"/>
    <w:rsid w:val="405F4957"/>
    <w:rsid w:val="40E24321"/>
    <w:rsid w:val="418C596F"/>
    <w:rsid w:val="41EAE5AD"/>
    <w:rsid w:val="421171AE"/>
    <w:rsid w:val="433E46C0"/>
    <w:rsid w:val="43E3947D"/>
    <w:rsid w:val="44490208"/>
    <w:rsid w:val="44BD66AB"/>
    <w:rsid w:val="44C118AB"/>
    <w:rsid w:val="45853AE2"/>
    <w:rsid w:val="4620E2F1"/>
    <w:rsid w:val="466CEFAB"/>
    <w:rsid w:val="46EAE747"/>
    <w:rsid w:val="47074D80"/>
    <w:rsid w:val="47C43F78"/>
    <w:rsid w:val="48E4344A"/>
    <w:rsid w:val="492AB957"/>
    <w:rsid w:val="49BCBC05"/>
    <w:rsid w:val="4A6F0847"/>
    <w:rsid w:val="4ACBFAB9"/>
    <w:rsid w:val="4BAC8DD3"/>
    <w:rsid w:val="4BFC985E"/>
    <w:rsid w:val="4D368949"/>
    <w:rsid w:val="4D601D65"/>
    <w:rsid w:val="4D691C6A"/>
    <w:rsid w:val="4E4D061C"/>
    <w:rsid w:val="4EE8FAA9"/>
    <w:rsid w:val="4FE12048"/>
    <w:rsid w:val="503EFA5A"/>
    <w:rsid w:val="5105C0B9"/>
    <w:rsid w:val="5121735B"/>
    <w:rsid w:val="513499A5"/>
    <w:rsid w:val="525F8E94"/>
    <w:rsid w:val="52947D82"/>
    <w:rsid w:val="52E1A9FF"/>
    <w:rsid w:val="52F92D72"/>
    <w:rsid w:val="535AEB50"/>
    <w:rsid w:val="5368E217"/>
    <w:rsid w:val="5407FA88"/>
    <w:rsid w:val="546C9F98"/>
    <w:rsid w:val="548ED572"/>
    <w:rsid w:val="54F7C930"/>
    <w:rsid w:val="553328A1"/>
    <w:rsid w:val="5597A562"/>
    <w:rsid w:val="56A901EF"/>
    <w:rsid w:val="56ECD087"/>
    <w:rsid w:val="58250404"/>
    <w:rsid w:val="587ED770"/>
    <w:rsid w:val="58EA5E52"/>
    <w:rsid w:val="593E5B80"/>
    <w:rsid w:val="59DBE2E6"/>
    <w:rsid w:val="5A146692"/>
    <w:rsid w:val="5D32A224"/>
    <w:rsid w:val="5D62AC41"/>
    <w:rsid w:val="5D75AD2D"/>
    <w:rsid w:val="5DBFEED6"/>
    <w:rsid w:val="5E06EEFE"/>
    <w:rsid w:val="602E2AAC"/>
    <w:rsid w:val="60DB6102"/>
    <w:rsid w:val="612E5BD4"/>
    <w:rsid w:val="6156D43D"/>
    <w:rsid w:val="61D9351B"/>
    <w:rsid w:val="6263FC87"/>
    <w:rsid w:val="628F82CE"/>
    <w:rsid w:val="62F99571"/>
    <w:rsid w:val="63C93228"/>
    <w:rsid w:val="63F4CAEA"/>
    <w:rsid w:val="6481CC01"/>
    <w:rsid w:val="64A593F9"/>
    <w:rsid w:val="64D5CD06"/>
    <w:rsid w:val="65BCC762"/>
    <w:rsid w:val="65EB79BA"/>
    <w:rsid w:val="661BF82B"/>
    <w:rsid w:val="66DB2350"/>
    <w:rsid w:val="66E95303"/>
    <w:rsid w:val="67429B49"/>
    <w:rsid w:val="676E889A"/>
    <w:rsid w:val="67A9AFA3"/>
    <w:rsid w:val="67BB6EEA"/>
    <w:rsid w:val="693440B0"/>
    <w:rsid w:val="6A4AE924"/>
    <w:rsid w:val="6AB8A438"/>
    <w:rsid w:val="6AC79AF2"/>
    <w:rsid w:val="6B4FD6BE"/>
    <w:rsid w:val="6BC24F82"/>
    <w:rsid w:val="6DD8C26F"/>
    <w:rsid w:val="6E1EA562"/>
    <w:rsid w:val="6E25C9FC"/>
    <w:rsid w:val="6E87C05E"/>
    <w:rsid w:val="6F36C745"/>
    <w:rsid w:val="6FA34CC8"/>
    <w:rsid w:val="703A64C2"/>
    <w:rsid w:val="70BD103A"/>
    <w:rsid w:val="7388A92A"/>
    <w:rsid w:val="739856F6"/>
    <w:rsid w:val="73E1E597"/>
    <w:rsid w:val="73EFAD77"/>
    <w:rsid w:val="74738D07"/>
    <w:rsid w:val="7490DD5B"/>
    <w:rsid w:val="74973E4F"/>
    <w:rsid w:val="74BA4047"/>
    <w:rsid w:val="7504E055"/>
    <w:rsid w:val="75D35AC3"/>
    <w:rsid w:val="77B8028E"/>
    <w:rsid w:val="77B9F8AD"/>
    <w:rsid w:val="78384FCB"/>
    <w:rsid w:val="7859A403"/>
    <w:rsid w:val="7889445E"/>
    <w:rsid w:val="78C7B283"/>
    <w:rsid w:val="7AE3BA18"/>
    <w:rsid w:val="7B4CD97D"/>
    <w:rsid w:val="7B8EA8C2"/>
    <w:rsid w:val="7BFFAA59"/>
    <w:rsid w:val="7C8641D2"/>
    <w:rsid w:val="7C8CBE3C"/>
    <w:rsid w:val="7CAB7C4C"/>
    <w:rsid w:val="7CD9AD58"/>
    <w:rsid w:val="7DB8D16D"/>
    <w:rsid w:val="7DECFD16"/>
    <w:rsid w:val="7DF2C8D4"/>
    <w:rsid w:val="7E53284B"/>
    <w:rsid w:val="7EE3A397"/>
    <w:rsid w:val="7F267522"/>
    <w:rsid w:val="7F7D1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782A42"/>
    <w:rPr>
      <w:color w:val="605E5C"/>
      <w:shd w:val="clear" w:color="auto" w:fill="E1DFDD"/>
    </w:rPr>
  </w:style>
  <w:style w:type="paragraph" w:styleId="ListParagraph">
    <w:name w:val="List Paragraph"/>
    <w:basedOn w:val="Normal"/>
    <w:uiPriority w:val="34"/>
    <w:qFormat/>
    <w:rsid w:val="7C8641D2"/>
    <w:pPr>
      <w:ind w:left="720"/>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79448820">
      <w:bodyDiv w:val="1"/>
      <w:marLeft w:val="0"/>
      <w:marRight w:val="0"/>
      <w:marTop w:val="0"/>
      <w:marBottom w:val="0"/>
      <w:divBdr>
        <w:top w:val="none" w:sz="0" w:space="0" w:color="auto"/>
        <w:left w:val="none" w:sz="0" w:space="0" w:color="auto"/>
        <w:bottom w:val="none" w:sz="0" w:space="0" w:color="auto"/>
        <w:right w:val="none" w:sz="0" w:space="0" w:color="auto"/>
      </w:divBdr>
    </w:div>
    <w:div w:id="1033727568">
      <w:bodyDiv w:val="1"/>
      <w:marLeft w:val="0"/>
      <w:marRight w:val="0"/>
      <w:marTop w:val="0"/>
      <w:marBottom w:val="0"/>
      <w:divBdr>
        <w:top w:val="none" w:sz="0" w:space="0" w:color="auto"/>
        <w:left w:val="none" w:sz="0" w:space="0" w:color="auto"/>
        <w:bottom w:val="none" w:sz="0" w:space="0" w:color="auto"/>
        <w:right w:val="none" w:sz="0" w:space="0" w:color="auto"/>
      </w:divBdr>
    </w:div>
    <w:div w:id="1171485323">
      <w:bodyDiv w:val="1"/>
      <w:marLeft w:val="0"/>
      <w:marRight w:val="0"/>
      <w:marTop w:val="0"/>
      <w:marBottom w:val="0"/>
      <w:divBdr>
        <w:top w:val="none" w:sz="0" w:space="0" w:color="auto"/>
        <w:left w:val="none" w:sz="0" w:space="0" w:color="auto"/>
        <w:bottom w:val="none" w:sz="0" w:space="0" w:color="auto"/>
        <w:right w:val="none" w:sz="0" w:space="0" w:color="auto"/>
      </w:divBdr>
    </w:div>
    <w:div w:id="1447428104">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236">
      <w:bodyDiv w:val="1"/>
      <w:marLeft w:val="0"/>
      <w:marRight w:val="0"/>
      <w:marTop w:val="0"/>
      <w:marBottom w:val="0"/>
      <w:divBdr>
        <w:top w:val="none" w:sz="0" w:space="0" w:color="auto"/>
        <w:left w:val="none" w:sz="0" w:space="0" w:color="auto"/>
        <w:bottom w:val="none" w:sz="0" w:space="0" w:color="auto"/>
        <w:right w:val="none" w:sz="0" w:space="0" w:color="auto"/>
      </w:divBdr>
    </w:div>
    <w:div w:id="18871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lsonjeff@cityuniversity.edu"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wochniknikolaj@cityuniversity.edu"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kaggle.com/datasets/justine231/big-mac-index-2024" TargetMode="External"/><Relationship Id="rId20" Type="http://schemas.openxmlformats.org/officeDocument/2006/relationships/image" Target="media/image4.png"/><Relationship Id="rId29" Type="http://schemas.openxmlformats.org/officeDocument/2006/relationships/hyperlink" Target="https://towardsdatascience.com/k-means-clustering-algorithm-applications-evaluation-methods-and-drawbacks-aa03e644b48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hworthkatelyn@cityuniversity.edu" TargetMode="External"/><Relationship Id="rId24" Type="http://schemas.openxmlformats.org/officeDocument/2006/relationships/image" Target="media/image8.png"/><Relationship Id="rId32" Type="http://schemas.openxmlformats.org/officeDocument/2006/relationships/hyperlink" Target="https://www.aeaweb.org/articles?id=10.1257/0895330042632744"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yperlink" Target="https://seekingalpha.com/article/4683875-purchasing-power-parity?source=acquisition_campaign_bing&amp;campaign_id=676718844&amp;internal_promotion=true&amp;utm_source=bing&amp;utm_medium=cpc&amp;utm_campaign=676718844&amp;utm_term=1156688138500370%5edat-2324092704454783:loc-4084%5eb%5e%5e%5e%5eo&amp;hsa_grp=1156688138500370&amp;hsa_ad=&amp;hsa_src=o&amp;hsa_tgt=dat-2324092704454783:loc-4084&amp;hsa_kw=https%3A%2F%2Fseekingalpha.com&amp;hsa_mt=b&amp;hsa_net=bing&amp;hsa_ver=3&amp;msclkid=cc3b1de836b71a085fbd7569497a7bc2&amp;utm_content=Seeking_alpha_all" TargetMode="External"/><Relationship Id="rId10" Type="http://schemas.openxmlformats.org/officeDocument/2006/relationships/hyperlink" Target="mailto:keplertyler@cityuniversity.edu" TargetMode="External"/><Relationship Id="rId19" Type="http://schemas.openxmlformats.org/officeDocument/2006/relationships/image" Target="media/image3.png"/><Relationship Id="rId31" Type="http://schemas.openxmlformats.org/officeDocument/2006/relationships/hyperlink" Target="https://www.sciencedirect.com/science/article/pii/S2590051X250000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kaggle.com/datasets/justine231/big-mac-index-2024"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CF9B0-A5DD-4ED9-88C0-726EDFF38066}">
  <ds:schemaRefs>
    <ds:schemaRef ds:uri="995b2506-1074-4ddc-af93-d4437205e205"/>
    <ds:schemaRef ds:uri="http://purl.org/dc/elements/1.1/"/>
    <ds:schemaRef ds:uri="http://schemas.microsoft.com/office/2006/documentManagement/types"/>
    <ds:schemaRef ds:uri="http://purl.org/dc/dcmitype/"/>
    <ds:schemaRef ds:uri="8b5094ac-e50c-4f5c-965f-37193990e5fe"/>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C:\Users\chungsam\Downloads\template.dotx</Template>
  <TotalTime>34</TotalTime>
  <Pages>6</Pages>
  <Words>2510</Words>
  <Characters>16354</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Tyler Kepler</cp:lastModifiedBy>
  <cp:revision>23</cp:revision>
  <dcterms:created xsi:type="dcterms:W3CDTF">2025-08-23T16:55:00Z</dcterms:created>
  <dcterms:modified xsi:type="dcterms:W3CDTF">2025-08-24T17:39:00Z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