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b/>
          <w:color w:val="0E1C33"/>
          <w:sz w:val="36"/>
        </w:rPr>
        <w:t>NOTE DE CADRAGE — Anti-Churn Premium · Maison Verlaine</w:t>
      </w:r>
    </w:p>
    <w:p>
      <w:pPr>
        <w:spacing w:after="240"/>
        <w:pBdr>
          <w:bottom w:val="single" w:sz="12" w:space="1" w:color="00AEEF"/>
        </w:pBdr>
      </w:pPr>
      <w:r>
        <w:rPr>
          <w:i/>
          <w:color w:val="0057B8"/>
          <w:sz w:val="24"/>
        </w:rPr>
        <w:t>Pour décision GO/NO-GO en COMEX du 30/03/2025  ·  Sponsor : Sophie Lefèvre (Direction Marketing)  ·  Date : 14 mars 2025  ·  Référence : T01</w:t>
      </w:r>
    </w:p>
    <w:p>
      <w:pPr>
        <w:spacing w:before="240" w:after="120"/>
      </w:pPr>
      <w:r>
        <w:rPr>
          <w:b/>
          <w:color w:val="0057B8"/>
          <w:sz w:val="26"/>
        </w:rPr>
        <w:t>1. Contexte business</w:t>
      </w:r>
    </w:p>
    <w:p>
      <w:pPr>
        <w:spacing w:after="80"/>
        <w:jc w:val="both"/>
      </w:pPr>
      <w:r>
        <w:rPr>
          <w:b w:val="0"/>
          <w:i w:val="0"/>
          <w:sz w:val="20"/>
        </w:rPr>
        <w:t>La Maison Verlaine (45 boutiques en France, 75 M€ de CA dont 60% via le programme fidélité) constate un taux de churn de 12% par an sur son noyau de 30 000 clientes premium (CA cumulé &gt; 1 500€/12 mois), soit environ 1,8 M€/an de perte directe sur le CA récurrent. Caroline Marchand, nouvelle DG arrivée de Sephora, souhaite outiller les conseillères des 5 boutiques pilotes pour détecter les clientes à risque 2-3 mois avant leur départ, sur le modèle du scoring déployé chez Sephora. Le contexte est marqué par la pression du board (Stéphane Mariani, président) sur la modernisation et l'arrivée de Caroline qui veut démontrer rapidement sa valeur. L'enjeu : capitaliser sur la donnée CRM Salesforce + Cegid POS + Magento e-commerce pour produire un score de risque actionnable, dans le respect de la posture relationnelle propre à Verlaine.</w:t>
      </w:r>
    </w:p>
    <w:p>
      <w:pPr>
        <w:spacing w:before="240" w:after="120"/>
      </w:pPr>
      <w:r>
        <w:rPr>
          <w:b/>
          <w:color w:val="0057B8"/>
          <w:sz w:val="26"/>
        </w:rPr>
        <w:t>2. Problématique data (reformulation SMART)</w:t>
      </w:r>
    </w:p>
    <w:tbl>
      <w:tblPr>
        <w:tblW w:type="auto" w:w="0"/>
        <w:tblLook w:firstColumn="1" w:firstRow="1" w:lastColumn="0" w:lastRow="0" w:noHBand="0" w:noVBand="1" w:val="04A0"/>
      </w:tblPr>
      <w:tblGrid>
        <w:gridCol w:w="9972"/>
      </w:tblGrid>
      <w:tr>
        <w:tc>
          <w:tcPr>
            <w:tcW w:type="dxa" w:w="9972"/>
            <w:shd w:val="clear" w:color="auto" w:fill="EFF6FF"/>
            <w:tcBorders>
              <w:top w:val="nil"/>
              <w:bottom w:val="nil"/>
              <w:right w:val="nil"/>
              <w:left w:val="single" w:sz="24" w:color="0057B8"/>
            </w:tcBorders>
          </w:tcPr>
          <w:p>
            <w:r>
              <w:rPr>
                <w:b/>
                <w:color w:val="0057B8"/>
                <w:sz w:val="20"/>
              </w:rPr>
              <w:t>💡 Problématique en 1 phrase</w:t>
            </w:r>
          </w:p>
          <w:p>
            <w:pPr>
              <w:spacing w:after="0"/>
            </w:pPr>
            <w:r>
              <w:rPr>
                <w:sz w:val="18"/>
              </w:rPr>
              <w:t>Pour chaque cliente premium des 5 boutiques pilotes (CA cumulé &gt; 1 500€/12m, ≥ 2 transactions sur 12 mois, ~30 000 clientes), prédire la probabilité d'absence d'achat sur 9 mois à partir des 24 mois d'historique CRM Salesforce + Cegid POS + Magento, avec un score quotidien intégré dans Salesforce via champ custom, démo COMEX validable avant le 30/03/2025.</w:t>
            </w:r>
          </w:p>
        </w:tc>
      </w:tr>
    </w:tbl>
    <w:p/>
    <w:p>
      <w:pPr>
        <w:spacing w:before="240" w:after="120"/>
      </w:pPr>
      <w:r>
        <w:rPr>
          <w:b/>
          <w:color w:val="0057B8"/>
          <w:sz w:val="26"/>
        </w:rPr>
        <w:t>3. Périmètre proposé</w:t>
      </w:r>
    </w:p>
    <w:p>
      <w:pPr>
        <w:spacing w:before="160" w:after="80"/>
      </w:pPr>
      <w:r>
        <w:rPr>
          <w:b/>
          <w:color w:val="0E1C33"/>
          <w:sz w:val="22"/>
        </w:rPr>
        <w:t>✓ Inclus dans le périmètre :</w:t>
      </w:r>
    </w:p>
    <w:p>
      <w:pPr>
        <w:pStyle w:val="ListBullet"/>
        <w:spacing w:after="40"/>
      </w:pPr>
      <w:r>
        <w:rPr>
          <w:sz w:val="20"/>
        </w:rPr>
        <w:t>5 boutiques pilotes : Lyon Presqu'île, Bordeaux Saint-Catherine, Paris Marais, Lille Grand-Place, Marseille Castellane</w:t>
      </w:r>
    </w:p>
    <w:p>
      <w:pPr>
        <w:pStyle w:val="ListBullet"/>
        <w:spacing w:after="40"/>
      </w:pPr>
      <w:r>
        <w:rPr>
          <w:sz w:val="20"/>
        </w:rPr>
        <w:t>Clientes premium (CA cumulé &gt; 1 500€/12m, ≥ 2 transactions sur 12 mois) — 31 248 clientes éligibles</w:t>
      </w:r>
    </w:p>
    <w:p>
      <w:pPr>
        <w:pStyle w:val="ListBullet"/>
        <w:spacing w:after="40"/>
      </w:pPr>
      <w:r>
        <w:rPr>
          <w:sz w:val="20"/>
        </w:rPr>
        <w:t>Modèle XGBoost calibré + explicabilité SHAP (3 facteurs principaux par cliente)</w:t>
      </w:r>
    </w:p>
    <w:p>
      <w:pPr>
        <w:pStyle w:val="ListBullet"/>
        <w:spacing w:after="40"/>
      </w:pPr>
      <w:r>
        <w:rPr>
          <w:sz w:val="20"/>
        </w:rPr>
        <w:t>Champ custom Salesforce « score_churn_premium » + champ « opt_out_scoring » (Karim Benali)</w:t>
      </w:r>
    </w:p>
    <w:p>
      <w:pPr>
        <w:pStyle w:val="ListBullet"/>
        <w:spacing w:after="40"/>
      </w:pPr>
      <w:r>
        <w:rPr>
          <w:sz w:val="20"/>
        </w:rPr>
        <w:t>Démo Streamlit pour COMEX du 30/03 + formation des 5 conseillères pilotes</w:t>
      </w:r>
    </w:p>
    <w:p>
      <w:pPr>
        <w:pStyle w:val="ListBullet"/>
        <w:spacing w:after="40"/>
      </w:pPr>
      <w:r>
        <w:rPr>
          <w:sz w:val="20"/>
        </w:rPr>
        <w:t>AIPD signée Anne Lopez (DPO) avant tout entraînement de modèle</w:t>
      </w:r>
    </w:p>
    <w:p>
      <w:pPr>
        <w:spacing w:before="160" w:after="80"/>
      </w:pPr>
      <w:r>
        <w:rPr>
          <w:b/>
          <w:color w:val="0E1C33"/>
          <w:sz w:val="22"/>
        </w:rPr>
        <w:t>✗ Exclus du périmètre :</w:t>
      </w:r>
    </w:p>
    <w:p>
      <w:pPr>
        <w:pStyle w:val="ListBullet"/>
        <w:spacing w:after="40"/>
      </w:pPr>
      <w:r>
        <w:rPr>
          <w:sz w:val="20"/>
        </w:rPr>
        <w:t>Les 40 boutiques restantes (extension nationale = phase 2 ou phase 3, après bilan pilote)</w:t>
      </w:r>
    </w:p>
    <w:p>
      <w:pPr>
        <w:pStyle w:val="ListBullet"/>
        <w:spacing w:after="40"/>
      </w:pPr>
      <w:r>
        <w:rPr>
          <w:sz w:val="20"/>
        </w:rPr>
        <w:t>Clientes non-premium (CA &lt; 1 500€/12m)</w:t>
      </w:r>
    </w:p>
    <w:p>
      <w:pPr>
        <w:pStyle w:val="ListBullet"/>
        <w:spacing w:after="40"/>
      </w:pPr>
      <w:r>
        <w:rPr>
          <w:sz w:val="20"/>
        </w:rPr>
        <w:t>Données NPS Typeform (Pauline Gomez, comm interne) : couverture 23% insuffisante en phase 1</w:t>
      </w:r>
    </w:p>
    <w:p>
      <w:pPr>
        <w:pStyle w:val="ListBullet"/>
        <w:spacing w:after="40"/>
      </w:pPr>
      <w:r>
        <w:rPr>
          <w:sz w:val="20"/>
        </w:rPr>
        <w:t>Cahier papier de Camille Berthier (Lyon, ~150 noms VIP) : RGPD trop sensible pour phase 1</w:t>
      </w:r>
    </w:p>
    <w:p>
      <w:pPr>
        <w:pStyle w:val="ListBullet"/>
        <w:spacing w:after="40"/>
      </w:pPr>
      <w:r>
        <w:rPr>
          <w:sz w:val="20"/>
        </w:rPr>
        <w:t>Données Zendesk (réclamations service client) : texte libre non structuré, exclu V1</w:t>
      </w:r>
    </w:p>
    <w:p>
      <w:pPr>
        <w:pStyle w:val="ListBullet"/>
        <w:spacing w:after="40"/>
      </w:pPr>
      <w:r>
        <w:rPr>
          <w:sz w:val="20"/>
        </w:rPr>
        <w:t>Toute action commerciale automatisée (Article 22 RGPD = conseillère décisionnaire)</w:t>
      </w:r>
    </w:p>
    <w:p>
      <w:pPr>
        <w:spacing w:before="240" w:after="120"/>
      </w:pPr>
      <w:r>
        <w:rPr>
          <w:b/>
          <w:color w:val="0057B8"/>
          <w:sz w:val="26"/>
        </w:rPr>
        <w:t>4. Bénéfices attendus chiffrés</w:t>
      </w:r>
    </w:p>
    <w:p>
      <w:pPr>
        <w:spacing w:after="80"/>
        <w:jc w:val="both"/>
      </w:pPr>
      <w:r>
        <w:rPr>
          <w:b w:val="0"/>
          <w:i w:val="0"/>
          <w:sz w:val="20"/>
        </w:rPr>
        <w:t>ROI estimé entre 600 k€ et 1 M€ par an si rétention de 1 cliente sur 4 parmi les prédites (panier moyen premium 4 200€/an observé sur 2024). Investissement phase 1 : 35 k€ HT (financé sur la ligne marketing Sophie Lefèvre, validation COMEX déjà obtenue le 04/03/2025). Payback projeté : 2 à 3 mois. Bénéfices secondaires : outillage des conseillères face au turnover RH, signal de modernisation auprès du board, préparation de l'extension nationale (phase 2, budget estimé 100 k€ max sur enveloppe DG Caroline). Compatible avec le calendrier marketing 2025.</w:t>
      </w:r>
    </w:p>
    <w:p>
      <w:r>
        <w:br w:type="page"/>
      </w:r>
    </w:p>
    <w:p>
      <w:pPr>
        <w:spacing w:before="240" w:after="120"/>
      </w:pPr>
      <w:r>
        <w:rPr>
          <w:b/>
          <w:color w:val="0057B8"/>
          <w:sz w:val="26"/>
        </w:rPr>
        <w:t>5. Hypothèses de faisabilité</w:t>
      </w:r>
    </w:p>
    <w:p>
      <w:pPr>
        <w:pStyle w:val="ListBullet"/>
        <w:spacing w:after="40"/>
      </w:pPr>
      <w:r>
        <w:rPr>
          <w:sz w:val="20"/>
        </w:rPr>
        <w:t>Données : 24 mois CRM Salesforce + Cegid POS + Magento, qualité 96,3% complétude (audit Léa Dupuis)</w:t>
      </w:r>
    </w:p>
    <w:p>
      <w:pPr>
        <w:pStyle w:val="ListBullet"/>
        <w:spacing w:after="40"/>
      </w:pPr>
      <w:r>
        <w:rPr>
          <w:sz w:val="20"/>
        </w:rPr>
        <w:t>Technologie : XGBoost mature, déployable sur Snowflake déjà en production (Mehdi Tazi DSI)</w:t>
      </w:r>
    </w:p>
    <w:p>
      <w:pPr>
        <w:pStyle w:val="ListBullet"/>
        <w:spacing w:after="40"/>
      </w:pPr>
      <w:r>
        <w:rPr>
          <w:sz w:val="20"/>
        </w:rPr>
        <w:t>Compétences : équipe constituée — Karim Benali 30% sur 3 semaines, Léa Dupuis 50% sur 3 semaines</w:t>
      </w:r>
    </w:p>
    <w:p>
      <w:pPr>
        <w:pStyle w:val="ListBullet"/>
        <w:spacing w:after="40"/>
      </w:pPr>
      <w:r>
        <w:rPr>
          <w:sz w:val="20"/>
        </w:rPr>
        <w:t>RGPD : compatible Article 22 si conseillère reste décisionnaire — KPI 'taux scores ignorés ≥ 15%' (Anne Lopez)</w:t>
      </w:r>
    </w:p>
    <w:p>
      <w:pPr>
        <w:pStyle w:val="ListBullet"/>
        <w:spacing w:after="40"/>
      </w:pPr>
      <w:r>
        <w:rPr>
          <w:sz w:val="20"/>
        </w:rPr>
        <w:t>Adoption : pilote 5 boutiques avec Camille Berthier ambassadrice à Lyon Presqu'île</w:t>
      </w:r>
    </w:p>
    <w:p>
      <w:pPr>
        <w:pStyle w:val="ListBullet"/>
        <w:spacing w:after="40"/>
      </w:pPr>
      <w:r>
        <w:rPr>
          <w:sz w:val="20"/>
        </w:rPr>
        <w:t>Variables EXCLUES pour éthique/RGPD : taille de vêtement, identifiant conseillère, nom-prénom complet</w:t>
      </w:r>
    </w:p>
    <w:p>
      <w:pPr>
        <w:spacing w:before="240" w:after="120"/>
      </w:pPr>
      <w:r>
        <w:rPr>
          <w:b/>
          <w:color w:val="0057B8"/>
          <w:sz w:val="26"/>
        </w:rPr>
        <w:t>6. Risques majeurs (3-5 max)</w:t>
      </w:r>
    </w:p>
    <w:p>
      <w:pPr>
        <w:pStyle w:val="ListBullet"/>
        <w:spacing w:after="40"/>
      </w:pPr>
      <w:r>
        <w:rPr>
          <w:sz w:val="20"/>
        </w:rPr>
        <w:t>AIPD non signée à temps par Anne Lopez DPO → mitigation : briefing dès J+5, signature 31/03</w:t>
      </w:r>
    </w:p>
    <w:p>
      <w:pPr>
        <w:pStyle w:val="ListBullet"/>
        <w:spacing w:after="40"/>
      </w:pPr>
      <w:r>
        <w:rPr>
          <w:sz w:val="20"/>
        </w:rPr>
        <w:t>Article 22 RGPD si conseillères deviennent passives → mitigation : KPI taux scores ignorés ≥ 15% surveillé</w:t>
      </w:r>
    </w:p>
    <w:p>
      <w:pPr>
        <w:pStyle w:val="ListBullet"/>
        <w:spacing w:after="40"/>
      </w:pPr>
      <w:r>
        <w:rPr>
          <w:sz w:val="20"/>
        </w:rPr>
        <w:t>Effet Sephora : démo COMEX peu convaincante face aux attentes ex-Sephora de Caroline → mitigation : preview Camille J-3</w:t>
      </w:r>
    </w:p>
    <w:p>
      <w:pPr>
        <w:pStyle w:val="ListBullet"/>
        <w:spacing w:after="40"/>
      </w:pPr>
      <w:r>
        <w:rPr>
          <w:sz w:val="20"/>
        </w:rPr>
        <w:t>Pente Recall/Precision mal vulgarisée en COMEX (Thomas Verlaine DAF, Stéphane Mariani board) → fiche pédago 1p</w:t>
      </w:r>
    </w:p>
    <w:p>
      <w:pPr>
        <w:pStyle w:val="ListBullet"/>
        <w:spacing w:after="40"/>
      </w:pPr>
      <w:r>
        <w:rPr>
          <w:sz w:val="20"/>
        </w:rPr>
        <w:t>Doublons CRM (8 037 lignes pré-2024) faussent l'entraînement → mitigation : pré-traitement Léa avant J+10</w:t>
      </w:r>
    </w:p>
    <w:p>
      <w:pPr>
        <w:spacing w:before="240" w:after="120"/>
      </w:pPr>
      <w:r>
        <w:rPr>
          <w:b/>
          <w:color w:val="0057B8"/>
          <w:sz w:val="26"/>
        </w:rPr>
        <w:t>7. Calendrier macro et budget</w:t>
      </w:r>
    </w:p>
    <w:p>
      <w:pPr>
        <w:spacing w:before="160" w:after="80"/>
      </w:pPr>
      <w:r>
        <w:rPr>
          <w:b/>
          <w:color w:val="0E1C33"/>
          <w:sz w:val="22"/>
        </w:rPr>
        <w:t>Jalons clés :</w:t>
      </w:r>
    </w:p>
    <w:p>
      <w:pPr>
        <w:pStyle w:val="ListBullet"/>
        <w:spacing w:after="40"/>
      </w:pPr>
      <w:r>
        <w:rPr>
          <w:sz w:val="20"/>
        </w:rPr>
        <w:t>J0 (10/03) : kickoff projet, mail brief Sophie reçu</w:t>
      </w:r>
    </w:p>
    <w:p>
      <w:pPr>
        <w:pStyle w:val="ListBullet"/>
        <w:spacing w:after="40"/>
      </w:pPr>
      <w:r>
        <w:rPr>
          <w:sz w:val="20"/>
        </w:rPr>
        <w:t>J+4 (14/03) : note de cadrage v1 validée Sophie + accès Snowflake/Salesforce confirmés Mehdi</w:t>
      </w:r>
    </w:p>
    <w:p>
      <w:pPr>
        <w:pStyle w:val="ListBullet"/>
        <w:spacing w:after="40"/>
      </w:pPr>
      <w:r>
        <w:rPr>
          <w:sz w:val="20"/>
        </w:rPr>
        <w:t>J+10 (20/03) : extraction Snowflake + audit qualité Léa Dupuis (96,3%)</w:t>
      </w:r>
    </w:p>
    <w:p>
      <w:pPr>
        <w:pStyle w:val="ListBullet"/>
        <w:spacing w:after="40"/>
      </w:pPr>
      <w:r>
        <w:rPr>
          <w:sz w:val="20"/>
        </w:rPr>
        <w:t>J+15 (25/03) : modèle baseline + démo prototype Streamlit avec SHAP</w:t>
      </w:r>
    </w:p>
    <w:p>
      <w:pPr>
        <w:pStyle w:val="ListBullet"/>
        <w:spacing w:after="40"/>
      </w:pPr>
      <w:r>
        <w:rPr>
          <w:sz w:val="20"/>
        </w:rPr>
        <w:t>J+18 (28/03) : AIPD finalisée Anne Lopez · Note 2 pages prête pour COMEX</w:t>
      </w:r>
    </w:p>
    <w:p>
      <w:pPr>
        <w:pStyle w:val="ListBullet"/>
        <w:spacing w:after="40"/>
      </w:pPr>
      <w:r>
        <w:rPr>
          <w:sz w:val="20"/>
        </w:rPr>
        <w:t>J+20 (30/03) : démo COMEX → décision GO phase 2</w:t>
      </w:r>
    </w:p>
    <w:p>
      <w:pPr>
        <w:pStyle w:val="ListBullet"/>
        <w:spacing w:after="40"/>
      </w:pPr>
      <w:r>
        <w:rPr>
          <w:sz w:val="20"/>
        </w:rPr>
        <w:t>J+21 (31/03) : signature AIPD par DPO</w:t>
      </w:r>
    </w:p>
    <w:p>
      <w:pPr>
        <w:pStyle w:val="ListBullet"/>
        <w:spacing w:after="40"/>
      </w:pPr>
      <w:r>
        <w:rPr>
          <w:sz w:val="20"/>
        </w:rPr>
        <w:t>J+43 (22/04) : note de synthèse 2 pages soumise au board (préparé par Caroline)</w:t>
      </w:r>
    </w:p>
    <w:p>
      <w:pPr>
        <w:spacing w:before="160" w:after="80"/>
      </w:pPr>
      <w:r>
        <w:rPr>
          <w:b/>
          <w:color w:val="0E1C33"/>
          <w:sz w:val="22"/>
        </w:rPr>
        <w:t>Budget prévisionnel :</w:t>
      </w:r>
    </w:p>
    <w:p>
      <w:pPr>
        <w:spacing w:after="80"/>
      </w:pPr>
      <w:r>
        <w:rPr>
          <w:b/>
          <w:i w:val="0"/>
          <w:sz w:val="20"/>
        </w:rPr>
        <w:t>35 k€ HT pour la phase 1 (5 boutiques pilotes, 3 semaines de mission Utopios) — détail en annexe. Financement : ligne marketing Sophie Lefèvre, enveloppe COMEX 04/03/2025 déjà validée. Budget phase 2 estimé entre 80 et 100 k€ HT (enveloppe DG Caroline Marchand, sous réserve validation COMEX 30/03 puis board 22/04). Budget IT phase 2 additionnel estimé 25-40 k€ (intégration Salesforce/monitoring, prévu par Mehdi Tazi). TJM internes Verlaine de référence (grille Marc Lavalette, Contrôle de Gestion) : chef de projet data externe 950€, data scientist 850€, Léa Dupuis 420€, Karim Benali 550€, Mehdi Tazi 720€. Provision aléas 15-20% recommandée.</w:t>
      </w:r>
    </w:p>
    <w:p>
      <w:pPr>
        <w:spacing w:before="240" w:after="120"/>
      </w:pPr>
      <w:r>
        <w:rPr>
          <w:b/>
          <w:color w:val="0057B8"/>
          <w:sz w:val="26"/>
        </w:rPr>
        <w:t>8. KPIs proposés pour suivre le projet</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shd w:val="clear" w:color="auto" w:fill="0E1C33"/>
            <w:vAlign w:val="center"/>
          </w:tcPr>
          <w:p>
            <w:pPr>
              <w:jc w:val="center"/>
            </w:pPr>
            <w:r>
              <w:rPr>
                <w:b/>
                <w:color w:val="FFFFFF"/>
                <w:sz w:val="20"/>
              </w:rPr>
              <w:t>KPI</w:t>
            </w:r>
          </w:p>
        </w:tc>
        <w:tc>
          <w:tcPr>
            <w:tcW w:type="dxa" w:w="2493"/>
            <w:shd w:val="clear" w:color="auto" w:fill="0E1C33"/>
            <w:vAlign w:val="center"/>
          </w:tcPr>
          <w:p>
            <w:pPr>
              <w:jc w:val="center"/>
            </w:pPr>
            <w:r>
              <w:rPr>
                <w:b/>
                <w:color w:val="FFFFFF"/>
                <w:sz w:val="20"/>
              </w:rPr>
              <w:t>Cible</w:t>
            </w:r>
          </w:p>
        </w:tc>
        <w:tc>
          <w:tcPr>
            <w:tcW w:type="dxa" w:w="2493"/>
            <w:shd w:val="clear" w:color="auto" w:fill="0E1C33"/>
            <w:vAlign w:val="center"/>
          </w:tcPr>
          <w:p>
            <w:pPr>
              <w:jc w:val="center"/>
            </w:pPr>
            <w:r>
              <w:rPr>
                <w:b/>
                <w:color w:val="FFFFFF"/>
                <w:sz w:val="20"/>
              </w:rPr>
              <w:t>Réalisé</w:t>
            </w:r>
          </w:p>
        </w:tc>
        <w:tc>
          <w:tcPr>
            <w:tcW w:type="dxa" w:w="2493"/>
            <w:shd w:val="clear" w:color="auto" w:fill="0E1C33"/>
            <w:vAlign w:val="center"/>
          </w:tcPr>
          <w:p>
            <w:pPr>
              <w:jc w:val="center"/>
            </w:pPr>
            <w:r>
              <w:rPr>
                <w:b/>
                <w:color w:val="FFFFFF"/>
                <w:sz w:val="20"/>
              </w:rPr>
              <w:t>Statut</w:t>
            </w:r>
          </w:p>
        </w:tc>
      </w:tr>
      <w:tr>
        <w:tc>
          <w:tcPr>
            <w:tcW w:type="dxa" w:w="2493"/>
            <w:vAlign w:val="center"/>
          </w:tcPr>
          <w:p>
            <w:pPr>
              <w:jc w:val="left"/>
            </w:pPr>
            <w:r>
              <w:rPr>
                <w:sz w:val="18"/>
              </w:rPr>
              <w:t>Recall (rappel modèle)</w:t>
            </w:r>
          </w:p>
        </w:tc>
        <w:tc>
          <w:tcPr>
            <w:tcW w:type="dxa" w:w="2493"/>
            <w:vAlign w:val="center"/>
          </w:tcPr>
          <w:p>
            <w:pPr>
              <w:jc w:val="center"/>
            </w:pPr>
            <w:r>
              <w:rPr>
                <w:sz w:val="18"/>
              </w:rPr>
              <w:t>≥ 70%</w:t>
            </w:r>
          </w:p>
        </w:tc>
        <w:tc>
          <w:tcPr>
            <w:tcW w:type="dxa" w:w="2493"/>
            <w:vAlign w:val="center"/>
          </w:tcPr>
          <w:p>
            <w:pPr>
              <w:jc w:val="center"/>
            </w:pPr>
            <w:r>
              <w:rPr>
                <w:sz w:val="18"/>
              </w:rPr>
              <w:t>—</w:t>
            </w:r>
          </w:p>
        </w:tc>
        <w:tc>
          <w:tcPr>
            <w:tcW w:type="dxa" w:w="2493"/>
            <w:vAlign w:val="center"/>
          </w:tcPr>
          <w:p>
            <w:pPr>
              <w:jc w:val="center"/>
            </w:pPr>
            <w:r>
              <w:rPr>
                <w:sz w:val="18"/>
              </w:rPr>
              <w:t>À mesurer</w:t>
            </w:r>
          </w:p>
        </w:tc>
      </w:tr>
      <w:tr>
        <w:tc>
          <w:tcPr>
            <w:tcW w:type="dxa" w:w="2493"/>
            <w:vAlign w:val="center"/>
            <w:shd w:val="clear" w:color="auto" w:fill="F8FAFC"/>
          </w:tcPr>
          <w:p>
            <w:pPr>
              <w:jc w:val="left"/>
            </w:pPr>
            <w:r>
              <w:rPr>
                <w:sz w:val="18"/>
              </w:rPr>
              <w:t>Adoption M+1 conseillères</w:t>
            </w:r>
          </w:p>
        </w:tc>
        <w:tc>
          <w:tcPr>
            <w:tcW w:type="dxa" w:w="2493"/>
            <w:vAlign w:val="center"/>
            <w:shd w:val="clear" w:color="auto" w:fill="F8FAFC"/>
          </w:tcPr>
          <w:p>
            <w:pPr>
              <w:jc w:val="center"/>
            </w:pPr>
            <w:r>
              <w:rPr>
                <w:sz w:val="18"/>
              </w:rPr>
              <w:t>≥ 70%</w:t>
            </w:r>
          </w:p>
        </w:tc>
        <w:tc>
          <w:tcPr>
            <w:tcW w:type="dxa" w:w="2493"/>
            <w:vAlign w:val="center"/>
            <w:shd w:val="clear" w:color="auto" w:fill="F8FAFC"/>
          </w:tcPr>
          <w:p>
            <w:pPr>
              <w:jc w:val="center"/>
            </w:pPr>
            <w:r>
              <w:rPr>
                <w:sz w:val="18"/>
              </w:rPr>
              <w:t>—</w:t>
            </w:r>
          </w:p>
        </w:tc>
        <w:tc>
          <w:tcPr>
            <w:tcW w:type="dxa" w:w="2493"/>
            <w:vAlign w:val="center"/>
          </w:tcPr>
          <w:p>
            <w:pPr>
              <w:jc w:val="center"/>
            </w:pPr>
            <w:r>
              <w:rPr>
                <w:sz w:val="18"/>
              </w:rPr>
              <w:t>À mesurer</w:t>
            </w:r>
          </w:p>
        </w:tc>
      </w:tr>
      <w:tr>
        <w:tc>
          <w:tcPr>
            <w:tcW w:type="dxa" w:w="2493"/>
            <w:vAlign w:val="center"/>
          </w:tcPr>
          <w:p>
            <w:pPr>
              <w:jc w:val="left"/>
            </w:pPr>
            <w:r>
              <w:rPr>
                <w:sz w:val="18"/>
              </w:rPr>
              <w:t>Taux scores ignorés (Article 22)</w:t>
            </w:r>
          </w:p>
        </w:tc>
        <w:tc>
          <w:tcPr>
            <w:tcW w:type="dxa" w:w="2493"/>
            <w:vAlign w:val="center"/>
          </w:tcPr>
          <w:p>
            <w:pPr>
              <w:jc w:val="center"/>
            </w:pPr>
            <w:r>
              <w:rPr>
                <w:sz w:val="18"/>
              </w:rPr>
              <w:t>≥ 15%</w:t>
            </w:r>
          </w:p>
        </w:tc>
        <w:tc>
          <w:tcPr>
            <w:tcW w:type="dxa" w:w="2493"/>
            <w:vAlign w:val="center"/>
          </w:tcPr>
          <w:p>
            <w:pPr>
              <w:jc w:val="center"/>
            </w:pPr>
            <w:r>
              <w:rPr>
                <w:sz w:val="18"/>
              </w:rPr>
              <w:t>—</w:t>
            </w:r>
          </w:p>
        </w:tc>
        <w:tc>
          <w:tcPr>
            <w:tcW w:type="dxa" w:w="2493"/>
            <w:vAlign w:val="center"/>
          </w:tcPr>
          <w:p>
            <w:pPr>
              <w:jc w:val="center"/>
            </w:pPr>
            <w:r>
              <w:rPr>
                <w:sz w:val="18"/>
              </w:rPr>
              <w:t>À mesurer</w:t>
            </w:r>
          </w:p>
        </w:tc>
      </w:tr>
      <w:tr>
        <w:tc>
          <w:tcPr>
            <w:tcW w:type="dxa" w:w="2493"/>
            <w:vAlign w:val="center"/>
            <w:shd w:val="clear" w:color="auto" w:fill="F8FAFC"/>
          </w:tcPr>
          <w:p>
            <w:pPr>
              <w:jc w:val="left"/>
            </w:pPr>
            <w:r>
              <w:rPr>
                <w:sz w:val="18"/>
              </w:rPr>
              <w:t>Score satisfaction restitution COMEX</w:t>
            </w:r>
          </w:p>
        </w:tc>
        <w:tc>
          <w:tcPr>
            <w:tcW w:type="dxa" w:w="2493"/>
            <w:vAlign w:val="center"/>
            <w:shd w:val="clear" w:color="auto" w:fill="F8FAFC"/>
          </w:tcPr>
          <w:p>
            <w:pPr>
              <w:jc w:val="center"/>
            </w:pPr>
            <w:r>
              <w:rPr>
                <w:sz w:val="18"/>
              </w:rPr>
              <w:t>≥ 4/5</w:t>
            </w:r>
          </w:p>
        </w:tc>
        <w:tc>
          <w:tcPr>
            <w:tcW w:type="dxa" w:w="2493"/>
            <w:vAlign w:val="center"/>
            <w:shd w:val="clear" w:color="auto" w:fill="F8FAFC"/>
          </w:tcPr>
          <w:p>
            <w:pPr>
              <w:jc w:val="center"/>
            </w:pPr>
            <w:r>
              <w:rPr>
                <w:sz w:val="18"/>
              </w:rPr>
              <w:t>—</w:t>
            </w:r>
          </w:p>
        </w:tc>
        <w:tc>
          <w:tcPr>
            <w:tcW w:type="dxa" w:w="2493"/>
            <w:vAlign w:val="center"/>
          </w:tcPr>
          <w:p>
            <w:pPr>
              <w:jc w:val="center"/>
            </w:pPr>
            <w:r>
              <w:rPr>
                <w:sz w:val="18"/>
              </w:rPr>
              <w:t>À mesurer</w:t>
            </w:r>
          </w:p>
        </w:tc>
      </w:tr>
      <w:tr>
        <w:tc>
          <w:tcPr>
            <w:tcW w:type="dxa" w:w="2493"/>
            <w:vAlign w:val="center"/>
          </w:tcPr>
          <w:p>
            <w:pPr>
              <w:jc w:val="left"/>
            </w:pPr>
            <w:r>
              <w:rPr>
                <w:sz w:val="18"/>
              </w:rPr>
              <w:t>Écart budgétaire</w:t>
            </w:r>
          </w:p>
        </w:tc>
        <w:tc>
          <w:tcPr>
            <w:tcW w:type="dxa" w:w="2493"/>
            <w:vAlign w:val="center"/>
          </w:tcPr>
          <w:p>
            <w:pPr>
              <w:jc w:val="center"/>
            </w:pPr>
            <w:r>
              <w:rPr>
                <w:sz w:val="18"/>
              </w:rPr>
              <w:t>≤ ±10%</w:t>
            </w:r>
          </w:p>
        </w:tc>
        <w:tc>
          <w:tcPr>
            <w:tcW w:type="dxa" w:w="2493"/>
            <w:vAlign w:val="center"/>
          </w:tcPr>
          <w:p>
            <w:pPr>
              <w:jc w:val="center"/>
            </w:pPr>
            <w:r>
              <w:rPr>
                <w:sz w:val="18"/>
              </w:rPr>
              <w:t>—</w:t>
            </w:r>
          </w:p>
        </w:tc>
        <w:tc>
          <w:tcPr>
            <w:tcW w:type="dxa" w:w="2493"/>
            <w:vAlign w:val="center"/>
          </w:tcPr>
          <w:p>
            <w:pPr>
              <w:jc w:val="center"/>
            </w:pPr>
            <w:r>
              <w:rPr>
                <w:sz w:val="18"/>
              </w:rPr>
              <w:t>À mesurer</w:t>
            </w:r>
          </w:p>
        </w:tc>
      </w:tr>
    </w:tbl>
    <w:p/>
    <w:tbl>
      <w:tblPr>
        <w:tblW w:type="auto" w:w="0"/>
        <w:tblLook w:firstColumn="1" w:firstRow="1" w:lastColumn="0" w:lastRow="0" w:noHBand="0" w:noVBand="1" w:val="04A0"/>
      </w:tblPr>
      <w:tblGrid>
        <w:gridCol w:w="9972"/>
      </w:tblGrid>
      <w:tr>
        <w:tc>
          <w:tcPr>
            <w:tcW w:type="dxa" w:w="9972"/>
            <w:shd w:val="clear" w:color="auto" w:fill="D1FAE5"/>
          </w:tcPr>
          <w:p>
            <w:r>
              <w:rPr>
                <w:b/>
                <w:color w:val="065F46"/>
                <w:sz w:val="22"/>
              </w:rPr>
              <w:t>🎯 Décision sollicitée : GO phase 1 (35 k€ HT) — 5 boutiques pilotes</w:t>
            </w:r>
          </w:p>
          <w:p>
            <w:pPr>
              <w:spacing w:after="0"/>
            </w:pPr>
            <w:r>
              <w:rPr>
                <w:sz w:val="20"/>
              </w:rPr>
              <w:t>Le COMEX est sollicité pour valider le GO sur la phase 1 (5 boutiques pilotes, 35 k€ HT, période 10 mars → 30 mars 2025) avec démarrage immédiat et démo de restitution le 30/03. La phase 2 (extension nationale, budget 80-100 k€ HT côté marketing + 25-40 k€ HT côté IT) fera l'objet d'un GO/NO-GO séparé après validation board du 22/04/2025 et signature Caroline + Thomas.</w:t>
            </w:r>
          </w:p>
        </w:tc>
      </w:tr>
    </w:tbl>
    <w:p/>
    <w:p>
      <w:pPr>
        <w:spacing w:after="80"/>
      </w:pPr>
      <w:r>
        <w:rPr>
          <w:b w:val="0"/>
          <w:i/>
          <w:sz w:val="18"/>
        </w:rPr>
        <w:t>Signataires : Sophie Lefèvre (Direction Marketing, sponsor) · Caroline Marchand (DG, ex-Sephora) · Mohamed Kassemi (Utopios — MA-IT Consulting, prestataire référent) · Pour avis : Mehdi Tazi (DSI), Anne Lopez (DPO), Thomas Verlaine (DAF), Claire Robin (Direction Retail)</w:t>
      </w:r>
    </w:p>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475569"/>
        <w:sz w:val="16"/>
      </w:rPr>
      <w:t>Mohamed Kassemi · Utopios — MA-IT Consulting · 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2" w:space="1" w:color="00AEEF"/>
      </w:pBdr>
    </w:pPr>
    <w:r>
      <w:rPr>
        <w:b/>
        <w:color w:val="0E1C33"/>
        <w:sz w:val="18"/>
      </w:rPr>
      <w:t>UTOPIOS · MA-IT CONSULTING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13DFD369A1AAC44894D14194C7688E9" ma:contentTypeVersion="11" ma:contentTypeDescription="Crée un document." ma:contentTypeScope="" ma:versionID="cf49c3de8148c8cc546756f07c645c21">
  <xsd:schema xmlns:xsd="http://www.w3.org/2001/XMLSchema" xmlns:xs="http://www.w3.org/2001/XMLSchema" xmlns:p="http://schemas.microsoft.com/office/2006/metadata/properties" xmlns:ns2="3c2bf3aa-a91c-4b6f-b8ca-d89e5279fe2a" xmlns:ns3="e425dd83-799c-4ff9-a9a6-f6a8064637e1" targetNamespace="http://schemas.microsoft.com/office/2006/metadata/properties" ma:root="true" ma:fieldsID="175034be094e24b6f4ed2934660117f3" ns2:_="" ns3:_="">
    <xsd:import namespace="3c2bf3aa-a91c-4b6f-b8ca-d89e5279fe2a"/>
    <xsd:import namespace="e425dd83-799c-4ff9-a9a6-f6a8064637e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2bf3aa-a91c-4b6f-b8ca-d89e5279fe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d4b6e4fd-4af2-4f07-b7d1-18266e58562b"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425dd83-799c-4ff9-a9a6-f6a8064637e1"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186b3eb-60d2-4154-b03c-a4c7679995e8}" ma:internalName="TaxCatchAll" ma:showField="CatchAllData" ma:web="e425dd83-799c-4ff9-a9a6-f6a8064637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c2bf3aa-a91c-4b6f-b8ca-d89e5279fe2a">
      <Terms xmlns="http://schemas.microsoft.com/office/infopath/2007/PartnerControls"/>
    </lcf76f155ced4ddcb4097134ff3c332f>
    <TaxCatchAll xmlns="e425dd83-799c-4ff9-a9a6-f6a8064637e1"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26D252A-ADF4-4AEE-B36F-44BF86ACB315}"/>
</file>

<file path=customXml/itemProps3.xml><?xml version="1.0" encoding="utf-8"?>
<ds:datastoreItem xmlns:ds="http://schemas.openxmlformats.org/officeDocument/2006/customXml" ds:itemID="{65BC1EB8-73BF-4DDA-9812-57BDCAF83207}"/>
</file>

<file path=customXml/itemProps4.xml><?xml version="1.0" encoding="utf-8"?>
<ds:datastoreItem xmlns:ds="http://schemas.openxmlformats.org/officeDocument/2006/customXml" ds:itemID="{97E3215A-5506-40CB-BF15-BAF631FD6D7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0x010100913DFD369A1AAC44894D14194C7688E9</vt:lpwstr>
  </property>
</Properties>
</file>