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Calibri" w:cs="Calibri" w:eastAsia="Calibri" w:hAnsi="Calibri"/>
          <w:b/>
          <w:bCs/>
          <w:color w:val="0E1C33"/>
          <w:sz w:val="40"/>
          <w:szCs w:val="40"/>
        </w:rPr>
        <w:t xml:space="preserve">Cahier des charges</w:t>
      </w:r>
    </w:p>
    <w:p>
      <w:pPr>
        <w:pBdr>
          <w:bottom w:val="single" w:color="00AEEF" w:sz="12"/>
        </w:pBdr>
        <w:spacing w:after="280" w:before="0"/>
      </w:pPr>
      <w:r>
        <w:rPr>
          <w:rFonts w:ascii="Calibri" w:cs="Calibri" w:eastAsia="Calibri" w:hAnsi="Calibri"/>
          <w:i/>
          <w:iCs/>
          <w:color w:val="0057B8"/>
          <w:sz w:val="22"/>
          <w:szCs w:val="22"/>
        </w:rPr>
        <w:t xml:space="preserve">Projet anti-churn fidélité — Maison Verlaine · v1 · 18 mars 2025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1C33"/>
                <w:sz w:val="20"/>
                <w:szCs w:val="20"/>
              </w:rPr>
              <w:t xml:space="preserve">Projet</w:t>
            </w:r>
          </w:p>
        </w:tc>
        <w:tc>
          <w:tcPr>
            <w:tcW w:type="dxa" w:w="656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Anti-churn fidélité — phase 1 démo + phase 2 pilote</w:t>
            </w:r>
          </w:p>
        </w:tc>
      </w:tr>
      <w:tr>
        <w:tc>
          <w:tcPr>
            <w:tcW w:type="dxa" w:w="28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1C33"/>
                <w:sz w:val="20"/>
                <w:szCs w:val="20"/>
              </w:rPr>
              <w:t xml:space="preserve">Sponsor</w:t>
            </w:r>
          </w:p>
        </w:tc>
        <w:tc>
          <w:tcPr>
            <w:tcW w:type="dxa" w:w="656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Sophie Lefèvre, Directrice Marketing</w:t>
            </w:r>
          </w:p>
        </w:tc>
      </w:tr>
      <w:tr>
        <w:tc>
          <w:tcPr>
            <w:tcW w:type="dxa" w:w="28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1C33"/>
                <w:sz w:val="20"/>
                <w:szCs w:val="20"/>
              </w:rPr>
              <w:t xml:space="preserve">Validation</w:t>
            </w:r>
          </w:p>
        </w:tc>
        <w:tc>
          <w:tcPr>
            <w:tcW w:type="dxa" w:w="656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DG (Caroline Marchand) au COMEX du 30 mars · DAF (Thomas Verlaine) phase 2</w:t>
            </w:r>
          </w:p>
        </w:tc>
      </w:tr>
      <w:tr>
        <w:tc>
          <w:tcPr>
            <w:tcW w:type="dxa" w:w="28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1C33"/>
                <w:sz w:val="20"/>
                <w:szCs w:val="20"/>
              </w:rPr>
              <w:t xml:space="preserve">Auteur</w:t>
            </w:r>
          </w:p>
        </w:tc>
        <w:tc>
          <w:tcPr>
            <w:tcW w:type="dxa" w:w="656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Mohamed Kassemi, Utopios — MA-IT Consulting</w:t>
            </w:r>
          </w:p>
        </w:tc>
      </w:tr>
      <w:tr>
        <w:tc>
          <w:tcPr>
            <w:tcW w:type="dxa" w:w="28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1C33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v1 du 18/03/2025 — à valider Sophie le 19/03</w:t>
            </w:r>
          </w:p>
        </w:tc>
      </w:tr>
      <w:tr>
        <w:tc>
          <w:tcPr>
            <w:tcW w:type="dxa" w:w="28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1C33"/>
                <w:sz w:val="20"/>
                <w:szCs w:val="20"/>
              </w:rPr>
              <w:t xml:space="preserve">Statut</w:t>
            </w:r>
          </w:p>
        </w:tc>
        <w:tc>
          <w:tcPr>
            <w:tcW w:type="dxa" w:w="656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2400E"/>
                <w:sz w:val="20"/>
                <w:szCs w:val="20"/>
              </w:rPr>
              <w:t xml:space="preserve">EN VALIDATION SPONSOR</w:t>
            </w:r>
          </w:p>
        </w:tc>
      </w:tr>
    </w:tbl>
    <w:p>
      <w:pPr>
        <w:pBdr>
          <w:bottom w:val="single" w:color="00AEEF" w:sz="8"/>
        </w:pBdr>
        <w:spacing w:after="160" w:before="320"/>
      </w:pPr>
      <w:r>
        <w:rPr>
          <w:rFonts w:ascii="Calibri" w:cs="Calibri" w:eastAsia="Calibri" w:hAnsi="Calibri"/>
          <w:b/>
          <w:bCs/>
          <w:color w:val="0E1C33"/>
          <w:sz w:val="32"/>
          <w:szCs w:val="32"/>
        </w:rPr>
        <w:t xml:space="preserve">1. Contexte et enjeux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Maison Verlaine, marque française de prêt-à-porter premium (45 boutiques, 75 M€ CA, 280 000 membres fidélité), constate une érosion annuelle de 12 % sur son noyau de clientes premium (~30 000 clientes dépensant ≥ 1 500 €/an). À l'échelle de l'ensemble du programme, cette perte représente ~1,8 M€ de CA récurrent par an.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La direction marketing souhaite outiller les conseillères en boutique pour leur permettre d'identifier les clientes à risque de rupture et d'agir avant la perte effective. Le projet est porté politiquement par la nouvelle DG (Caroline Marchand, ex-Sephora) qui souhaite démontrer la modernité data du groupe au COMEX du 30 mars.</w:t>
      </w:r>
    </w:p>
    <w:p>
      <w:pPr>
        <w:pBdr>
          <w:bottom w:val="single" w:color="00AEEF" w:sz="8"/>
        </w:pBdr>
        <w:spacing w:after="160" w:before="320"/>
      </w:pPr>
      <w:r>
        <w:rPr>
          <w:rFonts w:ascii="Calibri" w:cs="Calibri" w:eastAsia="Calibri" w:hAnsi="Calibri"/>
          <w:b/>
          <w:bCs/>
          <w:color w:val="0E1C33"/>
          <w:sz w:val="32"/>
          <w:szCs w:val="32"/>
        </w:rPr>
        <w:t xml:space="preserve">2. Objectifs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57B8"/>
          <w:sz w:val="24"/>
          <w:szCs w:val="24"/>
        </w:rPr>
        <w:t xml:space="preserve">2.1 Objectif principal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Construire un score de risque de churn premium, exploitable par les conseillères des 5 boutiques pilotes (Lyon Presqu'île, Bordeaux Saint-Catherine, Paris Marais, Lille Grand-Place, Marseille Castellane), permettant d'agir 2 à 3 mois avant la rupture définitive.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57B8"/>
          <w:sz w:val="24"/>
          <w:szCs w:val="24"/>
        </w:rPr>
        <w:t xml:space="preserve">2.2 Objectifs mesurables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057B8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Recall ≥ 70 % sur les clientes ayant effectivement quitté le programme dans les 12 derniers mois (référence rétrospective).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057B8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Précision ≥ 25 % (faux positifs gérables par les conseillères).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057B8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≥ 60 % des clientes flaggées « à risque » effectivement contactées par une conseillère sous 30 jours.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057B8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NPS conseillères ≥ +15 sur l'utilisation de l'outil à 3 mois de mise en service.</w:t>
      </w:r>
    </w:p>
    <w:p>
      <w:pPr>
        <w:pBdr>
          <w:bottom w:val="single" w:color="00AEEF" w:sz="8"/>
        </w:pBdr>
        <w:spacing w:after="160" w:before="320"/>
      </w:pPr>
      <w:r>
        <w:rPr>
          <w:rFonts w:ascii="Calibri" w:cs="Calibri" w:eastAsia="Calibri" w:hAnsi="Calibri"/>
          <w:b/>
          <w:bCs/>
          <w:color w:val="0E1C33"/>
          <w:sz w:val="32"/>
          <w:szCs w:val="32"/>
        </w:rPr>
        <w:t xml:space="preserve">3. Périmètre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57B8"/>
          <w:sz w:val="24"/>
          <w:szCs w:val="24"/>
        </w:rPr>
        <w:t xml:space="preserve">3.1 Périmètre fonctionnel — phase 1 (démo)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057B8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Score calculé sur ~30 000 clientes premium (≥ 1 500 € CA cumulé sur 12 mois, ≥ 2 transactions).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057B8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Démo en boutique pilote Lyon Presqu'île pour le COMEX du 30 mars (présentation Sophie Lefèvre + Camille Berthier).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057B8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Périmètre data : 24 mois CRM Salesforce + 24 mois Cegid (réconciliation J+1).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57B8"/>
          <w:sz w:val="24"/>
          <w:szCs w:val="24"/>
        </w:rPr>
        <w:t xml:space="preserve">3.2 Périmètre fonctionnel — phase 2 (pilote)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057B8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Déploiement opérationnel sur les 5 boutiques pilotes.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057B8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Intégration au CRM Salesforce (champ custom score_churn_premium, mise à jour quotidienne).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057B8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Formation des conseillères pilotes (1/2 journée par boutique).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57B8"/>
          <w:sz w:val="24"/>
          <w:szCs w:val="24"/>
        </w:rPr>
        <w:t xml:space="preserve">3.3 Hors périmètre (à ce stade)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057B8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Données NPS Typeform (silo, réconciliation coûteuse).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057B8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Données Zendesk (réclamations) — extraction post-cadrage, pas dans le modèle V1.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057B8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Cahier papier conseillères (AIPD spécifique requise, à traiter en phase 3 si pertinent).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057B8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Données comportementales conseillère/cliente (RGPD : exclu).</w:t>
      </w:r>
    </w:p>
    <w:p>
      <w:pPr>
        <w:pBdr>
          <w:bottom w:val="single" w:color="00AEEF" w:sz="8"/>
        </w:pBdr>
        <w:spacing w:after="160" w:before="320"/>
      </w:pPr>
      <w:r>
        <w:rPr>
          <w:rFonts w:ascii="Calibri" w:cs="Calibri" w:eastAsia="Calibri" w:hAnsi="Calibri"/>
          <w:b/>
          <w:bCs/>
          <w:color w:val="0E1C33"/>
          <w:sz w:val="32"/>
          <w:szCs w:val="32"/>
        </w:rPr>
        <w:t xml:space="preserve">4. Livrables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1400"/>
        <w:gridCol w:w="1400"/>
      </w:tblGrid>
      <w:tr>
        <w:tc>
          <w:tcPr>
            <w:tcW w:type="dxa" w:w="22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0E1C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Livrable</w:t>
            </w:r>
          </w:p>
        </w:tc>
        <w:tc>
          <w:tcPr>
            <w:tcW w:type="dxa" w:w="436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0E1C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0E1C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0E1C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</w:tr>
      <w:tr>
        <w:tc>
          <w:tcPr>
            <w:tcW w:type="dxa" w:w="22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Note de cadrage</w:t>
            </w:r>
          </w:p>
        </w:tc>
        <w:tc>
          <w:tcPr>
            <w:tcW w:type="dxa" w:w="436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Document de cadrage validé sponsor — Trame déjà fournie (mallette 1)</w:t>
            </w:r>
          </w:p>
        </w:tc>
        <w:tc>
          <w:tcPr>
            <w:tcW w:type="dxa" w:w="14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Phase 1</w:t>
            </w:r>
          </w:p>
        </w:tc>
        <w:tc>
          <w:tcPr>
            <w:tcW w:type="dxa" w:w="14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.docx</w:t>
            </w:r>
          </w:p>
        </w:tc>
      </w:tr>
      <w:tr>
        <w:tc>
          <w:tcPr>
            <w:tcW w:type="dxa" w:w="22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Modèle de scoring</w:t>
            </w:r>
          </w:p>
        </w:tc>
        <w:tc>
          <w:tcPr>
            <w:tcW w:type="dxa" w:w="436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Modèle ML (XGBoost ou équivalent) entraîné sur 24 mois CRM, calibré, expliquable (SHAP)</w:t>
            </w:r>
          </w:p>
        </w:tc>
        <w:tc>
          <w:tcPr>
            <w:tcW w:type="dxa" w:w="14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Phase 1</w:t>
            </w:r>
          </w:p>
        </w:tc>
        <w:tc>
          <w:tcPr>
            <w:tcW w:type="dxa" w:w="14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Python + .pkl</w:t>
            </w:r>
          </w:p>
        </w:tc>
      </w:tr>
      <w:tr>
        <w:tc>
          <w:tcPr>
            <w:tcW w:type="dxa" w:w="22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Démo Streamlit</w:t>
            </w:r>
          </w:p>
        </w:tc>
        <w:tc>
          <w:tcPr>
            <w:tcW w:type="dxa" w:w="436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Interface de démo pour le COMEX du 30 mars : visualisation score + top features par cliente</w:t>
            </w:r>
          </w:p>
        </w:tc>
        <w:tc>
          <w:tcPr>
            <w:tcW w:type="dxa" w:w="14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Phase 1</w:t>
            </w:r>
          </w:p>
        </w:tc>
        <w:tc>
          <w:tcPr>
            <w:tcW w:type="dxa" w:w="14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22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Intégration Salesforce</w:t>
            </w:r>
          </w:p>
        </w:tc>
        <w:tc>
          <w:tcPr>
            <w:tcW w:type="dxa" w:w="436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Champ custom score_churn_premium + batch nocturne d'écriture</w:t>
            </w:r>
          </w:p>
        </w:tc>
        <w:tc>
          <w:tcPr>
            <w:tcW w:type="dxa" w:w="14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Phase 2</w:t>
            </w:r>
          </w:p>
        </w:tc>
        <w:tc>
          <w:tcPr>
            <w:tcW w:type="dxa" w:w="14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Salesforce</w:t>
            </w:r>
          </w:p>
        </w:tc>
      </w:tr>
      <w:tr>
        <w:tc>
          <w:tcPr>
            <w:tcW w:type="dxa" w:w="22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Documentation modèle</w:t>
            </w:r>
          </w:p>
        </w:tc>
        <w:tc>
          <w:tcPr>
            <w:tcW w:type="dxa" w:w="436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Model card : performance, biais, limites, conditions d'usage</w:t>
            </w:r>
          </w:p>
        </w:tc>
        <w:tc>
          <w:tcPr>
            <w:tcW w:type="dxa" w:w="14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Phase 1+2</w:t>
            </w:r>
          </w:p>
        </w:tc>
        <w:tc>
          <w:tcPr>
            <w:tcW w:type="dxa" w:w="14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.md / .docx</w:t>
            </w:r>
          </w:p>
        </w:tc>
      </w:tr>
      <w:tr>
        <w:tc>
          <w:tcPr>
            <w:tcW w:type="dxa" w:w="22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AIPD</w:t>
            </w:r>
          </w:p>
        </w:tc>
        <w:tc>
          <w:tcPr>
            <w:tcW w:type="dxa" w:w="436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Analyse d'impact RGPD réalisée par Anne Lopez (DPO interne)</w:t>
            </w:r>
          </w:p>
        </w:tc>
        <w:tc>
          <w:tcPr>
            <w:tcW w:type="dxa" w:w="14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Phase 1</w:t>
            </w:r>
          </w:p>
        </w:tc>
        <w:tc>
          <w:tcPr>
            <w:tcW w:type="dxa" w:w="14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.docx</w:t>
            </w:r>
          </w:p>
        </w:tc>
      </w:tr>
      <w:tr>
        <w:tc>
          <w:tcPr>
            <w:tcW w:type="dxa" w:w="22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Dashboard de suivi</w:t>
            </w:r>
          </w:p>
        </w:tc>
        <w:tc>
          <w:tcPr>
            <w:tcW w:type="dxa" w:w="436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Indicateurs adoption + performance modèle (Power BI)</w:t>
            </w:r>
          </w:p>
        </w:tc>
        <w:tc>
          <w:tcPr>
            <w:tcW w:type="dxa" w:w="14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Phase 2</w:t>
            </w:r>
          </w:p>
        </w:tc>
        <w:tc>
          <w:tcPr>
            <w:tcW w:type="dxa" w:w="14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Power BI</w:t>
            </w:r>
          </w:p>
        </w:tc>
      </w:tr>
    </w:tbl>
    <w:p>
      <w:pPr>
        <w:pBdr>
          <w:bottom w:val="single" w:color="00AEEF" w:sz="8"/>
        </w:pBdr>
        <w:spacing w:after="160" w:before="320"/>
      </w:pPr>
      <w:r>
        <w:rPr>
          <w:rFonts w:ascii="Calibri" w:cs="Calibri" w:eastAsia="Calibri" w:hAnsi="Calibri"/>
          <w:b/>
          <w:bCs/>
          <w:color w:val="0E1C33"/>
          <w:sz w:val="32"/>
          <w:szCs w:val="32"/>
        </w:rPr>
        <w:t xml:space="preserve">5. Contraintes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57B8"/>
          <w:sz w:val="24"/>
          <w:szCs w:val="24"/>
        </w:rPr>
        <w:t xml:space="preserve">5.1 Contraintes techniques (cf. mail Mehdi Tazi du 14/03)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057B8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Accès Snowflake limité à 2 utilisateurs Utopios, warehouse SMALL, 50 crédits/sem max.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057B8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Aucune copie de données en local (audit ISO janvier 2025).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057B8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Chiffrement disque obligatoire sur tout poste accédant aux données.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057B8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Pas d'API push externe vers Salesforce — écriture des scores via export CSV nocturne.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057B8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Délai de mise à jour score = T+24h (acceptable phase 1/2).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57B8"/>
          <w:sz w:val="24"/>
          <w:szCs w:val="24"/>
        </w:rPr>
        <w:t xml:space="preserve">5.2 Contraintes RGPD (à enrichir J2-aprem)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057B8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AIPD obligatoire avant industrialisation (Anne Lopez, DPO).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057B8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Profilage à grande échelle → information clientes prévue dans newsletter avril.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057B8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Données interdites : taille vêtement, données comportementales conseillère.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57B8"/>
          <w:sz w:val="24"/>
          <w:szCs w:val="24"/>
        </w:rPr>
        <w:t xml:space="preserve">5.3 Contraintes métier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057B8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Démo COMEX 30 mars = date butoir absolue.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057B8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Conseillères ne doivent pas se sentir fliquées (cf. brief sponsor).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057B8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Score doit être explicable (3 facteurs principaux affichés à la conseillère).</w:t>
      </w:r>
    </w:p>
    <w:p>
      <w:pPr>
        <w:pBdr>
          <w:bottom w:val="single" w:color="00AEEF" w:sz="8"/>
        </w:pBdr>
        <w:spacing w:after="160" w:before="320"/>
      </w:pPr>
      <w:r>
        <w:rPr>
          <w:rFonts w:ascii="Calibri" w:cs="Calibri" w:eastAsia="Calibri" w:hAnsi="Calibri"/>
          <w:b/>
          <w:bCs/>
          <w:color w:val="0E1C33"/>
          <w:sz w:val="32"/>
          <w:szCs w:val="32"/>
        </w:rPr>
        <w:t xml:space="preserve">6. Critères de succès et Definition of Done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960"/>
        <w:gridCol w:w="2000"/>
      </w:tblGrid>
      <w:tr>
        <w:tc>
          <w:tcPr>
            <w:tcW w:type="dxa" w:w="24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0E1C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dxa" w:w="496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0E1C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Definition of Done</w:t>
            </w:r>
          </w:p>
        </w:tc>
        <w:tc>
          <w:tcPr>
            <w:tcW w:type="dxa" w:w="20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0E1C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Cible</w:t>
            </w:r>
          </w:p>
        </w:tc>
      </w:tr>
      <w:tr>
        <w:tc>
          <w:tcPr>
            <w:tcW w:type="dxa" w:w="24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Performance modèle</w:t>
            </w:r>
          </w:p>
        </w:tc>
        <w:tc>
          <w:tcPr>
            <w:tcW w:type="dxa" w:w="496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Recall et précision validés sur jeu test temporel</w:t>
            </w:r>
          </w:p>
        </w:tc>
        <w:tc>
          <w:tcPr>
            <w:tcW w:type="dxa" w:w="20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Recall ≥ 70 % · Préc. ≥ 25 %</w:t>
            </w:r>
          </w:p>
        </w:tc>
      </w:tr>
      <w:tr>
        <w:tc>
          <w:tcPr>
            <w:tcW w:type="dxa" w:w="24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Démo COMEX OK</w:t>
            </w:r>
          </w:p>
        </w:tc>
        <w:tc>
          <w:tcPr>
            <w:tcW w:type="dxa" w:w="496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Application fonctionnelle, 5 cas réels présentés, durée 7 min</w:t>
            </w:r>
          </w:p>
        </w:tc>
        <w:tc>
          <w:tcPr>
            <w:tcW w:type="dxa" w:w="20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Validée par Sophie + Caroline</w:t>
            </w:r>
          </w:p>
        </w:tc>
      </w:tr>
      <w:tr>
        <w:tc>
          <w:tcPr>
            <w:tcW w:type="dxa" w:w="24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AIPD</w:t>
            </w:r>
          </w:p>
        </w:tc>
        <w:tc>
          <w:tcPr>
            <w:tcW w:type="dxa" w:w="496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AIPD signée par DPO, conforme méthodologie CNIL</w:t>
            </w:r>
          </w:p>
        </w:tc>
        <w:tc>
          <w:tcPr>
            <w:tcW w:type="dxa" w:w="20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Avant lancement phase 2</w:t>
            </w:r>
          </w:p>
        </w:tc>
      </w:tr>
      <w:tr>
        <w:tc>
          <w:tcPr>
            <w:tcW w:type="dxa" w:w="24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Adoption pilote</w:t>
            </w:r>
          </w:p>
        </w:tc>
        <w:tc>
          <w:tcPr>
            <w:tcW w:type="dxa" w:w="496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Vendeuses formées et utilisant l'outil au moins 1×/semaine</w:t>
            </w:r>
          </w:p>
        </w:tc>
        <w:tc>
          <w:tcPr>
            <w:tcW w:type="dxa" w:w="20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≥ 70 % à 3 mois</w:t>
            </w:r>
          </w:p>
        </w:tc>
      </w:tr>
    </w:tbl>
    <w:p>
      <w:pPr>
        <w:pBdr>
          <w:bottom w:val="single" w:color="00AEEF" w:sz="8"/>
        </w:pBdr>
        <w:spacing w:after="160" w:before="320"/>
      </w:pPr>
      <w:r>
        <w:rPr>
          <w:rFonts w:ascii="Calibri" w:cs="Calibri" w:eastAsia="Calibri" w:hAnsi="Calibri"/>
          <w:b/>
          <w:bCs/>
          <w:color w:val="0E1C33"/>
          <w:sz w:val="32"/>
          <w:szCs w:val="32"/>
        </w:rPr>
        <w:t xml:space="preserve">7. Annexes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Annexe A — Cartographie des parties prenantes (cf. trame T02 J1-matin).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Annexe B — Matrice besoins exprimé/réel/caché (cf. trame T03 J1-matin).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Annexe C — Inventaire des données (à compléter J2-aprem).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Annexe D — Analyse RGPD (à compléter J2-aprem, après mail DPO).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Annexe E — Fiche de veille techno (à compléter J2-matin).</w:t>
      </w:r>
    </w:p>
    <w:p>
      <w:pPr>
        <w:pBdr>
          <w:bottom w:val="single" w:color="00AEEF" w:sz="8"/>
        </w:pBdr>
        <w:spacing w:after="160" w:before="320"/>
      </w:pPr>
      <w:r>
        <w:rPr>
          <w:rFonts w:ascii="Calibri" w:cs="Calibri" w:eastAsia="Calibri" w:hAnsi="Calibri"/>
          <w:b/>
          <w:bCs/>
          <w:color w:val="0E1C33"/>
          <w:sz w:val="32"/>
          <w:szCs w:val="32"/>
        </w:rPr>
        <w:t xml:space="preserve">8.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0E1C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Sponsor</w:t>
            </w:r>
          </w:p>
        </w:tc>
        <w:tc>
          <w:tcPr>
            <w:tcW w:type="dxa" w:w="312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0E1C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DSI</w:t>
            </w:r>
          </w:p>
        </w:tc>
        <w:tc>
          <w:tcPr>
            <w:tcW w:type="dxa" w:w="312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0E1C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DPO</w:t>
            </w:r>
          </w:p>
        </w:tc>
      </w:tr>
      <w:tr>
        <w:tc>
          <w:tcPr>
            <w:tcW w:type="dxa" w:w="312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Sophie Lefèvre</w:t>
            </w:r>
          </w:p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Directrice Marketing</w:t>
            </w:r>
          </w:p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Date : ___________</w:t>
            </w:r>
          </w:p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Signature :</w:t>
            </w:r>
          </w:p>
        </w:tc>
        <w:tc>
          <w:tcPr>
            <w:tcW w:type="dxa" w:w="312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Mehdi Tazi</w:t>
            </w:r>
          </w:p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DSI</w:t>
            </w:r>
          </w:p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Date : ___________</w:t>
            </w:r>
          </w:p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Signature :</w:t>
            </w:r>
          </w:p>
        </w:tc>
        <w:tc>
          <w:tcPr>
            <w:tcW w:type="dxa" w:w="312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Anne Lopez</w:t>
            </w:r>
          </w:p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DPO</w:t>
            </w:r>
          </w:p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Date : ___________</w:t>
            </w:r>
          </w:p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Signature :</w:t>
            </w:r>
          </w:p>
        </w:tc>
      </w:tr>
    </w:tbl>
    <w:sectPr>
      <w:footerReference w:type="default" r:id="rId7"/>
      <w:pgSz w:w="11906" w:h="16838" w:orient="portrait"/>
      <w:pgMar w:top="1008" w:right="1224" w:bottom="1008" w:left="122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AEEF" w:sz="6" w:space="4"/>
      </w:pBdr>
      <w:jc w:val="center"/>
    </w:pPr>
    <w:r>
      <w:rPr>
        <w:rFonts w:ascii="Calibri" w:cs="Calibri" w:eastAsia="Calibri" w:hAnsi="Calibri"/>
        <w:i/>
        <w:iCs/>
        <w:color w:val="4A5568"/>
        <w:sz w:val="16"/>
        <w:szCs w:val="16"/>
      </w:rPr>
      <w:t xml:space="preserve">Verlaine — CDC anti-churn premium · v1  ·  </w:t>
    </w:r>
    <w:r>
      <w:rPr>
        <w:rFonts w:ascii="Calibri" w:cs="Calibri" w:eastAsia="Calibri" w:hAnsi="Calibri"/>
        <w:color w:val="4A5568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5568"/>
        <w:sz w:val="16"/>
        <w:szCs w:val="16"/>
      </w:rPr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footnotes" Target="footnotes.xml"/><Relationship Id="rId7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openxmlformats.org/officeDocument/2006/relationships/endnotes" Target="endnotes.xml"/><Relationship Id="rId9" Type="http://schemas.openxmlformats.org/officeDocument/2006/relationships/customXml" Target="../customXml/item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13DFD369A1AAC44894D14194C7688E9" ma:contentTypeVersion="11" ma:contentTypeDescription="Crée un document." ma:contentTypeScope="" ma:versionID="cf49c3de8148c8cc546756f07c645c21">
  <xsd:schema xmlns:xsd="http://www.w3.org/2001/XMLSchema" xmlns:xs="http://www.w3.org/2001/XMLSchema" xmlns:p="http://schemas.microsoft.com/office/2006/metadata/properties" xmlns:ns2="3c2bf3aa-a91c-4b6f-b8ca-d89e5279fe2a" xmlns:ns3="e425dd83-799c-4ff9-a9a6-f6a8064637e1" targetNamespace="http://schemas.microsoft.com/office/2006/metadata/properties" ma:root="true" ma:fieldsID="175034be094e24b6f4ed2934660117f3" ns2:_="" ns3:_="">
    <xsd:import namespace="3c2bf3aa-a91c-4b6f-b8ca-d89e5279fe2a"/>
    <xsd:import namespace="e425dd83-799c-4ff9-a9a6-f6a8064637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2bf3aa-a91c-4b6f-b8ca-d89e5279fe2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d4b6e4fd-4af2-4f07-b7d1-18266e5856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25dd83-799c-4ff9-a9a6-f6a8064637e1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5186b3eb-60d2-4154-b03c-a4c7679995e8}" ma:internalName="TaxCatchAll" ma:showField="CatchAllData" ma:web="e425dd83-799c-4ff9-a9a6-f6a8064637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c2bf3aa-a91c-4b6f-b8ca-d89e5279fe2a">
      <Terms xmlns="http://schemas.microsoft.com/office/infopath/2007/PartnerControls"/>
    </lcf76f155ced4ddcb4097134ff3c332f>
    <TaxCatchAll xmlns="e425dd83-799c-4ff9-a9a6-f6a8064637e1" xsi:nil="true"/>
  </documentManagement>
</p:properties>
</file>

<file path=customXml/itemProps1.xml><?xml version="1.0" encoding="utf-8"?>
<ds:datastoreItem xmlns:ds="http://schemas.openxmlformats.org/officeDocument/2006/customXml" ds:itemID="{859EBF70-D8C7-4AF1-80C1-A7BF85F51381}"/>
</file>

<file path=customXml/itemProps2.xml><?xml version="1.0" encoding="utf-8"?>
<ds:datastoreItem xmlns:ds="http://schemas.openxmlformats.org/officeDocument/2006/customXml" ds:itemID="{AC8A8D27-0601-4BA3-9DA6-C3C063748070}"/>
</file>

<file path=customXml/itemProps3.xml><?xml version="1.0" encoding="utf-8"?>
<ds:datastoreItem xmlns:ds="http://schemas.openxmlformats.org/officeDocument/2006/customXml" ds:itemID="{93DB9D95-61AD-402F-9E06-1BC84375E738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Utopios — MA-IT Consulting</dc:creator>
  <cp:lastModifiedBy>Un-named</cp:lastModifiedBy>
  <cp:revision>1</cp:revision>
  <dcterms:created xsi:type="dcterms:W3CDTF">2026-05-10T14:46:21Z</dcterms:created>
  <dcterms:modified xsi:type="dcterms:W3CDTF">2026-05-10T14:46:21Z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0x010100913DFD369A1AAC44894D14194C7688E9</vt:lpwstr>
  </property>
</Properties>
</file>