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0E1C33"/>
          <w:sz w:val="36"/>
          <w:szCs w:val="36"/>
        </w:rPr>
        <w:t xml:space="preserve">Fiche de veille technologique</w:t>
      </w:r>
    </w:p>
    <w:p>
      <w:pPr>
        <w:pBdr>
          <w:bottom w:val="single" w:color="00AEEF" w:sz="12"/>
        </w:pBdr>
        <w:spacing w:after="240" w:before="0"/>
      </w:pPr>
      <w:r>
        <w:rPr>
          <w:rFonts w:ascii="Calibri" w:cs="Calibri" w:eastAsia="Calibri" w:hAnsi="Calibri"/>
          <w:i/>
          <w:iCs/>
          <w:color w:val="0057B8"/>
          <w:sz w:val="22"/>
          <w:szCs w:val="22"/>
        </w:rPr>
        <w:t xml:space="preserve">Cas Verlaine · J2-matin · Compétence C6.2 · Auteur : Mohamed Kassemi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DF2F7" w:sz="4"/>
              <w:left w:val="single" w:color="EDF2F7" w:sz="4"/>
              <w:bottom w:val="single" w:color="EDF2F7" w:sz="4"/>
              <w:right w:val="single" w:color="EDF2F7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Techno évaluée</w:t>
            </w:r>
          </w:p>
        </w:tc>
        <w:tc>
          <w:tcPr>
            <w:tcW w:type="dxa" w:w="6560"/>
            <w:tcBorders>
              <w:top w:val="single" w:color="EDF2F7" w:sz="4"/>
              <w:left w:val="single" w:color="EDF2F7" w:sz="4"/>
              <w:bottom w:val="single" w:color="EDF2F7" w:sz="4"/>
              <w:right w:val="single" w:color="EDF2F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SHAP (SHapley Additive exPlanations)</w:t>
            </w:r>
          </w:p>
        </w:tc>
      </w:tr>
      <w:tr>
        <w:tc>
          <w:tcPr>
            <w:tcW w:type="dxa" w:w="2800"/>
            <w:tcBorders>
              <w:top w:val="single" w:color="EDF2F7" w:sz="4"/>
              <w:left w:val="single" w:color="EDF2F7" w:sz="4"/>
              <w:bottom w:val="single" w:color="EDF2F7" w:sz="4"/>
              <w:right w:val="single" w:color="EDF2F7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Catégorie</w:t>
            </w:r>
          </w:p>
        </w:tc>
        <w:tc>
          <w:tcPr>
            <w:tcW w:type="dxa" w:w="6560"/>
            <w:tcBorders>
              <w:top w:val="single" w:color="EDF2F7" w:sz="4"/>
              <w:left w:val="single" w:color="EDF2F7" w:sz="4"/>
              <w:bottom w:val="single" w:color="EDF2F7" w:sz="4"/>
              <w:right w:val="single" w:color="EDF2F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ML Explainability — bibliothèque Python</w:t>
            </w:r>
          </w:p>
        </w:tc>
      </w:tr>
      <w:tr>
        <w:tc>
          <w:tcPr>
            <w:tcW w:type="dxa" w:w="2800"/>
            <w:tcBorders>
              <w:top w:val="single" w:color="EDF2F7" w:sz="4"/>
              <w:left w:val="single" w:color="EDF2F7" w:sz="4"/>
              <w:bottom w:val="single" w:color="EDF2F7" w:sz="4"/>
              <w:right w:val="single" w:color="EDF2F7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Date évaluation</w:t>
            </w:r>
          </w:p>
        </w:tc>
        <w:tc>
          <w:tcPr>
            <w:tcW w:type="dxa" w:w="6560"/>
            <w:tcBorders>
              <w:top w:val="single" w:color="EDF2F7" w:sz="4"/>
              <w:left w:val="single" w:color="EDF2F7" w:sz="4"/>
              <w:bottom w:val="single" w:color="EDF2F7" w:sz="4"/>
              <w:right w:val="single" w:color="EDF2F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24 mars 2025</w:t>
            </w:r>
          </w:p>
        </w:tc>
      </w:tr>
      <w:tr>
        <w:tc>
          <w:tcPr>
            <w:tcW w:type="dxa" w:w="2800"/>
            <w:tcBorders>
              <w:top w:val="single" w:color="EDF2F7" w:sz="4"/>
              <w:left w:val="single" w:color="EDF2F7" w:sz="4"/>
              <w:bottom w:val="single" w:color="EDF2F7" w:sz="4"/>
              <w:right w:val="single" w:color="EDF2F7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Source primaire</w:t>
            </w:r>
          </w:p>
        </w:tc>
        <w:tc>
          <w:tcPr>
            <w:tcW w:type="dxa" w:w="6560"/>
            <w:tcBorders>
              <w:top w:val="single" w:color="EDF2F7" w:sz="4"/>
              <w:left w:val="single" w:color="EDF2F7" w:sz="4"/>
              <w:bottom w:val="single" w:color="EDF2F7" w:sz="4"/>
              <w:right w:val="single" w:color="EDF2F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github.com/shap/shap · documentation officielle · note Confluence Karim Benali (S07)</w:t>
            </w:r>
          </w:p>
        </w:tc>
      </w:tr>
      <w:tr>
        <w:tc>
          <w:tcPr>
            <w:tcW w:type="dxa" w:w="2800"/>
            <w:tcBorders>
              <w:top w:val="single" w:color="EDF2F7" w:sz="4"/>
              <w:left w:val="single" w:color="EDF2F7" w:sz="4"/>
              <w:bottom w:val="single" w:color="EDF2F7" w:sz="4"/>
              <w:right w:val="single" w:color="EDF2F7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Projet concerné</w:t>
            </w:r>
          </w:p>
        </w:tc>
        <w:tc>
          <w:tcPr>
            <w:tcW w:type="dxa" w:w="6560"/>
            <w:tcBorders>
              <w:top w:val="single" w:color="EDF2F7" w:sz="4"/>
              <w:left w:val="single" w:color="EDF2F7" w:sz="4"/>
              <w:bottom w:val="single" w:color="EDF2F7" w:sz="4"/>
              <w:right w:val="single" w:color="EDF2F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Anti-churn fidélité — phase 1 démo + phase 2 pilote</w:t>
            </w:r>
          </w:p>
        </w:tc>
      </w:tr>
    </w:tbl>
    <w:p>
      <w:pPr>
        <w:pBdr>
          <w:bottom w:val="single" w:color="00AEEF" w:sz="8"/>
        </w:pBdr>
        <w:spacing w:after="160" w:before="320"/>
      </w:pPr>
      <w:r>
        <w:rPr>
          <w:rFonts w:ascii="Calibri" w:cs="Calibri" w:eastAsia="Calibri" w:hAnsi="Calibri"/>
          <w:b/>
          <w:bCs/>
          <w:color w:val="0E1C33"/>
          <w:sz w:val="28"/>
          <w:szCs w:val="28"/>
        </w:rPr>
        <w:t xml:space="preserve">1. Présentation et finalité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SHAP est une bibliothèque Python open-source qui calcule la contribution de chaque feature à la prédiction d'un modèle de machine learning, en s'appuyant sur les valeurs de Shapley issues de la théorie des jeux coopératifs.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Pour le projet Verlaine, l'enjeu est de pouvoir afficher aux conseillères les 3 facteurs principaux qui expliquent pourquoi une cliente est flaggée comme à risque de churn — exigence explicite du brief sponsor (mail Sophie Lefèvre du 10/03) et obligation réglementaire (RGPD art. 22, lignes directrices CNIL).</w:t>
      </w:r>
    </w:p>
    <w:p>
      <w:pPr>
        <w:pBdr>
          <w:bottom w:val="single" w:color="00AEEF" w:sz="8"/>
        </w:pBdr>
        <w:spacing w:after="160" w:before="320"/>
      </w:pPr>
      <w:r>
        <w:rPr>
          <w:rFonts w:ascii="Calibri" w:cs="Calibri" w:eastAsia="Calibri" w:hAnsi="Calibri"/>
          <w:b/>
          <w:bCs/>
          <w:color w:val="0E1C33"/>
          <w:sz w:val="28"/>
          <w:szCs w:val="28"/>
        </w:rPr>
        <w:t xml:space="preserve">2. Évaluation détaillée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EDF2F7" w:sz="4"/>
              <w:left w:val="single" w:color="EDF2F7" w:sz="4"/>
              <w:bottom w:val="single" w:color="EDF2F7" w:sz="4"/>
              <w:right w:val="single" w:color="EDF2F7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Critère</w:t>
            </w:r>
          </w:p>
        </w:tc>
        <w:tc>
          <w:tcPr>
            <w:tcW w:type="dxa" w:w="1600"/>
            <w:tcBorders>
              <w:top w:val="single" w:color="EDF2F7" w:sz="4"/>
              <w:left w:val="single" w:color="EDF2F7" w:sz="4"/>
              <w:bottom w:val="single" w:color="EDF2F7" w:sz="4"/>
              <w:right w:val="single" w:color="EDF2F7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Note (sur 5)</w:t>
            </w:r>
          </w:p>
        </w:tc>
        <w:tc>
          <w:tcPr>
            <w:tcW w:type="dxa" w:w="4960"/>
            <w:tcBorders>
              <w:top w:val="single" w:color="EDF2F7" w:sz="4"/>
              <w:left w:val="single" w:color="EDF2F7" w:sz="4"/>
              <w:bottom w:val="single" w:color="EDF2F7" w:sz="4"/>
              <w:right w:val="single" w:color="EDF2F7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800"/>
            <w:tcBorders>
              <w:top w:val="single" w:color="EDF2F7" w:sz="4"/>
              <w:left w:val="single" w:color="EDF2F7" w:sz="4"/>
              <w:bottom w:val="single" w:color="EDF2F7" w:sz="4"/>
              <w:right w:val="single" w:color="EDF2F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Maturité techno</w:t>
            </w:r>
          </w:p>
        </w:tc>
        <w:tc>
          <w:tcPr>
            <w:tcW w:type="dxa" w:w="1600"/>
            <w:tcBorders>
              <w:top w:val="single" w:color="EDF2F7" w:sz="4"/>
              <w:left w:val="single" w:color="EDF2F7" w:sz="4"/>
              <w:bottom w:val="single" w:color="EDF2F7" w:sz="4"/>
              <w:right w:val="single" w:color="EDF2F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●●●●●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5/5</w:t>
            </w:r>
          </w:p>
        </w:tc>
        <w:tc>
          <w:tcPr>
            <w:tcW w:type="dxa" w:w="4960"/>
            <w:tcBorders>
              <w:top w:val="single" w:color="EDF2F7" w:sz="4"/>
              <w:left w:val="single" w:color="EDF2F7" w:sz="4"/>
              <w:bottom w:val="single" w:color="EDF2F7" w:sz="4"/>
              <w:right w:val="single" w:color="EDF2F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Standard de fait depuis 2020. Versions stables. 22 k stars GitHub. Maintenu par Microsoft Research.</w:t>
            </w:r>
          </w:p>
        </w:tc>
      </w:tr>
      <w:tr>
        <w:tc>
          <w:tcPr>
            <w:tcW w:type="dxa" w:w="2800"/>
            <w:tcBorders>
              <w:top w:val="single" w:color="EDF2F7" w:sz="4"/>
              <w:left w:val="single" w:color="EDF2F7" w:sz="4"/>
              <w:bottom w:val="single" w:color="EDF2F7" w:sz="4"/>
              <w:right w:val="single" w:color="EDF2F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Communauté</w:t>
            </w:r>
          </w:p>
        </w:tc>
        <w:tc>
          <w:tcPr>
            <w:tcW w:type="dxa" w:w="1600"/>
            <w:tcBorders>
              <w:top w:val="single" w:color="EDF2F7" w:sz="4"/>
              <w:left w:val="single" w:color="EDF2F7" w:sz="4"/>
              <w:bottom w:val="single" w:color="EDF2F7" w:sz="4"/>
              <w:right w:val="single" w:color="EDF2F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●●●●●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5/5</w:t>
            </w:r>
          </w:p>
        </w:tc>
        <w:tc>
          <w:tcPr>
            <w:tcW w:type="dxa" w:w="4960"/>
            <w:tcBorders>
              <w:top w:val="single" w:color="EDF2F7" w:sz="4"/>
              <w:left w:val="single" w:color="EDF2F7" w:sz="4"/>
              <w:bottom w:val="single" w:color="EDF2F7" w:sz="4"/>
              <w:right w:val="single" w:color="EDF2F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~5 000 questions Stack Overflow, taux de réponse &gt; 80 %. Articles, tutoriels, formations Coursera et Datacamp.</w:t>
            </w:r>
          </w:p>
        </w:tc>
      </w:tr>
      <w:tr>
        <w:tc>
          <w:tcPr>
            <w:tcW w:type="dxa" w:w="2800"/>
            <w:tcBorders>
              <w:top w:val="single" w:color="EDF2F7" w:sz="4"/>
              <w:left w:val="single" w:color="EDF2F7" w:sz="4"/>
              <w:bottom w:val="single" w:color="EDF2F7" w:sz="4"/>
              <w:right w:val="single" w:color="EDF2F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Courbe d'apprentissage</w:t>
            </w:r>
          </w:p>
        </w:tc>
        <w:tc>
          <w:tcPr>
            <w:tcW w:type="dxa" w:w="1600"/>
            <w:tcBorders>
              <w:top w:val="single" w:color="EDF2F7" w:sz="4"/>
              <w:left w:val="single" w:color="EDF2F7" w:sz="4"/>
              <w:bottom w:val="single" w:color="EDF2F7" w:sz="4"/>
              <w:right w:val="single" w:color="EDF2F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●●●●○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4/5</w:t>
            </w:r>
          </w:p>
        </w:tc>
        <w:tc>
          <w:tcPr>
            <w:tcW w:type="dxa" w:w="4960"/>
            <w:tcBorders>
              <w:top w:val="single" w:color="EDF2F7" w:sz="4"/>
              <w:left w:val="single" w:color="EDF2F7" w:sz="4"/>
              <w:bottom w:val="single" w:color="EDF2F7" w:sz="4"/>
              <w:right w:val="single" w:color="EDF2F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3 lignes de code pour démarrer. La compréhension fine des Shapley values demande quelques heures, mais l'usage opérationnel est rapide.</w:t>
            </w:r>
          </w:p>
        </w:tc>
      </w:tr>
      <w:tr>
        <w:tc>
          <w:tcPr>
            <w:tcW w:type="dxa" w:w="2800"/>
            <w:tcBorders>
              <w:top w:val="single" w:color="EDF2F7" w:sz="4"/>
              <w:left w:val="single" w:color="EDF2F7" w:sz="4"/>
              <w:bottom w:val="single" w:color="EDF2F7" w:sz="4"/>
              <w:right w:val="single" w:color="EDF2F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Coût d'usage</w:t>
            </w:r>
          </w:p>
        </w:tc>
        <w:tc>
          <w:tcPr>
            <w:tcW w:type="dxa" w:w="1600"/>
            <w:tcBorders>
              <w:top w:val="single" w:color="EDF2F7" w:sz="4"/>
              <w:left w:val="single" w:color="EDF2F7" w:sz="4"/>
              <w:bottom w:val="single" w:color="EDF2F7" w:sz="4"/>
              <w:right w:val="single" w:color="EDF2F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●●●●●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5/5</w:t>
            </w:r>
          </w:p>
        </w:tc>
        <w:tc>
          <w:tcPr>
            <w:tcW w:type="dxa" w:w="4960"/>
            <w:tcBorders>
              <w:top w:val="single" w:color="EDF2F7" w:sz="4"/>
              <w:left w:val="single" w:color="EDF2F7" w:sz="4"/>
              <w:bottom w:val="single" w:color="EDF2F7" w:sz="4"/>
              <w:right w:val="single" w:color="EDF2F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Open-source, MIT license. Coût = uniquement temps de calcul (mineur sur 30 k clientes). Aucune licence à payer.</w:t>
            </w:r>
          </w:p>
        </w:tc>
      </w:tr>
      <w:tr>
        <w:tc>
          <w:tcPr>
            <w:tcW w:type="dxa" w:w="2800"/>
            <w:tcBorders>
              <w:top w:val="single" w:color="EDF2F7" w:sz="4"/>
              <w:left w:val="single" w:color="EDF2F7" w:sz="4"/>
              <w:bottom w:val="single" w:color="EDF2F7" w:sz="4"/>
              <w:right w:val="single" w:color="EDF2F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Compatibilité stack existante</w:t>
            </w:r>
          </w:p>
        </w:tc>
        <w:tc>
          <w:tcPr>
            <w:tcW w:type="dxa" w:w="1600"/>
            <w:tcBorders>
              <w:top w:val="single" w:color="EDF2F7" w:sz="4"/>
              <w:left w:val="single" w:color="EDF2F7" w:sz="4"/>
              <w:bottom w:val="single" w:color="EDF2F7" w:sz="4"/>
              <w:right w:val="single" w:color="EDF2F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●●●●●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5/5</w:t>
            </w:r>
          </w:p>
        </w:tc>
        <w:tc>
          <w:tcPr>
            <w:tcW w:type="dxa" w:w="4960"/>
            <w:tcBorders>
              <w:top w:val="single" w:color="EDF2F7" w:sz="4"/>
              <w:left w:val="single" w:color="EDF2F7" w:sz="4"/>
              <w:bottom w:val="single" w:color="EDF2F7" w:sz="4"/>
              <w:right w:val="single" w:color="EDF2F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Compatible XGBoost (modèle retenu), scikit-learn, intégrable Streamlit (démo COMEX), Snowpark Python (production).</w:t>
            </w:r>
          </w:p>
        </w:tc>
      </w:tr>
      <w:tr>
        <w:tc>
          <w:tcPr>
            <w:tcW w:type="dxa" w:w="2800"/>
            <w:tcBorders>
              <w:top w:val="single" w:color="EDF2F7" w:sz="4"/>
              <w:left w:val="single" w:color="EDF2F7" w:sz="4"/>
              <w:bottom w:val="single" w:color="EDF2F7" w:sz="4"/>
              <w:right w:val="single" w:color="EDF2F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Vendor lock-in</w:t>
            </w:r>
          </w:p>
        </w:tc>
        <w:tc>
          <w:tcPr>
            <w:tcW w:type="dxa" w:w="1600"/>
            <w:tcBorders>
              <w:top w:val="single" w:color="EDF2F7" w:sz="4"/>
              <w:left w:val="single" w:color="EDF2F7" w:sz="4"/>
              <w:bottom w:val="single" w:color="EDF2F7" w:sz="4"/>
              <w:right w:val="single" w:color="EDF2F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●●●●●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5/5</w:t>
            </w:r>
          </w:p>
        </w:tc>
        <w:tc>
          <w:tcPr>
            <w:tcW w:type="dxa" w:w="4960"/>
            <w:tcBorders>
              <w:top w:val="single" w:color="EDF2F7" w:sz="4"/>
              <w:left w:val="single" w:color="EDF2F7" w:sz="4"/>
              <w:bottom w:val="single" w:color="EDF2F7" w:sz="4"/>
              <w:right w:val="single" w:color="EDF2F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Aucun. Bibliothèque open-source, pas de service cloud, pas de format propriétaire.</w:t>
            </w:r>
          </w:p>
        </w:tc>
      </w:tr>
      <w:tr>
        <w:tc>
          <w:tcPr>
            <w:tcW w:type="dxa" w:w="2800"/>
            <w:tcBorders>
              <w:top w:val="single" w:color="EDF2F7" w:sz="4"/>
              <w:left w:val="single" w:color="EDF2F7" w:sz="4"/>
              <w:bottom w:val="single" w:color="EDF2F7" w:sz="4"/>
              <w:right w:val="single" w:color="EDF2F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Performance / scaling</w:t>
            </w:r>
          </w:p>
        </w:tc>
        <w:tc>
          <w:tcPr>
            <w:tcW w:type="dxa" w:w="1600"/>
            <w:tcBorders>
              <w:top w:val="single" w:color="EDF2F7" w:sz="4"/>
              <w:left w:val="single" w:color="EDF2F7" w:sz="4"/>
              <w:bottom w:val="single" w:color="EDF2F7" w:sz="4"/>
              <w:right w:val="single" w:color="EDF2F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22"/>
                <w:szCs w:val="22"/>
              </w:rPr>
              <w:t xml:space="preserve">●●●○○</w:t>
            </w:r>
          </w:p>
          <w:p>
            <w:r>
              <w:rPr>
                <w:rFonts w:ascii="Calibri" w:cs="Calibri" w:eastAsia="Calibri" w:hAnsi="Calibri"/>
                <w:b/>
                <w:bCs/>
                <w:color w:val="92400E"/>
                <w:sz w:val="22"/>
                <w:szCs w:val="22"/>
              </w:rPr>
              <w:t xml:space="preserve">3/5</w:t>
            </w:r>
          </w:p>
        </w:tc>
        <w:tc>
          <w:tcPr>
            <w:tcW w:type="dxa" w:w="4960"/>
            <w:tcBorders>
              <w:top w:val="single" w:color="EDF2F7" w:sz="4"/>
              <w:left w:val="single" w:color="EDF2F7" w:sz="4"/>
              <w:bottom w:val="single" w:color="EDF2F7" w:sz="4"/>
              <w:right w:val="single" w:color="EDF2F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TreeExplainer rapide pour XGBoost (~2-5 min sur 30 k clientes). KernelExplainer plus lent (non utilisé ici). Acceptable en batch nocturne.</w:t>
            </w:r>
          </w:p>
        </w:tc>
      </w:tr>
      <w:tr>
        <w:tc>
          <w:tcPr>
            <w:tcW w:type="dxa" w:w="2800"/>
            <w:tcBorders>
              <w:top w:val="single" w:color="EDF2F7" w:sz="4"/>
              <w:left w:val="single" w:color="EDF2F7" w:sz="4"/>
              <w:bottom w:val="single" w:color="EDF2F7" w:sz="4"/>
              <w:right w:val="single" w:color="EDF2F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Conformité RGPD</w:t>
            </w:r>
          </w:p>
        </w:tc>
        <w:tc>
          <w:tcPr>
            <w:tcW w:type="dxa" w:w="1600"/>
            <w:tcBorders>
              <w:top w:val="single" w:color="EDF2F7" w:sz="4"/>
              <w:left w:val="single" w:color="EDF2F7" w:sz="4"/>
              <w:bottom w:val="single" w:color="EDF2F7" w:sz="4"/>
              <w:right w:val="single" w:color="EDF2F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●●●●●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5/5</w:t>
            </w:r>
          </w:p>
        </w:tc>
        <w:tc>
          <w:tcPr>
            <w:tcW w:type="dxa" w:w="4960"/>
            <w:tcBorders>
              <w:top w:val="single" w:color="EDF2F7" w:sz="4"/>
              <w:left w:val="single" w:color="EDF2F7" w:sz="4"/>
              <w:bottom w:val="single" w:color="EDF2F7" w:sz="4"/>
              <w:right w:val="single" w:color="EDF2F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Permet de couvrir l'obligation d'explicabilité art. 22. Validation Anne Lopez attendue.</w:t>
            </w:r>
          </w:p>
        </w:tc>
      </w:tr>
    </w:tbl>
    <w:p>
      <w:pPr>
        <w:pBdr>
          <w:bottom w:val="single" w:color="00AEEF" w:sz="8"/>
        </w:pBdr>
        <w:spacing w:after="160" w:before="320"/>
      </w:pPr>
      <w:r>
        <w:rPr>
          <w:rFonts w:ascii="Calibri" w:cs="Calibri" w:eastAsia="Calibri" w:hAnsi="Calibri"/>
          <w:b/>
          <w:bCs/>
          <w:color w:val="0E1C33"/>
          <w:sz w:val="28"/>
          <w:szCs w:val="28"/>
        </w:rPr>
        <w:t xml:space="preserve">3. Alternatives évaluées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Trois technos comparées pour cette veille :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SHAP — référence évaluée ici.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LIME — explicabilité locale, plus simple mais moins maintenu (dernier release juin 2024) et moins théorique. Convient pour démo isolée mais pas production.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Feature importance native XGBoost — vision globale uniquement, ne permet pas d'expliquer une cliente individuelle. Insuffisant.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matrice de décision techno (T10) compare SHAP vs LIME vs Feature importance natif sur 6 critères pondérés.</w:t>
      </w:r>
    </w:p>
    <w:p>
      <w:pPr>
        <w:pBdr>
          <w:bottom w:val="single" w:color="00AEEF" w:sz="8"/>
        </w:pBdr>
        <w:spacing w:after="160" w:before="320"/>
      </w:pPr>
      <w:r>
        <w:rPr>
          <w:rFonts w:ascii="Calibri" w:cs="Calibri" w:eastAsia="Calibri" w:hAnsi="Calibri"/>
          <w:b/>
          <w:bCs/>
          <w:color w:val="0E1C33"/>
          <w:sz w:val="28"/>
          <w:szCs w:val="28"/>
        </w:rPr>
        <w:t xml:space="preserve">4. Recommandation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6"/>
              <w:left w:val="single" w:color="16A34A" w:sz="16"/>
              <w:bottom w:val="single" w:color="16A34A" w:sz="16"/>
              <w:right w:val="single" w:color="16A34A" w:sz="16"/>
            </w:tcBorders>
            <w:shd w:fill="DCFCE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4"/>
                <w:szCs w:val="24"/>
              </w:rPr>
              <w:t xml:space="preserve">✅  RECOMMANDÉ — ADOPTER SHAP
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Adoption pour la phase 1 (démo COMEX) et la phase 2 (pilote 5 boutiques). Intégration via TreeExplainer + Streamlit.</w:t>
            </w:r>
          </w:p>
        </w:tc>
      </w:tr>
    </w:tbl>
    <w:p>
      <w:pPr>
        <w:pBdr>
          <w:bottom w:val="single" w:color="00AEEF" w:sz="8"/>
        </w:pBdr>
        <w:spacing w:after="160" w:before="320"/>
      </w:pPr>
      <w:r>
        <w:rPr>
          <w:rFonts w:ascii="Calibri" w:cs="Calibri" w:eastAsia="Calibri" w:hAnsi="Calibri"/>
          <w:b/>
          <w:bCs/>
          <w:color w:val="0E1C33"/>
          <w:sz w:val="28"/>
          <w:szCs w:val="28"/>
        </w:rPr>
        <w:t xml:space="preserve">5. Plan d'action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Karim Benali — installation SHAP dans environnement Snowflake + tests sur 1 000 clientes (1 jour).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Mohamed Kassemi — intégration SHAP dans la démo Streamlit pour COMEX (1 jour).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Karim Benali — formation conseillères pilotes sur la lecture des 3 facteurs (1/2 j × 5 boutiques).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Anne Lopez (DPO) — validation que SHAP couvre l'obligation art. 22 (à formaliser dans l'AIPD).</w:t>
      </w:r>
    </w:p>
    <w:p>
      <w:pPr>
        <w:pBdr>
          <w:bottom w:val="single" w:color="00AEEF" w:sz="8"/>
        </w:pBdr>
        <w:spacing w:after="160" w:before="320"/>
      </w:pPr>
      <w:r>
        <w:rPr>
          <w:rFonts w:ascii="Calibri" w:cs="Calibri" w:eastAsia="Calibri" w:hAnsi="Calibri"/>
          <w:b/>
          <w:bCs/>
          <w:color w:val="0E1C33"/>
          <w:sz w:val="28"/>
          <w:szCs w:val="28"/>
        </w:rPr>
        <w:t xml:space="preserve">6. Sources documentaires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shap.readthedocs.io · documentation officielle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Lundberg &amp; Lee, 2017, « A Unified Approach to Interpreting Model Predictions », NeurIPS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Note Confluence Karim Benali, 24/03/2025 (source S07)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CNIL, 2022, lignes directrices sur le profilage</w:t>
      </w:r>
    </w:p>
    <w:sectPr>
      <w:footerReference w:type="default" r:id="rId7"/>
      <w:pgSz w:w="11906" w:h="16838" w:orient="portrait"/>
      <w:pgMar w:top="1008" w:right="1224" w:bottom="1008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EEF" w:sz="6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Verlaine — T09 Fiche de veille SHAP  ·  </w:t>
    </w:r>
    <w:r>
      <w:rPr>
        <w:rFonts w:ascii="Calibri" w:cs="Calibri" w:eastAsia="Calibri" w:hAnsi="Calibri"/>
        <w:color w:val="4A556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5568"/>
        <w:sz w:val="16"/>
        <w:szCs w:val="16"/>
      </w:rPr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3DFD369A1AAC44894D14194C7688E9" ma:contentTypeVersion="11" ma:contentTypeDescription="Crée un document." ma:contentTypeScope="" ma:versionID="cf49c3de8148c8cc546756f07c645c21">
  <xsd:schema xmlns:xsd="http://www.w3.org/2001/XMLSchema" xmlns:xs="http://www.w3.org/2001/XMLSchema" xmlns:p="http://schemas.microsoft.com/office/2006/metadata/properties" xmlns:ns2="3c2bf3aa-a91c-4b6f-b8ca-d89e5279fe2a" xmlns:ns3="e425dd83-799c-4ff9-a9a6-f6a8064637e1" targetNamespace="http://schemas.microsoft.com/office/2006/metadata/properties" ma:root="true" ma:fieldsID="175034be094e24b6f4ed2934660117f3" ns2:_="" ns3:_="">
    <xsd:import namespace="3c2bf3aa-a91c-4b6f-b8ca-d89e5279fe2a"/>
    <xsd:import namespace="e425dd83-799c-4ff9-a9a6-f6a8064637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2bf3aa-a91c-4b6f-b8ca-d89e5279fe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d4b6e4fd-4af2-4f07-b7d1-18266e5856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25dd83-799c-4ff9-a9a6-f6a8064637e1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5186b3eb-60d2-4154-b03c-a4c7679995e8}" ma:internalName="TaxCatchAll" ma:showField="CatchAllData" ma:web="e425dd83-799c-4ff9-a9a6-f6a8064637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2bf3aa-a91c-4b6f-b8ca-d89e5279fe2a">
      <Terms xmlns="http://schemas.microsoft.com/office/infopath/2007/PartnerControls"/>
    </lcf76f155ced4ddcb4097134ff3c332f>
    <TaxCatchAll xmlns="e425dd83-799c-4ff9-a9a6-f6a8064637e1" xsi:nil="true"/>
  </documentManagement>
</p:properties>
</file>

<file path=customXml/itemProps1.xml><?xml version="1.0" encoding="utf-8"?>
<ds:datastoreItem xmlns:ds="http://schemas.openxmlformats.org/officeDocument/2006/customXml" ds:itemID="{1BBE69A3-2F24-47B9-86DD-E69FE67BEB1A}"/>
</file>

<file path=customXml/itemProps2.xml><?xml version="1.0" encoding="utf-8"?>
<ds:datastoreItem xmlns:ds="http://schemas.openxmlformats.org/officeDocument/2006/customXml" ds:itemID="{D93DE1CE-69DF-4C0E-986F-B7368049654D}"/>
</file>

<file path=customXml/itemProps3.xml><?xml version="1.0" encoding="utf-8"?>
<ds:datastoreItem xmlns:ds="http://schemas.openxmlformats.org/officeDocument/2006/customXml" ds:itemID="{BD68F715-BDE5-4C84-8D48-302A2975A4E7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Utopios — MA-IT Consulting</dc:creator>
  <cp:lastModifiedBy>Un-named</cp:lastModifiedBy>
  <cp:revision>1</cp:revision>
  <dcterms:created xsi:type="dcterms:W3CDTF">2026-05-10T15:05:17Z</dcterms:created>
  <dcterms:modified xsi:type="dcterms:W3CDTF">2026-05-10T15:05:17Z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0x010100913DFD369A1AAC44894D14194C7688E9</vt:lpwstr>
  </property>
</Properties>
</file>