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E1C33"/>
          <w:sz w:val="36"/>
          <w:szCs w:val="36"/>
        </w:rPr>
        <w:t xml:space="preserve">Anti-churn premium : ce que nous avons appris</w:t>
      </w:r>
    </w:p>
    <w:p>
      <w:pPr>
        <w:spacing w:after="60" w:before="0"/>
      </w:pPr>
      <w:r>
        <w:rPr>
          <w:rFonts w:ascii="Calibri" w:cs="Calibri" w:eastAsia="Calibri" w:hAnsi="Calibri"/>
          <w:i/>
          <w:iCs/>
          <w:color w:val="0057B8"/>
          <w:sz w:val="22"/>
          <w:szCs w:val="22"/>
        </w:rPr>
        <w:t xml:space="preserve">Note de synthèse pour le COMEX et le board</w:t>
      </w:r>
    </w:p>
    <w:p>
      <w:pPr>
        <w:pBdr>
          <w:bottom w:val="single" w:color="00AEEF" w:sz="8"/>
        </w:pBdr>
        <w:spacing w:after="200" w:before="0"/>
      </w:pPr>
      <w:r>
        <w:rPr>
          <w:rFonts w:ascii="Calibri" w:cs="Calibri" w:eastAsia="Calibri" w:hAnsi="Calibri"/>
          <w:color w:val="4A5568"/>
          <w:sz w:val="18"/>
          <w:szCs w:val="18"/>
        </w:rPr>
        <w:t xml:space="preserve">Document préparé par Sophie Lefèvre (Direction Marketing) avec l'appui Utopios — 14 avril 2025</w:t>
      </w:r>
    </w:p>
    <w:p>
      <w:pPr>
        <w:spacing w:after="100" w:before="200"/>
      </w:pPr>
      <w:r>
        <w:rPr>
          <w:rFonts w:ascii="Calibri" w:cs="Calibri" w:eastAsia="Calibri" w:hAnsi="Calibri"/>
          <w:b/>
          <w:bCs/>
          <w:color w:val="0E1C33"/>
          <w:sz w:val="24"/>
          <w:szCs w:val="24"/>
        </w:rPr>
        <w:t xml:space="preserve">Pourquoi nous avons lancé ce projet</w:t>
      </w:r>
    </w:p>
    <w:p>
      <w:pPr>
        <w:spacing w:after="60" w:before="60"/>
        <w:jc w:val="both"/>
      </w:pPr>
      <w:r>
        <w:rPr>
          <w:rFonts w:ascii="Calibri" w:cs="Calibri" w:eastAsia="Calibri" w:hAnsi="Calibri"/>
          <w:color w:val="222222"/>
          <w:sz w:val="21"/>
          <w:szCs w:val="21"/>
        </w:rPr>
        <w:t xml:space="preserve">Chaque année, environ 12 % de nos clientes premium — celles qui dépensent plus de 1 500 € — ne reviennent plus. Sur les 30 000 clientes concernées par ce profil, cette érosion représente une perte de revenus récurrents estimée à 1,8 million d'euros par an. Jusqu'à présent, nous n'avions pas d'outil pour détecter ces clientes À TEMPS — c'est-à-dire 2 ou 3 mois avant qu'elles ne franchissent le pas définitif de la rupture. L'objectif du projet : donner aux conseillères des 5 boutiques pilotes un signal d'alerte fiable, qui leur permette d'agir individuellement, par téléphone ou rendez-vous, avant que la cliente ne soit perdue.</w:t>
      </w:r>
    </w:p>
    <w:p>
      <w:pPr>
        <w:spacing w:after="100" w:before="200"/>
      </w:pPr>
      <w:r>
        <w:rPr>
          <w:rFonts w:ascii="Calibri" w:cs="Calibri" w:eastAsia="Calibri" w:hAnsi="Calibri"/>
          <w:b/>
          <w:bCs/>
          <w:color w:val="0E1C33"/>
          <w:sz w:val="24"/>
          <w:szCs w:val="24"/>
        </w:rPr>
        <w:t xml:space="preserve">Ce que nous avons livré (phase 1 — démo COMEX du 30 mars)</w:t>
      </w:r>
    </w:p>
    <w:p>
      <w:pPr>
        <w:spacing w:after="60" w:before="60"/>
        <w:jc w:val="both"/>
      </w:pPr>
      <w:r>
        <w:rPr>
          <w:rFonts w:ascii="Calibri" w:cs="Calibri" w:eastAsia="Calibri" w:hAnsi="Calibri"/>
          <w:color w:val="222222"/>
          <w:sz w:val="21"/>
          <w:szCs w:val="21"/>
        </w:rPr>
        <w:t xml:space="preserve">Un outil d'aide à la décision qui produit, pour chaque cliente premium, un score de risque entre 0 et 100. L'outil indique également les 3 facteurs principaux qui expliquent ce score (récence d'achat, baisse de fréquence, changement de comportement). La conseillère reste l'humaine dans la boucle : c'est elle qui décide de contacter ou non. Le score est une suggestion, pas une instruction.</w:t>
      </w:r>
    </w:p>
    <w:p>
      <w:pPr>
        <w:spacing w:after="60" w:before="60"/>
        <w:jc w:val="both"/>
      </w:pPr>
      <w:r>
        <w:rPr>
          <w:rFonts w:ascii="Calibri" w:cs="Calibri" w:eastAsia="Calibri" w:hAnsi="Calibri"/>
          <w:color w:val="222222"/>
          <w:sz w:val="21"/>
          <w:szCs w:val="21"/>
        </w:rPr>
        <w:t xml:space="preserve">L'outil a été calibré sur 24 mois d'historique de notre base fidélité, validé sur des clientes que nous savions déjà parties (test à l'aveugle), et présenté en démo le 30 mars devant le COMEX.</w:t>
      </w:r>
    </w:p>
    <w:p>
      <w:pPr>
        <w:spacing w:after="100" w:before="200"/>
      </w:pPr>
      <w:r>
        <w:rPr>
          <w:rFonts w:ascii="Calibri" w:cs="Calibri" w:eastAsia="Calibri" w:hAnsi="Calibri"/>
          <w:b/>
          <w:bCs/>
          <w:color w:val="0E1C33"/>
          <w:sz w:val="24"/>
          <w:szCs w:val="24"/>
        </w:rPr>
        <w:t xml:space="preserve">Une cliente type — pour rendre cela concret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C33" w:sz="4"/>
              <w:left w:val="single" w:color="0E1C33" w:sz="4"/>
              <w:bottom w:val="single" w:color="0E1C33" w:sz="4"/>
              <w:right w:val="single" w:color="0E1C33" w:sz="4"/>
            </w:tcBorders>
            <w:shd w:fill="EFF6FF" w:val="clear"/>
            <w:tcMar>
              <w:top w:type="dxa" w:w="180"/>
              <w:left w:type="dxa" w:w="240"/>
              <w:bottom w:type="dxa" w:w="180"/>
              <w:right w:type="dxa" w:w="240"/>
            </w:tcMar>
          </w:tcPr>
          <w:p>
            <w:pPr>
              <w:spacing w:after="100" w:before="0"/>
            </w:pPr>
            <w:r>
              <w:rPr>
                <w:rFonts w:ascii="Calibri" w:cs="Calibri" w:eastAsia="Calibri" w:hAnsi="Calibri"/>
                <w:b/>
                <w:bCs/>
                <w:color w:val="0E1C33"/>
                <w:sz w:val="21"/>
                <w:szCs w:val="21"/>
              </w:rPr>
              <w:t xml:space="preserve">Madame V., cliente fidélité depuis 2019</w:t>
            </w:r>
          </w:p>
          <w:p>
            <w:pPr>
              <w:spacing w:after="80" w:before="0"/>
              <w:jc w:val="both"/>
            </w:pPr>
            <w:r>
              <w:rPr>
                <w:rFonts w:ascii="Calibri" w:cs="Calibri" w:eastAsia="Calibri" w:hAnsi="Calibri"/>
                <w:color w:val="1F2937"/>
                <w:sz w:val="20"/>
                <w:szCs w:val="20"/>
              </w:rPr>
              <w:t xml:space="preserve">Dépense moyenne entre 2019 et 2023 : 4 200 € par an, principalement en boutique (Lyon Presqu'île). Son score de risque est resté autour de 12-15 % pendant 4 ans. Modèle d'achat très régulier.</w:t>
            </w:r>
          </w:p>
          <w:p>
            <w:pPr>
              <w:spacing w:after="80" w:before="0"/>
              <w:jc w:val="both"/>
            </w:pPr>
            <w:r>
              <w:rPr>
                <w:rFonts w:ascii="Calibri" w:cs="Calibri" w:eastAsia="Calibri" w:hAnsi="Calibri"/>
                <w:color w:val="1F2937"/>
                <w:sz w:val="20"/>
                <w:szCs w:val="20"/>
              </w:rPr>
              <w:t xml:space="preserve">Janvier 2024 : son score grimpe à 28 %. La récence d'achat se dégrade (4 mois sans visite, contre 2 mois habituels). Février 2024 : 47 %. Mars 2024 : 67 %.</w:t>
            </w:r>
          </w:p>
          <w:p>
            <w:pPr>
              <w:spacing w:after="80" w:before="0"/>
              <w:jc w:val="both"/>
            </w:pPr>
            <w:r>
              <w:rPr>
                <w:rFonts w:ascii="Calibri" w:cs="Calibri" w:eastAsia="Calibri" w:hAnsi="Calibri"/>
                <w:color w:val="1F2937"/>
                <w:sz w:val="20"/>
                <w:szCs w:val="20"/>
              </w:rPr>
              <w:t xml:space="preserve">Si l'outil avait été en place dès janvier, la conseillère Lyon aurait reçu une alerte. Un appel téléphonique personnalisé, une invitation à une avant-première, un mot manuscrit signé Camille auraient pu rétablir le contact. Madame V. n'a pas re-acheté chez nous depuis. Coût de cette perte sur 12 mois : environ 4 200 €.</w:t>
            </w:r>
          </w:p>
          <w:p>
            <w:pPr>
              <w:spacing w:after="80" w:before="0"/>
              <w:jc w:val="both"/>
            </w:pPr>
            <w:r>
              <w:rPr>
                <w:rFonts w:ascii="Calibri" w:cs="Calibri" w:eastAsia="Calibri" w:hAnsi="Calibri"/>
                <w:color w:val="1F2937"/>
                <w:sz w:val="20"/>
                <w:szCs w:val="20"/>
              </w:rPr>
              <w:t xml:space="preserve">Sur les 30 000 clientes premium, l'outil détecte correctement environ 7 cas sur 10. C'est ce que nous appelons le « taux de bonne détection ».</w:t>
            </w:r>
          </w:p>
        </w:tc>
      </w:tr>
    </w:tbl>
    <w:p>
      <w:pPr>
        <w:spacing w:after="100" w:before="200"/>
      </w:pPr>
      <w:r>
        <w:rPr>
          <w:rFonts w:ascii="Calibri" w:cs="Calibri" w:eastAsia="Calibri" w:hAnsi="Calibri"/>
          <w:b/>
          <w:bCs/>
          <w:color w:val="0E1C33"/>
          <w:sz w:val="24"/>
          <w:szCs w:val="24"/>
        </w:rPr>
        <w:t xml:space="preserve">Le retour sur investissement</w:t>
      </w:r>
    </w:p>
    <w:p>
      <w:pPr>
        <w:spacing w:after="60" w:before="60"/>
        <w:jc w:val="both"/>
      </w:pPr>
      <w:r>
        <w:rPr>
          <w:rFonts w:ascii="Calibri" w:cs="Calibri" w:eastAsia="Calibri" w:hAnsi="Calibri"/>
          <w:color w:val="222222"/>
          <w:sz w:val="21"/>
          <w:szCs w:val="21"/>
        </w:rPr>
        <w:t xml:space="preserve">La phase 1 (cadrage, modélisation, démo) nous a coûté 36 000 € HT — dans le budget initial de 35 000 € à 1 000 € près. La phase 2 que nous proposons ci-dessous représente un investissement complémentaire de 100 000 € sur 6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sz="4"/>
              <w:left w:val="single" w:sz="32"/>
              <w:bottom w:val="single" w:sz="4"/>
              <w:right w:val="single" w:sz="4"/>
            </w:tcBorders>
            <w:shd w:fill="F0FDF4" w:val="clear"/>
            <w:tcMar>
              <w:top w:type="dxa" w:w="160"/>
              <w:left w:type="dxa" w:w="240"/>
              <w:bottom w:type="dxa" w:w="160"/>
              <w:right w:type="dxa" w:w="240"/>
            </w:tcMar>
          </w:tcPr>
          <w:p>
            <w:r>
              <w:rPr>
                <w:rFonts w:ascii="Calibri" w:cs="Calibri" w:eastAsia="Calibri" w:hAnsi="Calibri"/>
                <w:color w:val="065F46"/>
                <w:sz w:val="18"/>
                <w:szCs w:val="18"/>
              </w:rPr>
              <w:t xml:space="preserve">Gain estimé phase 1 + 2</w:t>
            </w:r>
          </w:p>
          <w:p>
            <w:pPr>
              <w:spacing w:after="80" w:before="80"/>
            </w:pPr>
            <w:r>
              <w:rPr>
                <w:rFonts w:ascii="Calibri" w:cs="Calibri" w:eastAsia="Calibri" w:hAnsi="Calibri"/>
                <w:b/>
                <w:bCs/>
                <w:color w:val="065F46"/>
                <w:sz w:val="32"/>
                <w:szCs w:val="32"/>
              </w:rPr>
              <w:t xml:space="preserve">600 k€ à 1 M€ sur 12 mois</w:t>
            </w:r>
          </w:p>
          <w:p>
            <w:r>
              <w:rPr>
                <w:rFonts w:ascii="Calibri" w:cs="Calibri" w:eastAsia="Calibri" w:hAnsi="Calibri"/>
                <w:i/>
                <w:iCs/>
                <w:color w:val="065F46"/>
                <w:sz w:val="19"/>
                <w:szCs w:val="19"/>
              </w:rPr>
              <w:t xml:space="preserve">Soit un retour sur investissement entre 4 et 7 fois la mise — payback en 5-6 mois.</w:t>
            </w:r>
          </w:p>
        </w:tc>
      </w:tr>
    </w:tbl>
    <w:p>
      <w:pPr>
        <w:spacing w:after="60" w:before="60"/>
        <w:jc w:val="both"/>
      </w:pPr>
      <w:r>
        <w:rPr>
          <w:rFonts w:ascii="Calibri" w:cs="Calibri" w:eastAsia="Calibri" w:hAnsi="Calibri"/>
          <w:color w:val="222222"/>
          <w:sz w:val="21"/>
          <w:szCs w:val="21"/>
        </w:rPr>
        <w:t xml:space="preserve">Hypothèse : si nous parvenons à retenir 1 cliente premium sur 4 parmi celles que l'outil signale (ce qui est réaliste sur les 5 boutiques pilotes), l'impact CA récurrent dépasse 600 000 € sur 12 mois, et peut atteindre 1 million d'euros si le taux de rétention monte à 1 sur 2.5.</w:t>
      </w:r>
    </w:p>
    <w:p>
      <w:pPr>
        <w:spacing w:after="100" w:before="200"/>
      </w:pPr>
      <w:r>
        <w:rPr>
          <w:rFonts w:ascii="Calibri" w:cs="Calibri" w:eastAsia="Calibri" w:hAnsi="Calibri"/>
          <w:b/>
          <w:bCs/>
          <w:color w:val="0E1C33"/>
          <w:sz w:val="24"/>
          <w:szCs w:val="24"/>
        </w:rPr>
        <w:t xml:space="preserve">Conformité et éthique</w:t>
      </w:r>
    </w:p>
    <w:p>
      <w:pPr>
        <w:spacing w:after="60" w:before="60"/>
        <w:jc w:val="both"/>
      </w:pPr>
      <w:r>
        <w:rPr>
          <w:rFonts w:ascii="Calibri" w:cs="Calibri" w:eastAsia="Calibri" w:hAnsi="Calibri"/>
          <w:color w:val="222222"/>
          <w:sz w:val="20"/>
          <w:szCs w:val="20"/>
        </w:rPr>
        <w:t xml:space="preserve">Une analyse d'impact sur la protection des données (AIPD) a été réalisée par Anne Lopez (DPO) et signée le 31 mars. Le traitement repose sur l'intérêt légitime de la marque (article 6.1.f du RGPD), avec information claire des clientes (encart dans la newsletter d'avril) et droit d'opposition technique (champ Salesforce "opt_out_scoring" déployé le 27 mars). Aucune donnée sensible n'est utilisée — la taille de vêtement, par exemple, est explicitement exclue. La conseillère reste décisionnaire : si elle ignore plus de 15 % des scores affichés, nous restons hors du champ des décisions automatisées au sens de l'article 22.</w:t>
      </w:r>
    </w:p>
    <w:p>
      <w:pPr>
        <w:spacing w:after="100" w:before="200"/>
      </w:pPr>
      <w:r>
        <w:rPr>
          <w:rFonts w:ascii="Calibri" w:cs="Calibri" w:eastAsia="Calibri" w:hAnsi="Calibri"/>
          <w:b/>
          <w:bCs/>
          <w:color w:val="0E1C33"/>
          <w:sz w:val="24"/>
          <w:szCs w:val="24"/>
        </w:rPr>
        <w:t xml:space="preserve">Phase 2 : ce que nous proposons</w:t>
      </w:r>
    </w:p>
    <w:p>
      <w:pPr>
        <w:spacing w:after="60" w:before="60"/>
        <w:jc w:val="both"/>
      </w:pPr>
      <w:r>
        <w:rPr>
          <w:rFonts w:ascii="Calibri" w:cs="Calibri" w:eastAsia="Calibri" w:hAnsi="Calibri"/>
          <w:color w:val="222222"/>
          <w:sz w:val="21"/>
          <w:szCs w:val="21"/>
        </w:rPr>
        <w:t xml:space="preserve">Déploiement opérationnel sur les 5 boutiques pilotes (Lyon, Bordeaux, Paris Marais, Lille, Marseille). Intégration au CRM Salesforce (mise à jour quotidienne des scores). Formation des conseillères pilotes (1/2 journée par boutique, animée par Camille Berthier). Mise en place d'un dashboard de suivi pour Sophie et Caroline. Calendrier : démarrage 1er mai, plein régime au 1er juillet, premier bilan à 6 mois.</w:t>
      </w:r>
    </w:p>
    <w:p>
      <w:pPr>
        <w:spacing w:after="60" w:before="60"/>
        <w:jc w:val="both"/>
      </w:pPr>
      <w:r>
        <w:rPr>
          <w:rFonts w:ascii="Calibri" w:cs="Calibri" w:eastAsia="Calibri" w:hAnsi="Calibri"/>
          <w:b/>
          <w:bCs/>
          <w:color w:val="0E1C33"/>
          <w:sz w:val="21"/>
          <w:szCs w:val="21"/>
        </w:rPr>
        <w:t xml:space="preserve">Décision sollicitée du board : validation du budget phase 2 de 100 k€ HT et du périmètre 5 boutiques.</w:t>
      </w:r>
    </w:p>
    <w:p>
      <w:pPr>
        <w:pBdr>
          <w:top w:val="single" w:color="EDF2F7" w:sz="4"/>
        </w:pBdr>
        <w:spacing w:after="0" w:before="320"/>
      </w:pPr>
      <w:r>
        <w:rPr>
          <w:rFonts w:ascii="Calibri" w:cs="Calibri" w:eastAsia="Calibri" w:hAnsi="Calibri"/>
          <w:i/>
          <w:iCs/>
          <w:color w:val="4A5568"/>
          <w:sz w:val="17"/>
          <w:szCs w:val="17"/>
        </w:rPr>
        <w:t xml:space="preserve">Contacts projet : Sophie Lefèvre (Marketing) · Mohamed Kassemi (Utopios) · Anne Lopez (DPO) · Karim Benali (CRM)</w:t>
      </w:r>
    </w:p>
    <w:p>
      <w:pPr>
        <w:spacing w:after="0" w:before="80"/>
      </w:pPr>
      <w:r>
        <w:rPr>
          <w:rFonts w:ascii="Calibri" w:cs="Calibri" w:eastAsia="Calibri" w:hAnsi="Calibri"/>
          <w:i/>
          <w:iCs/>
          <w:color w:val="4A5568"/>
          <w:sz w:val="16"/>
          <w:szCs w:val="16"/>
        </w:rPr>
        <w:t xml:space="preserve">Sous le capot — pour les lecteurs intéressés : modèle de classification supervisée entraîné sur 24 mois CRM Salesforce + Cegid, validation temporelle hors-échantillon, hébergement Snowflake, déploiement Salesforce. Documentation technique disponible sur demande.</w:t>
      </w:r>
    </w:p>
    <w:sectPr>
      <w:footerReference w:type="default" r:id="rId7"/>
      <w:pgSz w:w="11906" w:h="16838"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6" w:space="4"/>
      </w:pBdr>
      <w:jc w:val="center"/>
    </w:pPr>
    <w:r>
      <w:rPr>
        <w:rFonts w:ascii="Calibri" w:cs="Calibri" w:eastAsia="Calibri" w:hAnsi="Calibri"/>
        <w:i/>
        <w:iCs/>
        <w:color w:val="4A5568"/>
        <w:sz w:val="16"/>
        <w:szCs w:val="16"/>
      </w:rPr>
      <w:t xml:space="preserve">Verlaine — Note de synthèse projet anti-churn  ·  </w:t>
    </w:r>
    <w:r>
      <w:rPr>
        <w:rFonts w:ascii="Calibri" w:cs="Calibri" w:eastAsia="Calibri" w:hAnsi="Calibri"/>
        <w:color w:val="4A5568"/>
        <w:sz w:val="16"/>
        <w:szCs w:val="16"/>
      </w:rPr>
      <w:t xml:space="preserve">Page </w:t>
      <w:fldChar w:fldCharType="begin"/>
      <w:instrText xml:space="preserve">PAGE</w:instrText>
      <w:fldChar w:fldCharType="separate"/>
      <w:fldChar w:fldCharType="end"/>
    </w:r>
    <w:r>
      <w:rPr>
        <w:rFonts w:ascii="Calibri" w:cs="Calibri" w:eastAsia="Calibri" w:hAnsi="Calibri"/>
        <w:color w:val="4A5568"/>
        <w:sz w:val="16"/>
        <w:szCs w:val="16"/>
      </w:rPr>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3DFD369A1AAC44894D14194C7688E9" ma:contentTypeVersion="11" ma:contentTypeDescription="Crée un document." ma:contentTypeScope="" ma:versionID="cf49c3de8148c8cc546756f07c645c21">
  <xsd:schema xmlns:xsd="http://www.w3.org/2001/XMLSchema" xmlns:xs="http://www.w3.org/2001/XMLSchema" xmlns:p="http://schemas.microsoft.com/office/2006/metadata/properties" xmlns:ns2="3c2bf3aa-a91c-4b6f-b8ca-d89e5279fe2a" xmlns:ns3="e425dd83-799c-4ff9-a9a6-f6a8064637e1" targetNamespace="http://schemas.microsoft.com/office/2006/metadata/properties" ma:root="true" ma:fieldsID="175034be094e24b6f4ed2934660117f3" ns2:_="" ns3:_="">
    <xsd:import namespace="3c2bf3aa-a91c-4b6f-b8ca-d89e5279fe2a"/>
    <xsd:import namespace="e425dd83-799c-4ff9-a9a6-f6a806463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bf3aa-a91c-4b6f-b8ca-d89e5279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25dd83-799c-4ff9-a9a6-f6a8064637e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186b3eb-60d2-4154-b03c-a4c7679995e8}" ma:internalName="TaxCatchAll" ma:showField="CatchAllData" ma:web="e425dd83-799c-4ff9-a9a6-f6a806463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2bf3aa-a91c-4b6f-b8ca-d89e5279fe2a">
      <Terms xmlns="http://schemas.microsoft.com/office/infopath/2007/PartnerControls"/>
    </lcf76f155ced4ddcb4097134ff3c332f>
    <TaxCatchAll xmlns="e425dd83-799c-4ff9-a9a6-f6a8064637e1" xsi:nil="true"/>
  </documentManagement>
</p:properties>
</file>

<file path=customXml/itemProps1.xml><?xml version="1.0" encoding="utf-8"?>
<ds:datastoreItem xmlns:ds="http://schemas.openxmlformats.org/officeDocument/2006/customXml" ds:itemID="{E6F5438D-E1C7-4A3F-BCD0-24BBBDBD1545}"/>
</file>

<file path=customXml/itemProps2.xml><?xml version="1.0" encoding="utf-8"?>
<ds:datastoreItem xmlns:ds="http://schemas.openxmlformats.org/officeDocument/2006/customXml" ds:itemID="{FD7E744A-E0F4-4519-BAFD-2DB7694A4B85}"/>
</file>

<file path=customXml/itemProps3.xml><?xml version="1.0" encoding="utf-8"?>
<ds:datastoreItem xmlns:ds="http://schemas.openxmlformats.org/officeDocument/2006/customXml" ds:itemID="{C9A10ED8-ADA1-474A-BF5B-FA800F6AD0A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Utopios — MA-IT Consulting</dc:creator>
  <cp:lastModifiedBy>Un-named</cp:lastModifiedBy>
  <cp:revision>1</cp:revision>
  <dcterms:created xsi:type="dcterms:W3CDTF">2026-05-10T16:10:24Z</dcterms:created>
  <dcterms:modified xsi:type="dcterms:W3CDTF">2026-05-10T16:10:24Z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0x010100913DFD369A1AAC44894D14194C7688E9</vt:lpwstr>
  </property>
</Properties>
</file>