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Sophie Lefèvre &lt;s.lefevre@maison-verlaine.fr&gt;</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À</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Mohamed Kassemi &lt;m.kassemi@utopios.fr&gt;</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Date</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Lundi 10 mars 2025, 09:12</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Objet</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Projet anti-churn fidélité — j'ai besoin de toi</w:t>
            </w:r>
          </w:p>
        </w:tc>
      </w:tr>
      <w:tr>
        <w:tc>
          <w:tcPr>
            <w:tcW w:type="dxa" w:w="1800"/>
            <w:tcBorders>
              <w:top w:val="none"/>
              <w:left w:val="none"/>
              <w:bottom w:val="single" w:color="EDF2F7" w:sz="2"/>
              <w:right w:val="none"/>
            </w:tcBorders>
            <w:shd w:fill="F7FAFC" w:val="clear"/>
            <w:tcMar>
              <w:top w:type="dxa" w:w="80"/>
              <w:left w:type="dxa" w:w="140"/>
              <w:bottom w:type="dxa" w:w="80"/>
              <w:right w:type="dxa" w:w="140"/>
            </w:tcMar>
          </w:tcPr>
          <w:p>
            <w:r>
              <w:rPr>
                <w:rFonts w:ascii="Calibri" w:cs="Calibri" w:eastAsia="Calibri" w:hAnsi="Calibri"/>
                <w:b/>
                <w:bCs/>
                <w:color w:val="0E1C33"/>
                <w:sz w:val="20"/>
                <w:szCs w:val="20"/>
              </w:rPr>
              <w:t xml:space="preserve">Pièces jointes</w:t>
            </w:r>
          </w:p>
        </w:tc>
        <w:tc>
          <w:tcPr>
            <w:tcW w:type="dxa" w:w="7560"/>
            <w:tcBorders>
              <w:top w:val="none"/>
              <w:left w:val="none"/>
              <w:bottom w:val="single" w:color="EDF2F7" w:sz="2"/>
              <w:right w:val="none"/>
            </w:tcBorders>
            <w:tcMar>
              <w:top w:type="dxa" w:w="80"/>
              <w:left w:type="dxa" w:w="140"/>
              <w:bottom w:type="dxa" w:w="80"/>
              <w:right w:type="dxa" w:w="140"/>
            </w:tcMar>
          </w:tcPr>
          <w:p>
            <w:r>
              <w:rPr>
                <w:rFonts w:ascii="Calibri" w:cs="Calibri" w:eastAsia="Calibri" w:hAnsi="Calibri"/>
                <w:color w:val="222222"/>
                <w:sz w:val="22"/>
                <w:szCs w:val="22"/>
              </w:rPr>
              <w:t xml:space="preserve">Aucune</w:t>
            </w:r>
          </w:p>
        </w:tc>
      </w:tr>
    </w:tbl>
    <w:p>
      <w:pPr>
        <w:spacing w:after="100" w:before="80" w:line="320"/>
        <w:jc w:val="both"/>
      </w:pPr>
      <w:r>
        <w:rPr>
          <w:rFonts w:ascii="Calibri" w:cs="Calibri" w:eastAsia="Calibri" w:hAnsi="Calibri"/>
          <w:color w:val="222222"/>
          <w:sz w:val="22"/>
          <w:szCs w:val="22"/>
        </w:rPr>
        <w:t xml:space="preserve"/>
      </w:r>
    </w:p>
    <w:p>
      <w:pPr>
        <w:spacing w:after="100" w:before="80" w:line="320"/>
        <w:jc w:val="both"/>
      </w:pPr>
      <w:r>
        <w:rPr>
          <w:rFonts w:ascii="Calibri" w:cs="Calibri" w:eastAsia="Calibri" w:hAnsi="Calibri"/>
          <w:color w:val="222222"/>
          <w:sz w:val="22"/>
          <w:szCs w:val="22"/>
        </w:rPr>
        <w:t xml:space="preserve">Bonjour Mohamed,</w:t>
      </w:r>
    </w:p>
    <w:p>
      <w:pPr>
        <w:spacing w:after="100" w:before="80" w:line="320"/>
        <w:jc w:val="both"/>
      </w:pPr>
      <w:r>
        <w:rPr>
          <w:rFonts w:ascii="Calibri" w:cs="Calibri" w:eastAsia="Calibri" w:hAnsi="Calibri"/>
          <w:color w:val="222222"/>
          <w:sz w:val="22"/>
          <w:szCs w:val="22"/>
        </w:rPr>
        <w:t xml:space="preserve">Comme convenu avec ton manager vendredi dernier, je reviens vers toi pour le projet « anti-churn fidélité ». J'ai pris le temps de structurer mes idées avant de t'écrire pour qu'on parte sur de bonnes bases — c'est un peu long, mais je préfère qu'on cadre vite.</w:t>
      </w:r>
    </w:p>
    <w:p>
      <w:pPr>
        <w:spacing w:after="120" w:before="280"/>
      </w:pPr>
      <w:r>
        <w:rPr>
          <w:rFonts w:ascii="Calibri" w:cs="Calibri" w:eastAsia="Calibri" w:hAnsi="Calibri"/>
          <w:b/>
          <w:bCs/>
          <w:color w:val="0E1C33"/>
          <w:sz w:val="24"/>
          <w:szCs w:val="24"/>
        </w:rPr>
        <w:t xml:space="preserve">Le contexte</w:t>
      </w:r>
    </w:p>
    <w:p>
      <w:pPr>
        <w:spacing w:after="100" w:before="80" w:line="320"/>
        <w:jc w:val="both"/>
      </w:pPr>
      <w:r>
        <w:rPr>
          <w:rFonts w:ascii="Calibri" w:cs="Calibri" w:eastAsia="Calibri" w:hAnsi="Calibri"/>
          <w:color w:val="222222"/>
          <w:sz w:val="22"/>
          <w:szCs w:val="22"/>
        </w:rPr>
        <w:t xml:space="preserve">Maison Verlaine est une marque de prêt-à-porter premium française, 45 boutiques en France, environ 75 M€ de CA dont 60 % réalisés par notre programme fidélité (280 000 membres au total). Sur ces 280 000 membres, on a un noyau dur d'environ 30 000 clientes « premium » — celles qui dépensent plus de 1 500 € par an chez nous — et c'est elles qui font la rentabilité du programme.</w:t>
      </w:r>
    </w:p>
    <w:p>
      <w:pPr>
        <w:spacing w:after="100" w:before="80" w:line="320"/>
        <w:jc w:val="both"/>
      </w:pPr>
      <w:r>
        <w:rPr>
          <w:rFonts w:ascii="Calibri" w:cs="Calibri" w:eastAsia="Calibri" w:hAnsi="Calibri"/>
          <w:color w:val="222222"/>
          <w:sz w:val="22"/>
          <w:szCs w:val="22"/>
        </w:rPr>
        <w:t xml:space="preserve">Le problème : sur ce noyau premium, on perd 12 % par an, sans qu'on comprenne vraiment pourquoi. Au prix moyen d'une cliente premium, c'est de l'ordre de 1,8 M€ de CA récurrent qui s'évapore chaque année. Sephora a mis en place un système de scoring qui anticipe ces départs et nous voudrions faire quelque chose de comparable.</w:t>
      </w:r>
    </w:p>
    <w:p>
      <w:pPr>
        <w:spacing w:after="120" w:before="280"/>
      </w:pPr>
      <w:r>
        <w:rPr>
          <w:rFonts w:ascii="Calibri" w:cs="Calibri" w:eastAsia="Calibri" w:hAnsi="Calibri"/>
          <w:b/>
          <w:bCs/>
          <w:color w:val="0E1C33"/>
          <w:sz w:val="24"/>
          <w:szCs w:val="24"/>
        </w:rPr>
        <w:t xml:space="preserve">Ce qu'on voudrait construire</w:t>
      </w:r>
    </w:p>
    <w:p>
      <w:pPr>
        <w:spacing w:after="100" w:before="80" w:line="320"/>
        <w:jc w:val="both"/>
      </w:pPr>
      <w:r>
        <w:rPr>
          <w:rFonts w:ascii="Calibri" w:cs="Calibri" w:eastAsia="Calibri" w:hAnsi="Calibri"/>
          <w:color w:val="222222"/>
          <w:sz w:val="22"/>
          <w:szCs w:val="22"/>
        </w:rPr>
        <w:t xml:space="preserve">Un modèle de machine learning qui identifie, parmi nos clientes premium, celles qui sont sur le point de partir — concrètement, qui n'achèteront plus rien dans les 9 mois à venir (au-delà de 9 mois sans achat, l'expérience montre qu'elles ne reviennent quasiment jamais). L'idée est qu'avec 2 à 3 mois d'avance, nos conseillères en boutique puissent reprendre contact avec elles avant qu'il soit trop tard.</w:t>
      </w:r>
    </w:p>
    <w:p>
      <w:pPr>
        <w:spacing w:after="100" w:before="80" w:line="320"/>
        <w:jc w:val="both"/>
      </w:pPr>
      <w:r>
        <w:rPr>
          <w:rFonts w:ascii="Calibri" w:cs="Calibri" w:eastAsia="Calibri" w:hAnsi="Calibri"/>
          <w:color w:val="222222"/>
          <w:sz w:val="22"/>
          <w:szCs w:val="22"/>
        </w:rPr>
        <w:t xml:space="preserve">Pour démarrer, on viserait 5 boutiques pilotes : Lyon Presqu'île, Bordeaux Saint-Catherine, Paris Marais, Lille Grand-Place et Marseille Castellane. Ce sont nos cinq meilleures boutiques en CA fidélité, leurs équipes sont plutôt motivées et nous y avons un bon relais sur place — Camille Berthier qui dirige Lyon Presqu'île est très partante et tient depuis des années un cahier papier où elle note ses clientes habituées (~150 noms).</w:t>
      </w:r>
    </w:p>
    <w:p>
      <w:pPr>
        <w:spacing w:after="120" w:before="280"/>
      </w:pPr>
      <w:r>
        <w:rPr>
          <w:rFonts w:ascii="Calibri" w:cs="Calibri" w:eastAsia="Calibri" w:hAnsi="Calibri"/>
          <w:b/>
          <w:bCs/>
          <w:color w:val="0E1C33"/>
          <w:sz w:val="24"/>
          <w:szCs w:val="24"/>
        </w:rPr>
        <w:t xml:space="preserve">Les délais et le budget</w:t>
      </w:r>
    </w:p>
    <w:p>
      <w:pPr>
        <w:spacing w:after="100" w:before="80" w:line="320"/>
        <w:jc w:val="both"/>
      </w:pPr>
      <w:r>
        <w:rPr>
          <w:rFonts w:ascii="Calibri" w:cs="Calibri" w:eastAsia="Calibri" w:hAnsi="Calibri"/>
          <w:color w:val="222222"/>
          <w:sz w:val="22"/>
          <w:szCs w:val="22"/>
        </w:rPr>
        <w:t xml:space="preserve">J'ai besoin de quelque chose de présentable d'ici 3 semaines, pour le COMEX du 30 mars où je dois montrer à Caroline (notre nouvelle DG, qui vient de Sephora) que mes chantiers data avancent. Soyons clairs : je n'attends pas le modèle final dans 3 semaines — j'attends une démo crédible, idéalement sur une boutique, avec une logique chiffrée. Le déploiement réel peut s'étaler ensuite sur 6 mois.</w:t>
      </w:r>
    </w:p>
    <w:p>
      <w:pPr>
        <w:spacing w:after="100" w:before="80" w:line="320"/>
        <w:jc w:val="both"/>
      </w:pPr>
      <w:r>
        <w:rPr>
          <w:rFonts w:ascii="Calibri" w:cs="Calibri" w:eastAsia="Calibri" w:hAnsi="Calibri"/>
          <w:color w:val="222222"/>
          <w:sz w:val="22"/>
          <w:szCs w:val="22"/>
        </w:rPr>
        <w:t xml:space="preserve">Côté budget : 35 k€ HT sur ma ligne marketing pour cette première phase. Si Caroline est convaincue au COMEX, on pourra débloquer plus pour la phase de déploiement (j'estime qu'on aurait jusqu'à 100 k€ disponibles côté DG, mais je dois passer par elle).</w:t>
      </w:r>
    </w:p>
    <w:p>
      <w:pPr>
        <w:spacing w:after="120" w:before="280"/>
      </w:pPr>
      <w:r>
        <w:rPr>
          <w:rFonts w:ascii="Calibri" w:cs="Calibri" w:eastAsia="Calibri" w:hAnsi="Calibri"/>
          <w:b/>
          <w:bCs/>
          <w:color w:val="0E1C33"/>
          <w:sz w:val="24"/>
          <w:szCs w:val="24"/>
        </w:rPr>
        <w:t xml:space="preserve">Les personnes à embarquer</w:t>
      </w:r>
    </w:p>
    <w:p>
      <w:pPr>
        <w:spacing w:after="100" w:before="80" w:line="320"/>
        <w:jc w:val="both"/>
      </w:pPr>
      <w:r>
        <w:rPr>
          <w:rFonts w:ascii="Calibri" w:cs="Calibri" w:eastAsia="Calibri" w:hAnsi="Calibri"/>
          <w:color w:val="222222"/>
          <w:sz w:val="22"/>
          <w:szCs w:val="22"/>
        </w:rPr>
        <w:t xml:space="preserve">Côté équipe data, tu auras deux interlocuteurs principaux : Karim Benali, mon responsable CRM, qui connaît tout sur Salesforce et le programme fidélité — il sera ton point de contact technique principal. Et Léa Dupuis, data analyst dans son équipe, qui pourra t'aider sur les extractions et la qualité des données.</w:t>
      </w:r>
    </w:p>
    <w:p>
      <w:pPr>
        <w:spacing w:after="100" w:before="80" w:line="320"/>
        <w:jc w:val="both"/>
      </w:pPr>
      <w:r>
        <w:rPr>
          <w:rFonts w:ascii="Calibri" w:cs="Calibri" w:eastAsia="Calibri" w:hAnsi="Calibri"/>
          <w:color w:val="222222"/>
          <w:sz w:val="22"/>
          <w:szCs w:val="22"/>
        </w:rPr>
        <w:t xml:space="preserve">Côté métier, tu devras aussi aligner Claire Robin, ma collègue à la direction Retail, qui pilote les 45 boutiques au quotidien. Elle est constructive mais elle a peur que ça surcharge les vendeuses — il faudra la rassurer. Si tu as besoin de tester l'outil sur le terrain, c'est par elle qu'il faut passer.</w:t>
      </w:r>
    </w:p>
    <w:p>
      <w:pPr>
        <w:spacing w:after="100" w:before="80" w:line="320"/>
        <w:jc w:val="both"/>
      </w:pPr>
      <w:r>
        <w:rPr>
          <w:rFonts w:ascii="Calibri" w:cs="Calibri" w:eastAsia="Calibri" w:hAnsi="Calibri"/>
          <w:color w:val="222222"/>
          <w:sz w:val="22"/>
          <w:szCs w:val="22"/>
        </w:rPr>
        <w:t xml:space="preserve">Côté technique, Mehdi Tazi (notre DSI) devra valider tout ce qui touche à l'architecture, à la sécurité et à l'intégration au SI. Il est plutôt accommodant mais il veut être prévenu en amont, pas mis devant le fait accompli.</w:t>
      </w:r>
    </w:p>
    <w:p>
      <w:pPr>
        <w:spacing w:after="100" w:before="80" w:line="320"/>
        <w:jc w:val="both"/>
      </w:pPr>
      <w:r>
        <w:rPr>
          <w:rFonts w:ascii="Calibri" w:cs="Calibri" w:eastAsia="Calibri" w:hAnsi="Calibri"/>
          <w:color w:val="222222"/>
          <w:sz w:val="22"/>
          <w:szCs w:val="22"/>
        </w:rPr>
        <w:t xml:space="preserve">Côté conformité, Anne Lopez (notre DPO) doit absolument être impliquée dès le début. On parle de profilage à grande échelle sur 280 000 personnes, donc une AIPD sera obligatoire. Anne est sympa mais rigoureuse.</w:t>
      </w:r>
    </w:p>
    <w:p>
      <w:pPr>
        <w:spacing w:after="100" w:before="80" w:line="320"/>
        <w:jc w:val="both"/>
      </w:pPr>
      <w:r>
        <w:rPr>
          <w:rFonts w:ascii="Calibri" w:cs="Calibri" w:eastAsia="Calibri" w:hAnsi="Calibri"/>
          <w:color w:val="222222"/>
          <w:sz w:val="22"/>
          <w:szCs w:val="22"/>
        </w:rPr>
        <w:t xml:space="preserve">Et bien sûr, tout en haut : Caroline Marchand (DG) qui arbitrera les décisions importantes, et Thomas Verlaine (DAF) qui validera le budget de la phase 2.</w:t>
      </w:r>
    </w:p>
    <w:p>
      <w:pPr>
        <w:spacing w:after="120" w:before="280"/>
      </w:pPr>
      <w:r>
        <w:rPr>
          <w:rFonts w:ascii="Calibri" w:cs="Calibri" w:eastAsia="Calibri" w:hAnsi="Calibri"/>
          <w:b/>
          <w:bCs/>
          <w:color w:val="0E1C33"/>
          <w:sz w:val="24"/>
          <w:szCs w:val="24"/>
        </w:rPr>
        <w:t xml:space="preserve">Les données disponibles</w:t>
      </w:r>
    </w:p>
    <w:p>
      <w:pPr>
        <w:spacing w:after="100" w:before="80" w:line="320"/>
        <w:jc w:val="both"/>
      </w:pPr>
      <w:r>
        <w:rPr>
          <w:rFonts w:ascii="Calibri" w:cs="Calibri" w:eastAsia="Calibri" w:hAnsi="Calibri"/>
          <w:color w:val="222222"/>
          <w:sz w:val="22"/>
          <w:szCs w:val="22"/>
        </w:rPr>
        <w:t xml:space="preserve">On a heureusement de quoi alimenter le modèle. Le cœur, c'est notre CRM Salesforce où sont stockés tout l'historique des 280 000 membres fidélité, leurs achats, leurs points, leurs interactions. On a aussi le système de caisse Cegid en boutique (qui remonte les tickets de caisse en J+1) et la plateforme Magento pour le e-commerce. Pauline Gomez (comm interne) gère un programme de questionnaires NPS post-achat (~12 000 réponses par an). Le service client utilise Zendesk pour les réclamations. Et il y a tout le savoir non-numérique des conseillères en boutique — comme le cahier de Camille à Lyon.</w:t>
      </w:r>
    </w:p>
    <w:p>
      <w:pPr>
        <w:spacing w:after="120" w:before="280"/>
      </w:pPr>
      <w:r>
        <w:rPr>
          <w:rFonts w:ascii="Calibri" w:cs="Calibri" w:eastAsia="Calibri" w:hAnsi="Calibri"/>
          <w:b/>
          <w:bCs/>
          <w:color w:val="0E1C33"/>
          <w:sz w:val="24"/>
          <w:szCs w:val="24"/>
        </w:rPr>
        <w:t xml:space="preserve">Quelques points de vigilance</w:t>
      </w:r>
    </w:p>
    <w:p>
      <w:pPr>
        <w:spacing w:after="100" w:before="80" w:line="320"/>
        <w:jc w:val="both"/>
      </w:pPr>
      <w:r>
        <w:rPr>
          <w:rFonts w:ascii="Calibri" w:cs="Calibri" w:eastAsia="Calibri" w:hAnsi="Calibri"/>
          <w:color w:val="222222"/>
          <w:sz w:val="22"/>
          <w:szCs w:val="22"/>
        </w:rPr>
        <w:t xml:space="preserve">Trois choses sur lesquelles je veux qu'on soit clairs dès le départ. Un : nos conseillères ne doivent pas avoir l'impression que l'outil les flique ou les remplace — leur métier, c'est de connaître leurs clientes, et le modèle doit être un soutien, pas un jugement. Deux : pas question d'utiliser des données qui poseraient problème sur un plan éthique (genre, taille de vêtement). Anne sera intransigeante là-dessus et je suis d'accord avec elle. Trois : il faut que le score soit explicable. Si une cliente nous demande pourquoi on l'a contactée ou pas, il faut qu'on puisse répondre.</w:t>
      </w:r>
    </w:p>
    <w:p>
      <w:pPr>
        <w:spacing w:after="120" w:before="280"/>
      </w:pPr>
      <w:r>
        <w:rPr>
          <w:rFonts w:ascii="Calibri" w:cs="Calibri" w:eastAsia="Calibri" w:hAnsi="Calibri"/>
          <w:b/>
          <w:bCs/>
          <w:color w:val="0E1C33"/>
          <w:sz w:val="24"/>
          <w:szCs w:val="24"/>
        </w:rPr>
        <w:t xml:space="preserve">La suite</w:t>
      </w:r>
    </w:p>
    <w:p>
      <w:pPr>
        <w:spacing w:after="100" w:before="80" w:line="320"/>
        <w:jc w:val="both"/>
      </w:pPr>
      <w:r>
        <w:rPr>
          <w:rFonts w:ascii="Calibri" w:cs="Calibri" w:eastAsia="Calibri" w:hAnsi="Calibri"/>
          <w:color w:val="222222"/>
          <w:sz w:val="22"/>
          <w:szCs w:val="22"/>
        </w:rPr>
        <w:t xml:space="preserve">Peux-tu me proposer un cadrage rapide cette semaine, idéalement avant vendredi ? On peut se voir 1h pour qu'on aligne, puis tu rencontres Karim et Léa pour creuser la donnée. Si tout va bien, on aurait une démo prête pour le COMEX du 30.</w:t>
      </w:r>
    </w:p>
    <w:p>
      <w:pPr>
        <w:spacing w:after="100" w:before="80" w:line="320"/>
        <w:jc w:val="both"/>
      </w:pPr>
      <w:r>
        <w:rPr>
          <w:rFonts w:ascii="Calibri" w:cs="Calibri" w:eastAsia="Calibri" w:hAnsi="Calibri"/>
          <w:color w:val="222222"/>
          <w:sz w:val="22"/>
          <w:szCs w:val="22"/>
        </w:rPr>
        <w:t xml:space="preserve">Merci d'avance, et n'hésite pas à m'appeler si tu veux clarifier quoi que ce soit.</w:t>
      </w:r>
    </w:p>
    <w:p>
      <w:pPr>
        <w:spacing w:after="100" w:before="80" w:line="320"/>
        <w:jc w:val="both"/>
      </w:pPr>
      <w:r>
        <w:rPr>
          <w:rFonts w:ascii="Calibri" w:cs="Calibri" w:eastAsia="Calibri" w:hAnsi="Calibri"/>
          <w:color w:val="222222"/>
          <w:sz w:val="22"/>
          <w:szCs w:val="22"/>
        </w:rPr>
        <w:t xml:space="preserve"/>
      </w:r>
    </w:p>
    <w:p>
      <w:pPr>
        <w:spacing w:after="40" w:before="240"/>
      </w:pPr>
      <w:r>
        <w:rPr>
          <w:rFonts w:ascii="Calibri" w:cs="Calibri" w:eastAsia="Calibri" w:hAnsi="Calibri"/>
          <w:color w:val="A0AEC0"/>
          <w:sz w:val="18"/>
          <w:szCs w:val="18"/>
        </w:rPr>
        <w:t xml:space="preserve">—</w:t>
      </w:r>
    </w:p>
    <w:p>
      <w:pPr>
        <w:spacing w:after="40" w:before="40"/>
      </w:pPr>
      <w:r>
        <w:rPr>
          <w:rFonts w:ascii="Calibri" w:cs="Calibri" w:eastAsia="Calibri" w:hAnsi="Calibri"/>
          <w:b/>
          <w:bCs/>
          <w:color w:val="0E1C33"/>
          <w:sz w:val="20"/>
          <w:szCs w:val="20"/>
        </w:rPr>
        <w:t xml:space="preserve">Sophie Lefèvre</w:t>
      </w:r>
    </w:p>
    <w:p>
      <w:pPr>
        <w:spacing w:after="40" w:before="40"/>
      </w:pPr>
      <w:r>
        <w:rPr>
          <w:rFonts w:ascii="Calibri" w:cs="Calibri" w:eastAsia="Calibri" w:hAnsi="Calibri"/>
          <w:color w:val="4A5568"/>
          <w:sz w:val="18"/>
          <w:szCs w:val="18"/>
        </w:rPr>
        <w:t xml:space="preserve">Directrice Marketing — Maison Verlaine</w:t>
      </w:r>
    </w:p>
    <w:p>
      <w:pPr>
        <w:spacing w:after="40" w:before="40"/>
      </w:pPr>
      <w:r>
        <w:rPr>
          <w:rFonts w:ascii="Calibri" w:cs="Calibri" w:eastAsia="Calibri" w:hAnsi="Calibri"/>
          <w:color w:val="4A5568"/>
          <w:sz w:val="18"/>
          <w:szCs w:val="18"/>
        </w:rPr>
        <w:t xml:space="preserve">12 rue du Faubourg Saint-Honoré, 75008 Paris</w:t>
      </w:r>
    </w:p>
    <w:p>
      <w:pPr>
        <w:spacing w:after="40" w:before="40"/>
      </w:pPr>
      <w:r>
        <w:rPr>
          <w:rFonts w:ascii="Calibri" w:cs="Calibri" w:eastAsia="Calibri" w:hAnsi="Calibri"/>
          <w:color w:val="4A5568"/>
          <w:sz w:val="18"/>
          <w:szCs w:val="18"/>
        </w:rPr>
        <w:t xml:space="preserve">06 XX XX XX XX  ·  s.lefevre@maison-verlaine.fr</w:t>
      </w:r>
    </w:p>
    <w:sectPr>
      <w:footerReference w:type="default" r:id="rId7"/>
      <w:pgSz w:w="11906" w:h="16838" w:orient="portrait"/>
      <w:pgMar w:top="1008" w:right="1224"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EEF" w:sz="6" w:space="4"/>
      </w:pBdr>
      <w:jc w:val="center"/>
    </w:pPr>
    <w:r>
      <w:rPr>
        <w:rFonts w:ascii="Calibri" w:cs="Calibri" w:eastAsia="Calibri" w:hAnsi="Calibri"/>
        <w:i/>
        <w:iCs/>
        <w:color w:val="4A5568"/>
        <w:sz w:val="16"/>
        <w:szCs w:val="16"/>
      </w:rPr>
      <w:t xml:space="preserve">Verlaine — J1 matin · Source 01 · Mail brief  ·  </w:t>
    </w:r>
    <w:r>
      <w:rPr>
        <w:rFonts w:ascii="Calibri" w:cs="Calibri" w:eastAsia="Calibri" w:hAnsi="Calibri"/>
        <w:color w:val="4A5568"/>
        <w:sz w:val="16"/>
        <w:szCs w:val="16"/>
      </w:rPr>
      <w:t xml:space="preserve">Page </w:t>
      <w:fldChar w:fldCharType="begin"/>
      <w:instrText xml:space="preserve">PAGE</w:instrText>
      <w:fldChar w:fldCharType="separate"/>
      <w:fldChar w:fldCharType="end"/>
    </w:r>
    <w:r>
      <w:rPr>
        <w:rFonts w:ascii="Calibri" w:cs="Calibri" w:eastAsia="Calibri" w:hAnsi="Calibri"/>
        <w:color w:val="4A5568"/>
        <w:sz w:val="16"/>
        <w:szCs w:val="16"/>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3DFD369A1AAC44894D14194C7688E9" ma:contentTypeVersion="11" ma:contentTypeDescription="Crée un document." ma:contentTypeScope="" ma:versionID="cf49c3de8148c8cc546756f07c645c21">
  <xsd:schema xmlns:xsd="http://www.w3.org/2001/XMLSchema" xmlns:xs="http://www.w3.org/2001/XMLSchema" xmlns:p="http://schemas.microsoft.com/office/2006/metadata/properties" xmlns:ns2="3c2bf3aa-a91c-4b6f-b8ca-d89e5279fe2a" xmlns:ns3="e425dd83-799c-4ff9-a9a6-f6a8064637e1" targetNamespace="http://schemas.microsoft.com/office/2006/metadata/properties" ma:root="true" ma:fieldsID="175034be094e24b6f4ed2934660117f3" ns2:_="" ns3:_="">
    <xsd:import namespace="3c2bf3aa-a91c-4b6f-b8ca-d89e5279fe2a"/>
    <xsd:import namespace="e425dd83-799c-4ff9-a9a6-f6a806463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bf3aa-a91c-4b6f-b8ca-d89e5279f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25dd83-799c-4ff9-a9a6-f6a8064637e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186b3eb-60d2-4154-b03c-a4c7679995e8}" ma:internalName="TaxCatchAll" ma:showField="CatchAllData" ma:web="e425dd83-799c-4ff9-a9a6-f6a806463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2bf3aa-a91c-4b6f-b8ca-d89e5279fe2a">
      <Terms xmlns="http://schemas.microsoft.com/office/infopath/2007/PartnerControls"/>
    </lcf76f155ced4ddcb4097134ff3c332f>
    <TaxCatchAll xmlns="e425dd83-799c-4ff9-a9a6-f6a8064637e1" xsi:nil="true"/>
  </documentManagement>
</p:properties>
</file>

<file path=customXml/itemProps1.xml><?xml version="1.0" encoding="utf-8"?>
<ds:datastoreItem xmlns:ds="http://schemas.openxmlformats.org/officeDocument/2006/customXml" ds:itemID="{7D39E23B-D1A4-42B1-BF84-5D8149B83409}"/>
</file>

<file path=customXml/itemProps2.xml><?xml version="1.0" encoding="utf-8"?>
<ds:datastoreItem xmlns:ds="http://schemas.openxmlformats.org/officeDocument/2006/customXml" ds:itemID="{1BBEAEE0-EAAE-4BC5-AC53-0F3BF5817703}"/>
</file>

<file path=customXml/itemProps3.xml><?xml version="1.0" encoding="utf-8"?>
<ds:datastoreItem xmlns:ds="http://schemas.openxmlformats.org/officeDocument/2006/customXml" ds:itemID="{A1FEFD2E-50B1-41B6-915B-AB6F7A593DC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Utopios — MA-IT Consulting</dc:creator>
  <cp:lastModifiedBy>Un-named</cp:lastModifiedBy>
  <cp:revision>1</cp:revision>
  <dcterms:created xsi:type="dcterms:W3CDTF">2026-05-10T14:20:27Z</dcterms:created>
  <dcterms:modified xsi:type="dcterms:W3CDTF">2026-05-10T14:20:27Z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0x010100913DFD369A1AAC44894D14194C7688E9</vt:lpwstr>
  </property>
</Properties>
</file>