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E1C33"/>
          <w:sz w:val="36"/>
          <w:szCs w:val="36"/>
        </w:rPr>
        <w:t xml:space="preserve">Compte-rendu d'atelier</w:t>
      </w:r>
    </w:p>
    <w:p>
      <w:pPr>
        <w:pBdr>
          <w:bottom w:val="single" w:color="00AEEF" w:sz="12"/>
        </w:pBdr>
        <w:spacing w:after="240" w:before="0"/>
      </w:pPr>
      <w:r>
        <w:rPr>
          <w:rFonts w:ascii="Calibri" w:cs="Calibri" w:eastAsia="Calibri" w:hAnsi="Calibri"/>
          <w:i/>
          <w:iCs/>
          <w:color w:val="0057B8"/>
          <w:sz w:val="22"/>
          <w:szCs w:val="22"/>
        </w:rPr>
        <w:t xml:space="preserve">Audit qualité du dataset modélisation et inventaire RGPD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DF2F7" w:sz="2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EDF2F7" w:sz="2"/>
              <w:left w:val="none"/>
              <w:bottom w:val="single" w:color="EDF2F7" w:sz="2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Lundi 24 mars 2025, 14h00–17h30</w:t>
            </w:r>
          </w:p>
        </w:tc>
      </w:tr>
      <w:tr>
        <w:tc>
          <w:tcPr>
            <w:tcW w:type="dxa" w:w="2200"/>
            <w:tcBorders>
              <w:top w:val="single" w:color="EDF2F7" w:sz="2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Lieu</w:t>
            </w:r>
          </w:p>
        </w:tc>
        <w:tc>
          <w:tcPr>
            <w:tcW w:type="dxa" w:w="7160"/>
            <w:tcBorders>
              <w:top w:val="single" w:color="EDF2F7" w:sz="2"/>
              <w:left w:val="none"/>
              <w:bottom w:val="single" w:color="EDF2F7" w:sz="2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Salle Tweed, siège Maison Verlaine</w:t>
            </w:r>
          </w:p>
        </w:tc>
      </w:tr>
      <w:tr>
        <w:tc>
          <w:tcPr>
            <w:tcW w:type="dxa" w:w="2200"/>
            <w:tcBorders>
              <w:top w:val="single" w:color="EDF2F7" w:sz="2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7160"/>
            <w:tcBorders>
              <w:top w:val="single" w:color="EDF2F7" w:sz="2"/>
              <w:left w:val="none"/>
              <w:bottom w:val="single" w:color="EDF2F7" w:sz="2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Léa Dupuis (Data Analyst, présentation), Karim Benali (CRM), Mohamed Kassemi (Utopios), Anne Lopez (DPO, dernière heure)</w:t>
            </w:r>
          </w:p>
        </w:tc>
      </w:tr>
      <w:tr>
        <w:tc>
          <w:tcPr>
            <w:tcW w:type="dxa" w:w="2200"/>
            <w:tcBorders>
              <w:top w:val="single" w:color="EDF2F7" w:sz="2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Animation</w:t>
            </w:r>
          </w:p>
        </w:tc>
        <w:tc>
          <w:tcPr>
            <w:tcW w:type="dxa" w:w="7160"/>
            <w:tcBorders>
              <w:top w:val="single" w:color="EDF2F7" w:sz="2"/>
              <w:left w:val="none"/>
              <w:bottom w:val="single" w:color="EDF2F7" w:sz="2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Léa Dupuis</w:t>
            </w:r>
          </w:p>
        </w:tc>
      </w:tr>
      <w:tr>
        <w:tc>
          <w:tcPr>
            <w:tcW w:type="dxa" w:w="2200"/>
            <w:tcBorders>
              <w:top w:val="single" w:color="EDF2F7" w:sz="2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EDF2F7" w:sz="2"/>
              <w:left w:val="none"/>
              <w:bottom w:val="single" w:color="EDF2F7" w:sz="2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Atelier technique 3h30 — restitution audit + cadrage RGPD</w:t>
            </w:r>
          </w:p>
        </w:tc>
      </w:tr>
      <w:tr>
        <w:tc>
          <w:tcPr>
            <w:tcW w:type="dxa" w:w="2200"/>
            <w:tcBorders>
              <w:top w:val="single" w:color="EDF2F7" w:sz="2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Diffusion</w:t>
            </w:r>
          </w:p>
        </w:tc>
        <w:tc>
          <w:tcPr>
            <w:tcW w:type="dxa" w:w="7160"/>
            <w:tcBorders>
              <w:top w:val="single" w:color="EDF2F7" w:sz="2"/>
              <w:left w:val="none"/>
              <w:bottom w:val="single" w:color="EDF2F7" w:sz="2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Sophie Lefèvre, Mehdi Tazi (DSI) — pour information</w:t>
            </w:r>
          </w:p>
        </w:tc>
      </w:tr>
    </w:tbl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1. Objectif de l'atelier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Restitution de l'audit qualité du dataset extrait par Léa la semaine du 17/03 sur 24 mois CRM Salesforce + Cegid. Trois questions à trancher : (a) le dataset est-il exploitable en l'état pour la modélisation, (b) quelles transformations / nettoyages faut-il prévoir, (c) quel inventaire RGPD doit accompagner le projet (avec Anne Lopez en clôture).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2. Présentation de l'audit qualité — Léa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0E1C33"/>
          <w:sz w:val="22"/>
          <w:szCs w:val="22"/>
        </w:rPr>
        <w:t xml:space="preserve">2.1 — Dataset extrait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Période : 1ᵉʳ avril 2023 → 17 mars 2025 (24 mois).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Population : 287 412 clientes ayant au moins une transaction sur la période. Filtrage premium (≥ 1 500 € sur 12 mois, ≥ 2 transactions) → 31 248 clientes éligibles. Volumétrie transactions : 13,2 M lignes.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Stockage : Snowflake schema VERLAINE_ANALYTICS, table CLIENTES_PREMIUM_AUDIT (extract du 17/03 à 23h47).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0E1C33"/>
          <w:sz w:val="22"/>
          <w:szCs w:val="22"/>
        </w:rPr>
        <w:t xml:space="preserve">2.2 — Indicateurs de qualité globaux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Léa a calculé 3 indicateurs sur l'ensemble du dataset :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Taux de complétude : 96,3 % (cellules non NULL / cellules totales). Bon score, sauf sur 3 colonnes : email_marketing_consent (78 %), date_naissance (84 %), code_postal (92 %).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Taux de doublons : 2,7 % (lignes parfaitement identiques détectées). Concentré sur la période pré-2024 (8 037 doublons connus de la déduplication ratée). Léa propose de les supprimer en pré-traitement.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Taux d'erreurs / aberrations : 1,4 % (CA négatifs détectés sur retours non réconciliés, dates futures sur 47 lignes — bug Cegid 2023). À filtrer dans le pré-traitement.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0E1C33"/>
          <w:sz w:val="22"/>
          <w:szCs w:val="22"/>
        </w:rPr>
        <w:t xml:space="preserve">2.3 — Audit feature par feature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Léa a fourni un détail par feature — résumé des points saillants :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Récence dernier achat : 100 % complète, fiable (timestamp Cegid).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Fréquence d'achat 12 mois : 100 % complète, distribution log-normale (à transformer log).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CA cumulé 12 mois : 100 % complète mais 142 valeurs négatives à corriger.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Mix online/boutique : 98 % complète. 2 % manquantes = clientes ayant uniquement acheté hors-CRM (via cadeaux, etc.) — à imputer à 0 % online.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Nombre boutiques fréquentées : OK 100 %.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Score NPS : 23 % de couverture seulement (12 k réponses Typeform / 31 k clientes éligibles). Décision : NE PAS l'inclure dans la phase 1 — biais de sélection trop important.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Interactions service client : OK 100 % mais texte non structuré pour le détail. Phase 1 : utilisation du seul comptage.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3. Discussion technique — décisions prises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D1 — Dataset modélisation final : 31 248 clientes × 12 features tabulaires + Y. Période d'observation : avril 2023 → mars 2024 (12 mois). Période de validation : avril 2024 → mars 2025 (12 mois pour observer Y à 9 mois).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D2 — Pré-traitement standard à appliquer avant entraînement : suppression 8 037 doublons + 142 lignes CA négatifs + 47 lignes dates futures. Imputation mix online à 0 % pour les 2 % manquantes. Log-transform sur fréquence et CA.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D3 — NPS exclu de la phase 1 (couverture 23 % insuffisante). Réintégration possible en phase 2 si réconciliation Typeform ↔ Salesforce.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D4 — Variables INTERDITES par le DPO (cf. partie 4) : taille vêtement (donnée sensible inférable) + nom-prénom complet (utiliser un client_id pseudonyme).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4. Inventaire RGPD avec Anne Lopez (16h45-17h30)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Anne Lopez a rejoint l'atelier pour formaliser l'inventaire RGPD du traitement. Elle insiste : ce qui suit doit figurer dans le registre des traitements et être validé par la DG avant tout entraînement de modèle.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0E1C33"/>
          <w:sz w:val="22"/>
          <w:szCs w:val="22"/>
        </w:rPr>
        <w:t xml:space="preserve">4.1 — Catégories de données traitées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Données d'identification (client_id pseudonyme, code_postal partiel).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Données de contact (présence/absence consentement, pas l'adresse mail elle-même).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Données transactionnelles (CA, fréquence, panier moyen, mix canal).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Données comportementales agrégées (récence, saisonnalité).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PAS de données sensibles : pas de santé, pas d'origine ethnique, pas d'opinion, pas d'orientation sexuelle (taille vêtement exclue car inférable).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0E1C33"/>
          <w:sz w:val="22"/>
          <w:szCs w:val="22"/>
        </w:rPr>
        <w:t xml:space="preserve">4.2 — Base légale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Anne propose : intérêt légitime (article 6.1.f RGPD), avec un test de mise en balance documenté. La cliente a souscrit au programme fidélité avec acceptation des CGU mentionnant l'analyse comportementale. À documenter dans l'AIPD.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0E1C33"/>
          <w:sz w:val="22"/>
          <w:szCs w:val="22"/>
        </w:rPr>
        <w:t xml:space="preserve">4.3 — Durée de conservation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Données d'entraînement : 24 mois roulants. Scores produits : 13 mois roulants (1 an actif + 1 mois purge). Logs d'usage de l'outil par les conseillères : 6 mois.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0E1C33"/>
          <w:sz w:val="22"/>
          <w:szCs w:val="22"/>
        </w:rPr>
        <w:t xml:space="preserve">4.4 — Droits des personnes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Droit d'accès : la cliente peut demander à voir son score et les facteurs SHAP (cf. Teams architect du 25/03). Procédure : DPO + 30 jours.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Droit d'opposition : la cliente peut sortir du traitement de scoring sans sortir du programme fidélité. Champ Salesforce custom à créer : opt_out_scoring.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Droit de rectification, d'effacement, de portabilité : standards programme fidélité, déjà implémentés.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0E1C33"/>
          <w:sz w:val="22"/>
          <w:szCs w:val="22"/>
        </w:rPr>
        <w:t xml:space="preserve">4.5 — AIPD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Anne lance l'AIPD officiellement. Délai cible : finalisée 28/03 (avant COMEX 30/03). Document à intégrer en annexe D du CDC.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5. Actions à mener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Léa — Implémenter pré-traitement (suppression doublons, filtres, transformations) dans le notebook modélisation. D'ici mercredi 26/03.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Karim — Créer le champ custom Salesforce opt_out_scoring + procédure dans le batch nocturne. D'ici jeudi 27/03.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Anne Lopez — Finaliser AIPD et la transmettre à Sophie pour signature COMEX. D'ici vendredi 28/03 midi.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Mohamed — Compléter l'annexe D du CDC + intégrer l'inventaire dans la trame T12. D'ici jeudi 27/03.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6. Points en suspens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— Anne souhaite aussi un KPI suivi spécifique : taux de demandes d'accès traitées dans les 30 jours. À ajouter au dashboard.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— Question des modèles re-entraînés en phase 2 : faut-il re-soumettre l'AIPD à chaque ré-entraînement ? Anne consultera la CNIL si la phase 2 est lancée.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CR rédigé par Mohamed Kassemi le 24/03/2025 au soir. Validation Léa, Karim et Anne par retour de mail.</w:t>
      </w:r>
    </w:p>
    <w:sectPr>
      <w:footerReference w:type="default" r:id="rId7"/>
      <w:pgSz w:w="11906" w:h="16838" w:orient="portrait"/>
      <w:pgMar w:top="1008" w:right="1224" w:bottom="100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EEF" w:sz="6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Verlaine — J2 aprem · Source 09 · CR atelier qualité données  ·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5568"/>
        <w:sz w:val="16"/>
        <w:szCs w:val="16"/>
      </w:rPr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3DFD369A1AAC44894D14194C7688E9" ma:contentTypeVersion="11" ma:contentTypeDescription="Crée un document." ma:contentTypeScope="" ma:versionID="cf49c3de8148c8cc546756f07c645c21">
  <xsd:schema xmlns:xsd="http://www.w3.org/2001/XMLSchema" xmlns:xs="http://www.w3.org/2001/XMLSchema" xmlns:p="http://schemas.microsoft.com/office/2006/metadata/properties" xmlns:ns2="3c2bf3aa-a91c-4b6f-b8ca-d89e5279fe2a" xmlns:ns3="e425dd83-799c-4ff9-a9a6-f6a8064637e1" targetNamespace="http://schemas.microsoft.com/office/2006/metadata/properties" ma:root="true" ma:fieldsID="175034be094e24b6f4ed2934660117f3" ns2:_="" ns3:_="">
    <xsd:import namespace="3c2bf3aa-a91c-4b6f-b8ca-d89e5279fe2a"/>
    <xsd:import namespace="e425dd83-799c-4ff9-a9a6-f6a80646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bf3aa-a91c-4b6f-b8ca-d89e5279f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dd83-799c-4ff9-a9a6-f6a8064637e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86b3eb-60d2-4154-b03c-a4c7679995e8}" ma:internalName="TaxCatchAll" ma:showField="CatchAllData" ma:web="e425dd83-799c-4ff9-a9a6-f6a80646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2bf3aa-a91c-4b6f-b8ca-d89e5279fe2a">
      <Terms xmlns="http://schemas.microsoft.com/office/infopath/2007/PartnerControls"/>
    </lcf76f155ced4ddcb4097134ff3c332f>
    <TaxCatchAll xmlns="e425dd83-799c-4ff9-a9a6-f6a8064637e1" xsi:nil="true"/>
  </documentManagement>
</p:properties>
</file>

<file path=customXml/itemProps1.xml><?xml version="1.0" encoding="utf-8"?>
<ds:datastoreItem xmlns:ds="http://schemas.openxmlformats.org/officeDocument/2006/customXml" ds:itemID="{D646756F-F376-486B-8EFC-4507DDA73C63}"/>
</file>

<file path=customXml/itemProps2.xml><?xml version="1.0" encoding="utf-8"?>
<ds:datastoreItem xmlns:ds="http://schemas.openxmlformats.org/officeDocument/2006/customXml" ds:itemID="{08C62C1A-633E-4084-9187-A813423D9E48}"/>
</file>

<file path=customXml/itemProps3.xml><?xml version="1.0" encoding="utf-8"?>
<ds:datastoreItem xmlns:ds="http://schemas.openxmlformats.org/officeDocument/2006/customXml" ds:itemID="{77D78EE4-E788-4C8E-BA26-3E254935BC8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Utopios — MA-IT Consulting</dc:creator>
  <cp:lastModifiedBy>Un-named</cp:lastModifiedBy>
  <cp:revision>1</cp:revision>
  <dcterms:created xsi:type="dcterms:W3CDTF">2026-05-10T15:42:55Z</dcterms:created>
  <dcterms:modified xsi:type="dcterms:W3CDTF">2026-05-10T15:42:55Z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0x010100913DFD369A1AAC44894D14194C7688E9</vt:lpwstr>
  </property>
</Properties>
</file>