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Anne Lopez &lt;a.lopez@maison-verlaine.fr&gt;</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À</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Sophie Lefèvre, Mehdi Tazi, Mohamed Kassemi</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Date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Mercredi 26 mars 2025, 11:32</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Objet</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AIPD anti-churn premium — décisions et conditions de validation</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Pièces jointes</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AIPD_anti_churn_v1.2.pdf (synthèse 2 pages)</w:t>
            </w:r>
          </w:p>
        </w:tc>
      </w:tr>
    </w:tbl>
    <w:p>
      <w:pPr>
        <w:spacing w:after="100" w:before="80" w:line="320"/>
        <w:jc w:val="both"/>
      </w:pPr>
      <w:r>
        <w:rPr>
          <w:rFonts w:ascii="Calibri" w:cs="Calibri" w:eastAsia="Calibri" w:hAnsi="Calibri"/>
          <w:color w:val="222222"/>
          <w:sz w:val="22"/>
          <w:szCs w:val="22"/>
        </w:rPr>
        <w:t xml:space="preserve"/>
      </w:r>
    </w:p>
    <w:p>
      <w:pPr>
        <w:spacing w:after="100" w:before="80" w:line="320"/>
        <w:jc w:val="both"/>
      </w:pPr>
      <w:r>
        <w:rPr>
          <w:rFonts w:ascii="Calibri" w:cs="Calibri" w:eastAsia="Calibri" w:hAnsi="Calibri"/>
          <w:color w:val="222222"/>
          <w:sz w:val="22"/>
          <w:szCs w:val="22"/>
        </w:rPr>
        <w:t xml:space="preserve">Bonjour à tous,</w:t>
      </w:r>
    </w:p>
    <w:p>
      <w:pPr>
        <w:spacing w:after="100" w:before="80" w:line="320"/>
        <w:jc w:val="both"/>
      </w:pPr>
      <w:r>
        <w:rPr>
          <w:rFonts w:ascii="Calibri" w:cs="Calibri" w:eastAsia="Calibri" w:hAnsi="Calibri"/>
          <w:color w:val="222222"/>
          <w:sz w:val="22"/>
          <w:szCs w:val="22"/>
        </w:rPr>
        <w:t xml:space="preserve">Suite à l'atelier qualité données de lundi avec Léa et Karim, je vous adresse les conclusions de l'AIPD que j'ai finalisée hier soir. Vous trouverez la synthèse 2 pages en pièce jointe — la version complète (15 pages) est dans Confluence sous /space/JURIDIQUE/AIPD-anti-churn.</w:t>
      </w:r>
    </w:p>
    <w:p>
      <w:pPr>
        <w:spacing w:after="120" w:before="280"/>
      </w:pPr>
      <w:r>
        <w:rPr>
          <w:rFonts w:ascii="Calibri" w:cs="Calibri" w:eastAsia="Calibri" w:hAnsi="Calibri"/>
          <w:b/>
          <w:bCs/>
          <w:color w:val="0E1C33"/>
          <w:sz w:val="24"/>
          <w:szCs w:val="24"/>
        </w:rPr>
        <w:t xml:space="preserve">Conclusions de l'AIPD</w:t>
      </w:r>
    </w:p>
    <w:p>
      <w:pPr>
        <w:spacing w:after="100" w:before="80" w:line="320"/>
        <w:jc w:val="both"/>
      </w:pPr>
      <w:r>
        <w:rPr>
          <w:rFonts w:ascii="Calibri" w:cs="Calibri" w:eastAsia="Calibri" w:hAnsi="Calibri"/>
          <w:color w:val="222222"/>
          <w:sz w:val="22"/>
          <w:szCs w:val="22"/>
        </w:rPr>
        <w:t xml:space="preserve">Risque global évalué : MODÉRÉ. Le traitement est conforme sous réserve des 5 mesures de protection ci-dessous. Aucune saisine CNIL préalable nécessaire.</w:t>
      </w:r>
    </w:p>
    <w:p>
      <w:pPr>
        <w:spacing w:after="100" w:before="80" w:line="320"/>
        <w:jc w:val="both"/>
      </w:pPr>
      <w:r>
        <w:rPr>
          <w:rFonts w:ascii="Calibri" w:cs="Calibri" w:eastAsia="Calibri" w:hAnsi="Calibri"/>
          <w:color w:val="222222"/>
          <w:sz w:val="22"/>
          <w:szCs w:val="22"/>
        </w:rPr>
        <w:t xml:space="preserve">1. Base légale retenue : intérêt légitime (article 6.1.f). Test de mise en balance documenté en annexe 3 de l'AIPD : finalité légitime (fidélisation), nécessaire (pas d'alternative moins intrusive), proportionné (données déjà collectées, pas d'enrichissement externe), pas de désavantage majeur pour les personnes (la cliente ne perd rien si elle est flaggée).</w:t>
      </w:r>
    </w:p>
    <w:p>
      <w:pPr>
        <w:spacing w:after="100" w:before="80" w:line="320"/>
        <w:jc w:val="both"/>
      </w:pPr>
      <w:r>
        <w:rPr>
          <w:rFonts w:ascii="Calibri" w:cs="Calibri" w:eastAsia="Calibri" w:hAnsi="Calibri"/>
          <w:color w:val="222222"/>
          <w:sz w:val="22"/>
          <w:szCs w:val="22"/>
        </w:rPr>
        <w:t xml:space="preserve">2. Information des personnes : la newsletter d'avril 2025 doit contenir un encart d'information sur le traitement (texte en annexe 4 de l'AIPD). Sophie, peux-tu valider que la newsletter d'avril est encore éditable ?</w:t>
      </w:r>
    </w:p>
    <w:p>
      <w:pPr>
        <w:spacing w:after="100" w:before="80" w:line="320"/>
        <w:jc w:val="both"/>
      </w:pPr>
      <w:r>
        <w:rPr>
          <w:rFonts w:ascii="Calibri" w:cs="Calibri" w:eastAsia="Calibri" w:hAnsi="Calibri"/>
          <w:color w:val="222222"/>
          <w:sz w:val="22"/>
          <w:szCs w:val="22"/>
        </w:rPr>
        <w:t xml:space="preserve">3. Droit d'opposition : Karim a confirmé la création du champ Salesforce opt_out_scoring. Procédure de gestion à inscrire dans la charte client : opposition reçue → exclusion immédiate du modèle → confirmation sous 7 jours.</w:t>
      </w:r>
    </w:p>
    <w:p>
      <w:pPr>
        <w:spacing w:after="100" w:before="80" w:line="320"/>
        <w:jc w:val="both"/>
      </w:pPr>
      <w:r>
        <w:rPr>
          <w:rFonts w:ascii="Calibri" w:cs="Calibri" w:eastAsia="Calibri" w:hAnsi="Calibri"/>
          <w:color w:val="222222"/>
          <w:sz w:val="22"/>
          <w:szCs w:val="22"/>
        </w:rPr>
        <w:t xml:space="preserve">4. Variables INTERDITES dans le modèle (à valider techniquement par Léa) : taille de vêtement (sensible inférable), email exact, nom-prénom complet (utiliser un client_id pseudonyme), tout signal lié à la conseillère qui a servi la cliente.</w:t>
      </w:r>
    </w:p>
    <w:p>
      <w:pPr>
        <w:spacing w:after="100" w:before="80" w:line="320"/>
        <w:jc w:val="both"/>
      </w:pPr>
      <w:r>
        <w:rPr>
          <w:rFonts w:ascii="Calibri" w:cs="Calibri" w:eastAsia="Calibri" w:hAnsi="Calibri"/>
          <w:color w:val="222222"/>
          <w:sz w:val="22"/>
          <w:szCs w:val="22"/>
        </w:rPr>
        <w:t xml:space="preserve">5. Article 22 (décision automatisée) : ne s'applique pas en l'état car la conseillère reste l'humain dans la boucle (elle décide ou non de contacter). Pour rester conforme, il faut tracer un KPI spécifique : taux de scores ignorés par la conseillère. Si ce taux descend sous 15 %, on bascule de fait dans l'article 22 et il faudra redéposer une AIPD. À surveiller en production.</w:t>
      </w:r>
    </w:p>
    <w:p>
      <w:pPr>
        <w:spacing w:after="120" w:before="280"/>
      </w:pPr>
      <w:r>
        <w:rPr>
          <w:rFonts w:ascii="Calibri" w:cs="Calibri" w:eastAsia="Calibri" w:hAnsi="Calibri"/>
          <w:b/>
          <w:bCs/>
          <w:color w:val="0E1C33"/>
          <w:sz w:val="24"/>
          <w:szCs w:val="24"/>
        </w:rPr>
        <w:t xml:space="preserve">Conditions de signature avant COMEX 30/03</w:t>
      </w:r>
    </w:p>
    <w:p>
      <w:pPr>
        <w:spacing w:after="100" w:before="80" w:line="320"/>
        <w:jc w:val="both"/>
      </w:pPr>
      <w:r>
        <w:rPr>
          <w:rFonts w:ascii="Calibri" w:cs="Calibri" w:eastAsia="Calibri" w:hAnsi="Calibri"/>
          <w:color w:val="222222"/>
          <w:sz w:val="22"/>
          <w:szCs w:val="22"/>
        </w:rPr>
        <w:t xml:space="preserve">Je signe l'AIPD lundi 31/03 si les 4 points suivants sont OK :</w:t>
      </w:r>
    </w:p>
    <w:p>
      <w:pPr>
        <w:spacing w:after="100" w:before="80" w:line="320"/>
        <w:jc w:val="both"/>
      </w:pPr>
      <w:r>
        <w:rPr>
          <w:rFonts w:ascii="Calibri" w:cs="Calibri" w:eastAsia="Calibri" w:hAnsi="Calibri"/>
          <w:color w:val="222222"/>
          <w:sz w:val="22"/>
          <w:szCs w:val="22"/>
        </w:rPr>
        <w:t xml:space="preserve">(a) Variables interdites confirmées exclues du dataset (Léa, mail confirmation).</w:t>
      </w:r>
    </w:p>
    <w:p>
      <w:pPr>
        <w:spacing w:after="100" w:before="80" w:line="320"/>
        <w:jc w:val="both"/>
      </w:pPr>
      <w:r>
        <w:rPr>
          <w:rFonts w:ascii="Calibri" w:cs="Calibri" w:eastAsia="Calibri" w:hAnsi="Calibri"/>
          <w:color w:val="222222"/>
          <w:sz w:val="22"/>
          <w:szCs w:val="22"/>
        </w:rPr>
        <w:t xml:space="preserve">(b) Champ opt_out_scoring déployé en Salesforce (Karim, mail confirmation).</w:t>
      </w:r>
    </w:p>
    <w:p>
      <w:pPr>
        <w:spacing w:after="100" w:before="80" w:line="320"/>
        <w:jc w:val="both"/>
      </w:pPr>
      <w:r>
        <w:rPr>
          <w:rFonts w:ascii="Calibri" w:cs="Calibri" w:eastAsia="Calibri" w:hAnsi="Calibri"/>
          <w:color w:val="222222"/>
          <w:sz w:val="22"/>
          <w:szCs w:val="22"/>
        </w:rPr>
        <w:t xml:space="preserve">(c) Encart RGPD validé pour la newsletter avril (Sophie, validation comm).</w:t>
      </w:r>
    </w:p>
    <w:p>
      <w:pPr>
        <w:spacing w:after="100" w:before="80" w:line="320"/>
        <w:jc w:val="both"/>
      </w:pPr>
      <w:r>
        <w:rPr>
          <w:rFonts w:ascii="Calibri" w:cs="Calibri" w:eastAsia="Calibri" w:hAnsi="Calibri"/>
          <w:color w:val="222222"/>
          <w:sz w:val="22"/>
          <w:szCs w:val="22"/>
        </w:rPr>
        <w:t xml:space="preserve">(d) Mention dans la note COMEX que le KPI taux de scores ignorés sera suivi (Sophie, à intégrer slide 6).</w:t>
      </w:r>
    </w:p>
    <w:p>
      <w:pPr>
        <w:spacing w:after="100" w:before="80" w:line="320"/>
        <w:jc w:val="both"/>
      </w:pPr>
      <w:r>
        <w:rPr>
          <w:rFonts w:ascii="Calibri" w:cs="Calibri" w:eastAsia="Calibri" w:hAnsi="Calibri"/>
          <w:color w:val="222222"/>
          <w:sz w:val="22"/>
          <w:szCs w:val="22"/>
        </w:rPr>
        <w:t xml:space="preserve">Pour le COMEX du 30/03, vous pouvez présenter le projet en mentionnant que l'AIPD est en cours de finalisation avec validation prévue pour le 31. Caroline est habituée à cette mécanique, ce ne sera pas un blocage.</w:t>
      </w:r>
    </w:p>
    <w:p>
      <w:pPr>
        <w:spacing w:after="120" w:before="280"/>
      </w:pPr>
      <w:r>
        <w:rPr>
          <w:rFonts w:ascii="Calibri" w:cs="Calibri" w:eastAsia="Calibri" w:hAnsi="Calibri"/>
          <w:b/>
          <w:bCs/>
          <w:color w:val="0E1C33"/>
          <w:sz w:val="24"/>
          <w:szCs w:val="24"/>
        </w:rPr>
        <w:t xml:space="preserve">Anticipation phase 2</w:t>
      </w:r>
    </w:p>
    <w:p>
      <w:pPr>
        <w:spacing w:after="100" w:before="80" w:line="320"/>
        <w:jc w:val="both"/>
      </w:pPr>
      <w:r>
        <w:rPr>
          <w:rFonts w:ascii="Calibri" w:cs="Calibri" w:eastAsia="Calibri" w:hAnsi="Calibri"/>
          <w:color w:val="222222"/>
          <w:sz w:val="22"/>
          <w:szCs w:val="22"/>
        </w:rPr>
        <w:t xml:space="preserve">Pour l'industrialisation phase 2, deux points à anticiper dès maintenant : (a) re-évaluation de l'AIPD si re-entraînement automatique est mis en place, (b) gestion des demandes de droit d'accès — on est aujourd'hui à 4 demandes/an sur le programme fidélité, ça pourrait monter avec la communication. Sophie peut-on prévoir un budget de 1 ETP sur 5 jours pour répondre à un éventuel afflux ?</w:t>
      </w:r>
    </w:p>
    <w:p>
      <w:pPr>
        <w:spacing w:after="100" w:before="80" w:line="320"/>
        <w:jc w:val="both"/>
      </w:pPr>
      <w:r>
        <w:rPr>
          <w:rFonts w:ascii="Calibri" w:cs="Calibri" w:eastAsia="Calibri" w:hAnsi="Calibri"/>
          <w:color w:val="222222"/>
          <w:sz w:val="22"/>
          <w:szCs w:val="22"/>
        </w:rPr>
        <w:t xml:space="preserve">Je suis disponible vendredi 28 si vous voulez qu'on fasse un point complet avant le COMEX. Sinon on se voit lundi 31 pour la signature.</w:t>
      </w:r>
    </w:p>
    <w:p>
      <w:pPr>
        <w:spacing w:after="100" w:before="80" w:line="320"/>
        <w:jc w:val="both"/>
      </w:pPr>
      <w:r>
        <w:rPr>
          <w:rFonts w:ascii="Calibri" w:cs="Calibri" w:eastAsia="Calibri" w:hAnsi="Calibri"/>
          <w:color w:val="222222"/>
          <w:sz w:val="22"/>
          <w:szCs w:val="22"/>
        </w:rPr>
        <w:t xml:space="preserve">Cordialement,</w:t>
      </w:r>
    </w:p>
    <w:p>
      <w:pPr>
        <w:spacing w:after="100" w:before="80" w:line="320"/>
        <w:jc w:val="both"/>
      </w:pPr>
      <w:r>
        <w:rPr>
          <w:rFonts w:ascii="Calibri" w:cs="Calibri" w:eastAsia="Calibri" w:hAnsi="Calibri"/>
          <w:color w:val="222222"/>
          <w:sz w:val="22"/>
          <w:szCs w:val="22"/>
        </w:rPr>
        <w:t xml:space="preserve"/>
      </w:r>
    </w:p>
    <w:p>
      <w:pPr>
        <w:spacing w:after="40" w:before="240"/>
      </w:pPr>
      <w:r>
        <w:rPr>
          <w:rFonts w:ascii="Calibri" w:cs="Calibri" w:eastAsia="Calibri" w:hAnsi="Calibri"/>
          <w:color w:val="A0AEC0"/>
          <w:sz w:val="18"/>
          <w:szCs w:val="18"/>
        </w:rPr>
        <w:t xml:space="preserve">—</w:t>
      </w:r>
    </w:p>
    <w:p>
      <w:pPr>
        <w:spacing w:after="40" w:before="40"/>
      </w:pPr>
      <w:r>
        <w:rPr>
          <w:rFonts w:ascii="Calibri" w:cs="Calibri" w:eastAsia="Calibri" w:hAnsi="Calibri"/>
          <w:b/>
          <w:bCs/>
          <w:color w:val="0E1C33"/>
          <w:sz w:val="20"/>
          <w:szCs w:val="20"/>
        </w:rPr>
        <w:t xml:space="preserve">Anne Lopez</w:t>
      </w:r>
    </w:p>
    <w:p>
      <w:pPr>
        <w:spacing w:after="40" w:before="40"/>
      </w:pPr>
      <w:r>
        <w:rPr>
          <w:rFonts w:ascii="Calibri" w:cs="Calibri" w:eastAsia="Calibri" w:hAnsi="Calibri"/>
          <w:color w:val="4A5568"/>
          <w:sz w:val="18"/>
          <w:szCs w:val="18"/>
        </w:rPr>
        <w:t xml:space="preserve">Déléguée à la Protection des Données — Maison Verlaine</w:t>
      </w:r>
    </w:p>
    <w:p>
      <w:pPr>
        <w:spacing w:after="40" w:before="40"/>
      </w:pPr>
      <w:r>
        <w:rPr>
          <w:rFonts w:ascii="Calibri" w:cs="Calibri" w:eastAsia="Calibri" w:hAnsi="Calibri"/>
          <w:color w:val="4A5568"/>
          <w:sz w:val="18"/>
          <w:szCs w:val="18"/>
        </w:rPr>
        <w:t xml:space="preserve">12 rue du Faubourg Saint-Honoré, 75008 Paris</w:t>
      </w:r>
    </w:p>
    <w:p>
      <w:pPr>
        <w:spacing w:after="40" w:before="40"/>
      </w:pPr>
      <w:r>
        <w:rPr>
          <w:rFonts w:ascii="Calibri" w:cs="Calibri" w:eastAsia="Calibri" w:hAnsi="Calibri"/>
          <w:color w:val="4A5568"/>
          <w:sz w:val="18"/>
          <w:szCs w:val="18"/>
        </w:rPr>
        <w:t xml:space="preserve">01 XX XX XX XX  ·  a.lopez@maison-verlaine.fr  ·  dpo@maison-verlaine.fr</w:t>
      </w:r>
    </w:p>
    <w:sectPr>
      <w:footerReference w:type="default" r:id="rId7"/>
      <w:pgSz w:w="11906" w:h="16838"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6" w:space="4"/>
      </w:pBdr>
      <w:jc w:val="center"/>
    </w:pPr>
    <w:r>
      <w:rPr>
        <w:rFonts w:ascii="Calibri" w:cs="Calibri" w:eastAsia="Calibri" w:hAnsi="Calibri"/>
        <w:i/>
        <w:iCs/>
        <w:color w:val="4A5568"/>
        <w:sz w:val="16"/>
        <w:szCs w:val="16"/>
      </w:rPr>
      <w:t xml:space="preserve">Verlaine — J2 aprem · Source 10 · Mail DPO  ·  </w:t>
    </w:r>
    <w:r>
      <w:rPr>
        <w:rFonts w:ascii="Calibri" w:cs="Calibri" w:eastAsia="Calibri" w:hAnsi="Calibri"/>
        <w:color w:val="4A5568"/>
        <w:sz w:val="16"/>
        <w:szCs w:val="16"/>
      </w:rPr>
      <w:t xml:space="preserve">Page </w:t>
      <w:fldChar w:fldCharType="begin"/>
      <w:instrText xml:space="preserve">PAGE</w:instrText>
      <w:fldChar w:fldCharType="separate"/>
      <w:fldChar w:fldCharType="end"/>
    </w:r>
    <w:r>
      <w:rPr>
        <w:rFonts w:ascii="Calibri" w:cs="Calibri" w:eastAsia="Calibri" w:hAnsi="Calibri"/>
        <w:color w:val="4A5568"/>
        <w:sz w:val="16"/>
        <w:szCs w:val="16"/>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3DFD369A1AAC44894D14194C7688E9" ma:contentTypeVersion="11" ma:contentTypeDescription="Crée un document." ma:contentTypeScope="" ma:versionID="cf49c3de8148c8cc546756f07c645c21">
  <xsd:schema xmlns:xsd="http://www.w3.org/2001/XMLSchema" xmlns:xs="http://www.w3.org/2001/XMLSchema" xmlns:p="http://schemas.microsoft.com/office/2006/metadata/properties" xmlns:ns2="3c2bf3aa-a91c-4b6f-b8ca-d89e5279fe2a" xmlns:ns3="e425dd83-799c-4ff9-a9a6-f6a8064637e1" targetNamespace="http://schemas.microsoft.com/office/2006/metadata/properties" ma:root="true" ma:fieldsID="175034be094e24b6f4ed2934660117f3" ns2:_="" ns3:_="">
    <xsd:import namespace="3c2bf3aa-a91c-4b6f-b8ca-d89e5279fe2a"/>
    <xsd:import namespace="e425dd83-799c-4ff9-a9a6-f6a806463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f3aa-a91c-4b6f-b8ca-d89e5279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dd83-799c-4ff9-a9a6-f6a8064637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186b3eb-60d2-4154-b03c-a4c7679995e8}" ma:internalName="TaxCatchAll" ma:showField="CatchAllData" ma:web="e425dd83-799c-4ff9-a9a6-f6a806463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2bf3aa-a91c-4b6f-b8ca-d89e5279fe2a">
      <Terms xmlns="http://schemas.microsoft.com/office/infopath/2007/PartnerControls"/>
    </lcf76f155ced4ddcb4097134ff3c332f>
    <TaxCatchAll xmlns="e425dd83-799c-4ff9-a9a6-f6a8064637e1" xsi:nil="true"/>
  </documentManagement>
</p:properties>
</file>

<file path=customXml/itemProps1.xml><?xml version="1.0" encoding="utf-8"?>
<ds:datastoreItem xmlns:ds="http://schemas.openxmlformats.org/officeDocument/2006/customXml" ds:itemID="{8ECF15A6-17BF-4D55-A94B-4E4D020D1497}"/>
</file>

<file path=customXml/itemProps2.xml><?xml version="1.0" encoding="utf-8"?>
<ds:datastoreItem xmlns:ds="http://schemas.openxmlformats.org/officeDocument/2006/customXml" ds:itemID="{925EBFB4-6C6C-437E-9C05-732B6E1B9476}"/>
</file>

<file path=customXml/itemProps3.xml><?xml version="1.0" encoding="utf-8"?>
<ds:datastoreItem xmlns:ds="http://schemas.openxmlformats.org/officeDocument/2006/customXml" ds:itemID="{8718BD12-8D91-4E3B-92A3-09FB6809DF7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Utopios — MA-IT Consulting</dc:creator>
  <cp:lastModifiedBy>Un-named</cp:lastModifiedBy>
  <cp:revision>1</cp:revision>
  <dcterms:created xsi:type="dcterms:W3CDTF">2026-05-10T15:44:17Z</dcterms:created>
  <dcterms:modified xsi:type="dcterms:W3CDTF">2026-05-10T15:44:17Z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0x010100913DFD369A1AAC44894D14194C7688E9</vt:lpwstr>
  </property>
</Properties>
</file>