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color w:val="5E6C84"/>
          <w:sz w:val="18"/>
          <w:szCs w:val="18"/>
        </w:rPr>
        <w:t xml:space="preserve">Espace : Data &amp; Analytics  /  Veille techno  /  ML Explainability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72B4D"/>
          <w:sz w:val="40"/>
          <w:szCs w:val="40"/>
        </w:rPr>
        <w:t xml:space="preserve">SHAP pour l'explicabilité du modèle anti-churn</w:t>
      </w:r>
    </w:p>
    <w:p>
      <w:pPr>
        <w:pBdr>
          <w:bottom w:val="single" w:color="DFE1E6" w:sz="6"/>
        </w:pBdr>
        <w:spacing w:after="200" w:before="80"/>
      </w:pPr>
      <w:r>
        <w:rPr>
          <w:rFonts w:ascii="Calibri" w:cs="Calibri" w:eastAsia="Calibri" w:hAnsi="Calibri"/>
          <w:sz w:val="18"/>
          <w:szCs w:val="18"/>
        </w:rPr>
        <w:t xml:space="preserve">👤  </w:t>
      </w:r>
      <w:r>
        <w:rPr>
          <w:rFonts w:ascii="Calibri" w:cs="Calibri" w:eastAsia="Calibri" w:hAnsi="Calibri"/>
          <w:b/>
          <w:bCs/>
          <w:color w:val="0052CC"/>
          <w:sz w:val="20"/>
          <w:szCs w:val="20"/>
        </w:rPr>
        <w:t xml:space="preserve">Karim Benali</w:t>
      </w:r>
      <w:r>
        <w:rPr>
          <w:rFonts w:ascii="Calibri" w:cs="Calibri" w:eastAsia="Calibri" w:hAnsi="Calibri"/>
          <w:color w:val="5E6C84"/>
          <w:sz w:val="20"/>
          <w:szCs w:val="20"/>
        </w:rPr>
        <w:t xml:space="preserve">   ·   </w:t>
      </w:r>
      <w:r>
        <w:rPr>
          <w:rFonts w:ascii="Calibri" w:cs="Calibri" w:eastAsia="Calibri" w:hAnsi="Calibri"/>
          <w:sz w:val="18"/>
          <w:szCs w:val="18"/>
        </w:rPr>
        <w:t xml:space="preserve">📅  </w:t>
      </w:r>
      <w:r>
        <w:rPr>
          <w:rFonts w:ascii="Calibri" w:cs="Calibri" w:eastAsia="Calibri" w:hAnsi="Calibri"/>
          <w:color w:val="172B4D"/>
          <w:sz w:val="20"/>
          <w:szCs w:val="20"/>
        </w:rPr>
        <w:t xml:space="preserve">Lundi 24 mars 2025 — 16h47</w:t>
      </w:r>
      <w:r>
        <w:rPr>
          <w:rFonts w:ascii="Calibri" w:cs="Calibri" w:eastAsia="Calibri" w:hAnsi="Calibri"/>
          <w:color w:val="5E6C84"/>
          <w:sz w:val="20"/>
          <w:szCs w:val="20"/>
        </w:rPr>
        <w:t xml:space="preserve">   ·   </w:t>
      </w:r>
      <w:r>
        <w:rPr>
          <w:rFonts w:ascii="Calibri" w:cs="Calibri" w:eastAsia="Calibri" w:hAnsi="Calibri"/>
          <w:sz w:val="18"/>
          <w:szCs w:val="18"/>
        </w:rPr>
        <w:t xml:space="preserve">🏷  </w:t>
      </w:r>
      <w:r>
        <w:rPr>
          <w:rFonts w:ascii="Calibri" w:cs="Calibri" w:eastAsia="Calibri" w:hAnsi="Calibri"/>
          <w:i/>
          <w:iCs/>
          <w:color w:val="5E6C84"/>
          <w:sz w:val="20"/>
          <w:szCs w:val="20"/>
        </w:rPr>
        <w:t xml:space="preserve">explainability, SHAP, XGBoost, anti-churn, COMEX-ready</w:t>
      </w:r>
      <w:r>
        <w:rPr>
          <w:rFonts w:ascii="Calibri" w:cs="Calibri" w:eastAsia="Calibri" w:hAnsi="Calibri"/>
          <w:color w:val="5E6C84"/>
          <w:sz w:val="20"/>
          <w:szCs w:val="20"/>
        </w:rPr>
        <w:t xml:space="preserve">   ·   </w:t>
      </w:r>
      <w:r>
        <w:rPr>
          <w:rFonts w:ascii="Calibri" w:cs="Calibri" w:eastAsia="Calibri" w:hAnsi="Calibri"/>
          <w:color w:val="00875A"/>
          <w:sz w:val="20"/>
          <w:szCs w:val="20"/>
        </w:rPr>
        <w:t xml:space="preserve">v1.2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52CC" w:sz="24"/>
              <w:bottom w:val="none"/>
              <w:right w:val="none"/>
            </w:tcBorders>
            <w:shd w:fill="DEEB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ℹ  </w:t>
            </w:r>
            <w:r>
              <w:rPr>
                <w:rFonts w:ascii="Calibri" w:cs="Calibri" w:eastAsia="Calibri" w:hAnsi="Calibri"/>
                <w:b/>
                <w:bCs/>
                <w:color w:val="172B4D"/>
                <w:sz w:val="22"/>
                <w:szCs w:val="22"/>
              </w:rPr>
              <w:t xml:space="preserve">TL;DR</w:t>
            </w:r>
          </w:p>
          <w:p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SHAP est devenu le standard de fait pour l'explicabilité des modèles tabulaires en 2025. Pour le projet anti-churn premium, il permettrait d'afficher aux conseillères les 3 facteurs principaux qui expliquent le score de chaque cliente. Cohérent avec le besoin sponsor (modèle explicable). À évaluer face à 2 alternatives : LIME et l'attention native XGBoost.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1. Pourquoi cette veille ?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Le brief sponsor (Sophie Lefèvre, mail du 10/03) demande explicitement que les conseillères puissent voir « pourquoi » une cliente est flaggée à risque. Lors du COMEX du 30 mars, Caroline Marchand voudra forcément un effet de démonstration : pouvoir cliquer sur une cliente et voir 3 raisons claires. Cette page documente l'évaluation des outils d'explicabilité disponibles.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Sur l'usage chez Sephora (référence Caroline) : leur outil utilise une logique d'attention multi-features et des règles métier hardcodées. Ce n'est pas SHAP, mais le rendu visuel est proche.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2. Présentation de SHAP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SHAP (SHapley Additive exPlanations) est une bibliothèque Python développée à partir de 2017 et industrialisée depuis 2020. Elle s'appuie sur la théorie des jeux coopératifs (valeurs de Shapley, prix Nobel d'économie 2012) pour attribuer à chaque feature une contribution numérique au score prédit, additive et cohérente.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Elle est devenue le standard de fait pour les modèles tabulaires (XGBoost, LightGBM, scikit-learn). Les principaux acteurs data — Microsoft, Databricks, Datadog AI Observability — l'intègrent nativement à leurs plateformes.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72B4D"/>
          <w:sz w:val="26"/>
          <w:szCs w:val="26"/>
        </w:rPr>
        <w:t xml:space="preserve">2.1 Maturité et écosystème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Github : 22k+ stars, 3k+ forks, dernier release janvier 2025. Maintenu par une équipe issue de Microsoft Research. Documentation très complète, intégration native dans MLflow, BentoML, et Streamlit.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Communauté très active sur Stack Overflow (~5k questions, taux de réponse &gt; 80 %).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72B4D"/>
          <w:sz w:val="26"/>
          <w:szCs w:val="26"/>
        </w:rPr>
        <w:t xml:space="preserve">2.2 Usage technique typique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72B4D"/>
                <w:sz w:val="20"/>
                <w:szCs w:val="20"/>
              </w:rPr>
              <w:t xml:space="preserve">import shap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72B4D"/>
                <w:sz w:val="20"/>
                <w:szCs w:val="20"/>
              </w:rPr>
              <w:t xml:space="preserve">explainer = shap.TreeExplainer(model)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72B4D"/>
                <w:sz w:val="20"/>
                <w:szCs w:val="20"/>
              </w:rPr>
              <w:t xml:space="preserve">shap_values = explainer.shap_values(X_test)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72B4D"/>
                <w:sz w:val="20"/>
                <w:szCs w:val="20"/>
              </w:rPr>
              <w:t xml:space="preserve"># Top 3 features pour la cliente i 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72B4D"/>
                <w:sz w:val="20"/>
                <w:szCs w:val="20"/>
              </w:rPr>
              <w:t xml:space="preserve">shap.waterfall_plot(shap_values[i], max_display=3)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3. Analyse pour le projet Verlaine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875A" w:sz="4"/>
              <w:left w:val="single" w:color="00875A" w:sz="4"/>
              <w:bottom w:val="single" w:color="00875A" w:sz="4"/>
              <w:right w:val="single" w:color="00875A" w:sz="4"/>
            </w:tcBorders>
            <w:shd w:fill="E3FCEF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✅  Avantages</w:t>
            </w:r>
          </w:p>
        </w:tc>
        <w:tc>
          <w:tcPr>
            <w:tcW w:type="dxa" w:w="4680"/>
            <w:tcBorders>
              <w:top w:val="single" w:color="DE350B" w:sz="4"/>
              <w:left w:val="single" w:color="DE350B" w:sz="4"/>
              <w:bottom w:val="single" w:color="DE350B" w:sz="4"/>
              <w:right w:val="single" w:color="DE350B" w:sz="4"/>
            </w:tcBorders>
            <w:shd w:fill="FFEBE6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E350B"/>
                <w:sz w:val="22"/>
                <w:szCs w:val="22"/>
              </w:rPr>
              <w:t xml:space="preserve">⚠  Limites / risques</w:t>
            </w:r>
          </w:p>
        </w:tc>
      </w:tr>
      <w:tr>
        <w:tc>
          <w:tcPr>
            <w:tcW w:type="dxa" w:w="46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Standard de fait : Caroline (ex-Sephora) reconnaîtra l'approche, ne posera pas de question gênante.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Compatible XGBoost (notre choix de modèle de base), avec TreeExplainer optimisé.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Permet d'afficher facilement les 3 facteurs principaux par cliente — exactement ce que demande Sophie.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Visualisations natives directement intégrables dans Streamlit (waterfall, force plot, summary plot).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Open-source, pas de vendor lock-in, pas de coût licence.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875A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Communauté étendue → recrutement futur facilité (skill recherchée).</w:t>
            </w:r>
          </w:p>
        </w:tc>
        <w:tc>
          <w:tcPr>
            <w:tcW w:type="dxa" w:w="4680"/>
            <w:tcBorders>
              <w:top w:val="single" w:color="DFE1E6" w:sz="4"/>
              <w:left w:val="single" w:color="DFE1E6" w:sz="4"/>
              <w:bottom w:val="single" w:color="DFE1E6" w:sz="4"/>
              <w:right w:val="single" w:color="DFE1E6" w:sz="4"/>
            </w:tcBorders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E350B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Calcul des SHAP values coûteux pour les gros datasets : ~2-5 min pour 30k clientes en local. Non bloquant pour la phase 1 (calculs nocturnes).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E350B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Interprétation des SHAP values demande un peu de pédagogie auprès des conseillères : « contribution au score » n'est pas trivial.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E350B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Pour les modèles non-tree (réseaux de neurones), KernelExplainer beaucoup plus lent. Pas un problème pour notre modèle XGBoost.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E350B"/>
                <w:sz w:val="22"/>
                <w:szCs w:val="22"/>
              </w:rPr>
              <w:t xml:space="preserve">•  </w:t>
            </w:r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Les explications sont locales (par cliente). Pour des explications globales, il faut agréger soi-même.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4. Alternatives évaluées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72B4D"/>
          <w:sz w:val="26"/>
          <w:szCs w:val="26"/>
        </w:rPr>
        <w:t xml:space="preserve">4.1 LIME (Local Interpretable Model-agnostic Explanations)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Bibliothèque concurrente, plus ancienne (2016), plus simple à comprendre conceptuellement. Génère des perturbations autour de chaque prédiction et entraîne un modèle linéaire local.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Avantages : lecture intuitive (poids linéaire par feature). Limites : moins théorique (pas de garantie d'additivité), moins maintenue depuis 2023, moins intégrée aux outils MLOps modernes. Github 12k stars, dernier release juin 2024.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Verdict : convient pour démo isolée mais pas pour production. SHAP gagne sur la maturité et la cohérence théorique.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72B4D"/>
          <w:sz w:val="26"/>
          <w:szCs w:val="26"/>
        </w:rPr>
        <w:t xml:space="preserve">4.2 Feature importance native XGBoost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XGBoost expose nativement plusieurs métriques d'importance (gain, weight, cover). Très rapide à calculer mais ne donne qu'une vision GLOBALE de l'importance des features, pas une explication LOCALE par cliente.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Verdict : insuffisant pour le besoin Verlaine. On ne pourra pas afficher 3 facteurs spécifiques à une cliente donnée. Utile en complément de SHAP, pas en remplacement.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5. Recommandation pour le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75A" w:sz="24"/>
              <w:bottom w:val="none"/>
              <w:right w:val="none"/>
            </w:tcBorders>
            <w:shd w:fill="E3FCE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✅  </w:t>
            </w:r>
            <w:r>
              <w:rPr>
                <w:rFonts w:ascii="Calibri" w:cs="Calibri" w:eastAsia="Calibri" w:hAnsi="Calibri"/>
                <w:b/>
                <w:bCs/>
                <w:color w:val="172B4D"/>
                <w:sz w:val="22"/>
                <w:szCs w:val="22"/>
              </w:rPr>
              <w:t xml:space="preserve">Recommandation : adopter SHAP</w:t>
            </w:r>
          </w:p>
          <w:p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Avec TreeExplainer pour XGBoost, calcul nocturne pour les 30k clientes, intégration Streamlit pour la démo COMEX. Présenter les 3 features les plus contributives (positive ou négative) par cliente. Coût d'intégration estimé : 1 à 2 jours dev. Gain : démo COMEX avec effet de démonstration immédiat.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6. Risques et points de vigilance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F991F" w:sz="24"/>
              <w:bottom w:val="none"/>
              <w:right w:val="none"/>
            </w:tcBorders>
            <w:shd w:fill="FFFA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 </w:t>
            </w:r>
            <w:r>
              <w:rPr>
                <w:rFonts w:ascii="Calibri" w:cs="Calibri" w:eastAsia="Calibri" w:hAnsi="Calibri"/>
                <w:b/>
                <w:bCs/>
                <w:color w:val="172B4D"/>
                <w:sz w:val="22"/>
                <w:szCs w:val="22"/>
              </w:rPr>
              <w:t xml:space="preserve">RGPD</w:t>
            </w:r>
          </w:p>
          <w:p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L'explicabilité du score est une OBLIGATION en cas de profilage à grande échelle (RGPD art. 22 + lignes directrices CNIL). Anne Lopez (DPO) confirmera. Donc adopter SHAP n'est pas un confort, c'est une nécessité juridique.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F991F" w:sz="24"/>
              <w:bottom w:val="none"/>
              <w:right w:val="none"/>
            </w:tcBorders>
            <w:shd w:fill="FFFA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⚠  </w:t>
            </w:r>
            <w:r>
              <w:rPr>
                <w:rFonts w:ascii="Calibri" w:cs="Calibri" w:eastAsia="Calibri" w:hAnsi="Calibri"/>
                <w:b/>
                <w:bCs/>
                <w:color w:val="172B4D"/>
                <w:sz w:val="22"/>
                <w:szCs w:val="22"/>
              </w:rPr>
              <w:t xml:space="preserve">Démo COMEX</w:t>
            </w:r>
          </w:p>
          <w:p>
            <w:r>
              <w:rPr>
                <w:rFonts w:ascii="Calibri" w:cs="Calibri" w:eastAsia="Calibri" w:hAnsi="Calibri"/>
                <w:color w:val="172B4D"/>
                <w:sz w:val="22"/>
                <w:szCs w:val="22"/>
              </w:rPr>
              <w:t xml:space="preserve">Tester le rendu Streamlit + SHAP sur 5 cas réels avant la démo, pour anticiper les questions Caroline. En particulier vérifier qu'aucune feature « gênante » (CSP, type de produit) n'apparaît au top.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color w:val="172B4D"/>
          <w:sz w:val="32"/>
          <w:szCs w:val="32"/>
        </w:rPr>
        <w:t xml:space="preserve">7. Plan d'action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Karim — installer SHAP dans l'environnement Snowflake + tester sur 1k clientes (1 j)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Mohamed (Utopios) — intégration SHAP dans la démo Streamlit (1 j)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Karim — formation rapide des 5 conseillères pilotes sur la lecture des 3 facteurs (1/2 j par boutique)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Anne Lopez — valider que SHAP couvre l'obligation d'explicabilité art. 22 (à confirmer écrit)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i/>
          <w:iCs/>
          <w:color w:val="5E6C84"/>
          <w:sz w:val="20"/>
          <w:szCs w:val="20"/>
        </w:rPr>
        <w:t xml:space="preserve">Page éditée par Karim Benali. Validations attendues : Mohamed (Utopios), Anne Lopez (DPO).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J2 matin · Source 07 · Note Confluence SHAP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C17D80B9-1194-4D6D-AA02-5FF95CE12CBC}"/>
</file>

<file path=customXml/itemProps2.xml><?xml version="1.0" encoding="utf-8"?>
<ds:datastoreItem xmlns:ds="http://schemas.openxmlformats.org/officeDocument/2006/customXml" ds:itemID="{0CF6FD57-0782-44BB-AC93-82F3E34C4AEC}"/>
</file>

<file path=customXml/itemProps3.xml><?xml version="1.0" encoding="utf-8"?>
<ds:datastoreItem xmlns:ds="http://schemas.openxmlformats.org/officeDocument/2006/customXml" ds:itemID="{D63FB5BC-916A-4ADD-B2E6-CFC426C9950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2026-05-10T15:02:43Z</dcterms:created>
  <dcterms:modified xsi:type="dcterms:W3CDTF">2026-05-10T15:02:43Z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