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Sophie Lefèvre &lt;s.lefevre@maison-verlaine.fr&gt;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À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Mohamed Kassemi, Karim Benali, Anne Lopez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Mardi 14 octobre 2025, 17:42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Objet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Bilan 6 mois projet anti-churn — préparation comité de pilotage final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rapport_KPIs_M6.pdf · adoption_par_boutique.xlsx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Bonjour à tous,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À l'approche de notre comité de pilotage final lundi 20/10, je voulais partager mon bilan personnel des 6 mois écoulés. Pas un bilan officiel — celui-là, on le co-construira lundi — mais ce que je vois moi sur le terrain. Je vous demande de me faire vos retours d'ici vendredi matin pour qu'on consolide une vraie rétrospective.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qui a marché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La démo COMEX du 30 mars a été un vrai succès politique. Caroline parle régulièrement du projet en réunion DG. Stéphane nous a renouvelé sa confiance pour la phase 2 sans débat. La note 2 pages d'avril a fait son effet — le score moyen de satisfaction des destinataires était de 4,2/5.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Sur les 5 boutiques pilotes, Lyon Presqu'île et Bordeaux Saint-Catherine ont une adoption très forte (92 % et 87 %). Camille Berthier a été un vrai relais. Les remontées des conseillères sont qualitatives : elles nous disent que l'outil les aide à PRIORISER, pas à DÉCIDER, ce qui est exactement le cadrage que nous voulions.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Le RGPD a tenu. 4 demandes de droit d'accès reçues depuis avril, toutes traitées sous 12 jours. Le taux de scores ignorés est stable autour de 22 %, donc on reste en-dessous du seuil article 22. Anne, ton cadrage initial était bon.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Le ROI à 6 mois : on est sur 380 k€ de CA récurrent récupéré (clientes que les conseillères ont rappelées et qui ont re-acheté), sur les 600 k€ que je projetais à 12 mois. On est dans la trajectoire.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qui a moins bien marché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Paris Marais et Lille Grand-Place sont en dessous de l'adoption attendue (54 % et 48 %). Les directrices boutiques n'ont pas porté le projet. À Marais en particulier, on a eu 2 départs de conseillères sur la période, ce qui a coupé la dynamique. Il faut qu'on en discute lundi : ré-investir formation ou laisser ces 2 sites en mode dégradé.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La phase 2 a été plus chère que prévu. Le batch nocturne d'écriture des scores en Salesforce a eu des problèmes de stabilité pendant 3 semaines en juillet — Karim, je sais que tu y as passé beaucoup de tes weekends. Il faut qu'on en tire les leçons pour la phase 3.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Le score reste opaque pour certaines conseillères, malgré SHAP. Certaines me disent : « je vois les 3 facteurs mais je ne sais pas quoi en faire ». La vulgarisation au niveau du COMEX a fonctionné, au niveau opérationnel terrain elle reste à creuser. Il faut peut-être un guide d'usage en boutique, type fiche réflexe.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Newsletter avril : l'encart RGPD sur le scoring a généré 47 demandes d'opt-out (~0,15 % du programme), plus que prévu (estimation initiale Anne : 0,05 %). Pas un problème en absolu mais c'est un signal sur la communication client. Anne, on en discute lundi ?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que je propose pour la phase 3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Sur cette base, je propose qu'on prépare une demande au COMEX de novembre pour la phase 3 (déploiement national, 45 boutiques, budget que je estime à 350-450 k€ HT). Mais avant, je voudrais qu'on règle 3 choses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Une fiche réflexe terrain pour les conseillères, à co-construire avec Camille.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Un nouveau format de formation, plus court, plus orienté pratique (1h en boutique au lieu de la 1/2 journée actuelle).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Une décision claire sur Paris Marais et Lille — soit on relance, soit on les sort du périmètre phase 3.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Calendrier COPIL final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Lundi 20/10 14h-16h en visio. Présents : Caroline (1ʳᵉ heure), Mohamed, Karim, Anne, et moi. Camille en option si elle peut se libérer. Préparation : je voudrais que Mohamed prépare un slide deck de soutenance final reprenant les 6 mois — celui qu'on présentera ensuite à Caroline et Stéphane si phase 3.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Mohamed, peux-tu me confirmer ce vendredi que tu peux livrer le slide deck pour lundi matin ? Format Keynote ou PowerPoint, 10 slides max, suivant la même logique que la note d'avril (vulgarisée, ROI mis en avant, parcours d'une cliente type).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Vraiment, merci à vous trois pour ce qu'on a fait. C'est rare qu'un projet data tienne ses promesses sur 6 mois — celui-là le tient. Bonne fin de semaine.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40" w:before="240"/>
      </w:pPr>
      <w:r>
        <w:rPr>
          <w:rFonts w:ascii="Calibri" w:cs="Calibri" w:eastAsia="Calibri" w:hAnsi="Calibri"/>
          <w:color w:val="A0AEC0"/>
          <w:sz w:val="18"/>
          <w:szCs w:val="18"/>
        </w:rPr>
        <w:t xml:space="preserve">—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1C33"/>
          <w:sz w:val="20"/>
          <w:szCs w:val="20"/>
        </w:rPr>
        <w:t xml:space="preserve">Sophie Lefèvre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Directrice Marketing — Maison Verlaine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12 rue du Faubourg Saint-Honoré, 75008 Paris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01 XX XX XX XX  ·  s.lefevre@maison-verlaine.fr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J3 aprem · Source 14 · Mail clôture Sophie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F577CAEC-766B-4E56-AB96-515F9CBABCAD}"/>
</file>

<file path=customXml/itemProps2.xml><?xml version="1.0" encoding="utf-8"?>
<ds:datastoreItem xmlns:ds="http://schemas.openxmlformats.org/officeDocument/2006/customXml" ds:itemID="{921D0AE3-AA94-43BB-945D-B8CF33F42C4A}"/>
</file>

<file path=customXml/itemProps3.xml><?xml version="1.0" encoding="utf-8"?>
<ds:datastoreItem xmlns:ds="http://schemas.openxmlformats.org/officeDocument/2006/customXml" ds:itemID="{C0E4CD6E-CADE-4085-B25E-DF141B4554E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2026-05-10T16:22:06Z</dcterms:created>
  <dcterms:modified xsi:type="dcterms:W3CDTF">2026-05-10T16:22:06Z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