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24B" w:rsidRDefault="00C8324B" w:rsidP="003E2780">
      <w:pPr>
        <w:pStyle w:val="Title"/>
        <w:pBdr>
          <w:bottom w:val="single" w:sz="4" w:space="1" w:color="auto"/>
        </w:pBdr>
      </w:pPr>
      <w:bookmarkStart w:id="0" w:name="_GoBack"/>
      <w:bookmarkEnd w:id="0"/>
      <w:r w:rsidRPr="00C718FA">
        <w:rPr>
          <w:b/>
        </w:rPr>
        <w:t>Business Intelligence</w:t>
      </w:r>
      <w:r w:rsidRPr="00445345">
        <w:t> :</w:t>
      </w:r>
      <w:r>
        <w:t xml:space="preserve"> étude statistiques</w:t>
      </w:r>
    </w:p>
    <w:p w:rsidR="003E2780" w:rsidRPr="003E2780" w:rsidRDefault="003E2780" w:rsidP="003E2780"/>
    <w:p w:rsidR="0069234A" w:rsidRPr="00E86872" w:rsidRDefault="00445345" w:rsidP="003E2780">
      <w:pPr>
        <w:pStyle w:val="Heading1"/>
        <w:rPr>
          <w:i/>
          <w:u w:val="single"/>
        </w:rPr>
      </w:pPr>
      <w:r w:rsidRPr="00E86872">
        <w:rPr>
          <w:i/>
          <w:u w:val="single"/>
        </w:rPr>
        <w:t>Sources des données :</w:t>
      </w:r>
    </w:p>
    <w:p w:rsidR="00C8324B" w:rsidRPr="00C8324B" w:rsidRDefault="0069234A">
      <w:r>
        <w:t xml:space="preserve">Les données ont été </w:t>
      </w:r>
      <w:r w:rsidR="00FA5A55">
        <w:t>récoltées</w:t>
      </w:r>
      <w:r>
        <w:t xml:space="preserve"> </w:t>
      </w:r>
      <w:r w:rsidR="00FA5A55">
        <w:t>dans</w:t>
      </w:r>
      <w:r>
        <w:t xml:space="preserve"> la ville de Bruxelles.</w:t>
      </w:r>
      <w:r w:rsidR="00C8324B" w:rsidRPr="0069234A">
        <w:br/>
      </w:r>
      <w:r w:rsidR="00C8324B" w:rsidRPr="00E86872">
        <w:rPr>
          <w:rStyle w:val="Heading2Char"/>
          <w:i/>
          <w:u w:val="single"/>
        </w:rPr>
        <w:t>Source</w:t>
      </w:r>
      <w:r w:rsidR="00C8324B" w:rsidRPr="00E86872">
        <w:rPr>
          <w:rStyle w:val="Heading2Char"/>
          <w:i/>
        </w:rPr>
        <w:t> :</w:t>
      </w:r>
      <w:r w:rsidR="00C8324B" w:rsidRPr="00E86872">
        <w:t xml:space="preserve"> </w:t>
      </w:r>
      <w:r w:rsidR="00C8324B" w:rsidRPr="0069234A">
        <w:t>http://data.gov.be/fr/dataset/99a3c78426431dc96a350fa6f220b9a80951f622</w:t>
      </w:r>
    </w:p>
    <w:p w:rsidR="00C8324B" w:rsidRDefault="00C8324B">
      <w:r>
        <w:t>Etude réalisé en mars 2015</w:t>
      </w:r>
    </w:p>
    <w:p w:rsidR="00EA6252" w:rsidRPr="00E86872" w:rsidRDefault="00EA6252" w:rsidP="003E2780">
      <w:pPr>
        <w:pStyle w:val="Heading1"/>
      </w:pPr>
      <w:r w:rsidRPr="00E86872">
        <w:rPr>
          <w:i/>
          <w:u w:val="single"/>
        </w:rPr>
        <w:t>Tableau avec indicateurs statistiques 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0"/>
        <w:gridCol w:w="1164"/>
        <w:gridCol w:w="1164"/>
        <w:gridCol w:w="663"/>
        <w:gridCol w:w="1164"/>
        <w:gridCol w:w="551"/>
        <w:gridCol w:w="551"/>
        <w:gridCol w:w="663"/>
        <w:gridCol w:w="663"/>
        <w:gridCol w:w="663"/>
        <w:gridCol w:w="558"/>
        <w:gridCol w:w="663"/>
        <w:gridCol w:w="524"/>
      </w:tblGrid>
      <w:tr w:rsidR="00A54EE5" w:rsidTr="00A54EE5">
        <w:tc>
          <w:tcPr>
            <w:tcW w:w="356" w:type="dxa"/>
          </w:tcPr>
          <w:p w:rsidR="00A54EE5" w:rsidRDefault="00A54EE5" w:rsidP="00C10F59"/>
        </w:tc>
        <w:tc>
          <w:tcPr>
            <w:tcW w:w="1143" w:type="dxa"/>
          </w:tcPr>
          <w:p w:rsidR="00A54EE5" w:rsidRDefault="00A54EE5" w:rsidP="00C10F59">
            <w:r>
              <w:t>mean</w:t>
            </w:r>
          </w:p>
        </w:tc>
        <w:tc>
          <w:tcPr>
            <w:tcW w:w="1144" w:type="dxa"/>
          </w:tcPr>
          <w:p w:rsidR="00A54EE5" w:rsidRDefault="00A54EE5" w:rsidP="00C10F59">
            <w:r>
              <w:t>sd</w:t>
            </w:r>
          </w:p>
        </w:tc>
        <w:tc>
          <w:tcPr>
            <w:tcW w:w="654" w:type="dxa"/>
          </w:tcPr>
          <w:p w:rsidR="00A54EE5" w:rsidRDefault="00A54EE5" w:rsidP="00C10F59">
            <w:r>
              <w:t>IQR</w:t>
            </w:r>
          </w:p>
        </w:tc>
        <w:tc>
          <w:tcPr>
            <w:tcW w:w="1144" w:type="dxa"/>
          </w:tcPr>
          <w:p w:rsidR="00A54EE5" w:rsidRDefault="00A54EE5" w:rsidP="00C10F59">
            <w:r>
              <w:t>cv</w:t>
            </w:r>
          </w:p>
        </w:tc>
        <w:tc>
          <w:tcPr>
            <w:tcW w:w="544" w:type="dxa"/>
          </w:tcPr>
          <w:p w:rsidR="00A54EE5" w:rsidRDefault="00A54EE5" w:rsidP="00C10F59">
            <w:r>
              <w:t>0</w:t>
            </w:r>
          </w:p>
        </w:tc>
        <w:tc>
          <w:tcPr>
            <w:tcW w:w="544" w:type="dxa"/>
          </w:tcPr>
          <w:p w:rsidR="00A54EE5" w:rsidRDefault="00A54EE5" w:rsidP="00C10F59">
            <w:r>
              <w:t>25</w:t>
            </w:r>
          </w:p>
        </w:tc>
        <w:tc>
          <w:tcPr>
            <w:tcW w:w="654" w:type="dxa"/>
          </w:tcPr>
          <w:p w:rsidR="00A54EE5" w:rsidRDefault="00A54EE5" w:rsidP="00C10F59">
            <w:r>
              <w:t>50</w:t>
            </w:r>
          </w:p>
        </w:tc>
        <w:tc>
          <w:tcPr>
            <w:tcW w:w="654" w:type="dxa"/>
          </w:tcPr>
          <w:p w:rsidR="00A54EE5" w:rsidRDefault="00A54EE5" w:rsidP="00C10F59">
            <w:r>
              <w:t>75</w:t>
            </w:r>
          </w:p>
        </w:tc>
        <w:tc>
          <w:tcPr>
            <w:tcW w:w="654" w:type="dxa"/>
          </w:tcPr>
          <w:p w:rsidR="00A54EE5" w:rsidRDefault="00A54EE5" w:rsidP="00C10F59">
            <w:r>
              <w:t>100</w:t>
            </w:r>
          </w:p>
        </w:tc>
        <w:tc>
          <w:tcPr>
            <w:tcW w:w="551" w:type="dxa"/>
          </w:tcPr>
          <w:p w:rsidR="00A54EE5" w:rsidRDefault="00A54EE5" w:rsidP="00C10F59">
            <w:r>
              <w:t>min</w:t>
            </w:r>
          </w:p>
        </w:tc>
        <w:tc>
          <w:tcPr>
            <w:tcW w:w="585" w:type="dxa"/>
          </w:tcPr>
          <w:p w:rsidR="00A54EE5" w:rsidRDefault="00A54EE5" w:rsidP="00C10F59">
            <w:r>
              <w:t>max</w:t>
            </w:r>
          </w:p>
        </w:tc>
        <w:tc>
          <w:tcPr>
            <w:tcW w:w="724" w:type="dxa"/>
          </w:tcPr>
          <w:p w:rsidR="00A54EE5" w:rsidRDefault="00A54EE5" w:rsidP="00C10F59">
            <w:r>
              <w:t>n</w:t>
            </w:r>
          </w:p>
        </w:tc>
      </w:tr>
      <w:tr w:rsidR="00A54EE5" w:rsidTr="00A54EE5">
        <w:trPr>
          <w:trHeight w:val="70"/>
        </w:trPr>
        <w:tc>
          <w:tcPr>
            <w:tcW w:w="356" w:type="dxa"/>
          </w:tcPr>
          <w:p w:rsidR="00A54EE5" w:rsidRDefault="00A54EE5" w:rsidP="00C10F59">
            <w:r>
              <w:t>fr</w:t>
            </w:r>
          </w:p>
        </w:tc>
        <w:tc>
          <w:tcPr>
            <w:tcW w:w="1143" w:type="dxa"/>
          </w:tcPr>
          <w:p w:rsidR="00A54EE5" w:rsidRDefault="00A54EE5" w:rsidP="00C10F59">
            <w:r>
              <w:t>2151.6531</w:t>
            </w:r>
          </w:p>
        </w:tc>
        <w:tc>
          <w:tcPr>
            <w:tcW w:w="1144" w:type="dxa"/>
          </w:tcPr>
          <w:p w:rsidR="00A54EE5" w:rsidRDefault="00A54EE5" w:rsidP="00C10F59">
            <w:r>
              <w:t>1372.9571</w:t>
            </w:r>
          </w:p>
        </w:tc>
        <w:tc>
          <w:tcPr>
            <w:tcW w:w="654" w:type="dxa"/>
          </w:tcPr>
          <w:p w:rsidR="00A54EE5" w:rsidRDefault="00A54EE5" w:rsidP="00C10F59">
            <w:r>
              <w:t>2639</w:t>
            </w:r>
          </w:p>
        </w:tc>
        <w:tc>
          <w:tcPr>
            <w:tcW w:w="1144" w:type="dxa"/>
          </w:tcPr>
          <w:p w:rsidR="00A54EE5" w:rsidRDefault="00A54EE5" w:rsidP="00C10F59">
            <w:r w:rsidRPr="007A7D3D">
              <w:rPr>
                <w:lang w:val="en-US"/>
              </w:rPr>
              <w:t>0.6380941</w:t>
            </w:r>
          </w:p>
        </w:tc>
        <w:tc>
          <w:tcPr>
            <w:tcW w:w="544" w:type="dxa"/>
          </w:tcPr>
          <w:p w:rsidR="00A54EE5" w:rsidRDefault="00A54EE5" w:rsidP="00C10F59">
            <w:r>
              <w:t>143</w:t>
            </w:r>
          </w:p>
        </w:tc>
        <w:tc>
          <w:tcPr>
            <w:tcW w:w="544" w:type="dxa"/>
          </w:tcPr>
          <w:p w:rsidR="00A54EE5" w:rsidRDefault="00A54EE5" w:rsidP="00C10F59">
            <w:r>
              <w:t>782</w:t>
            </w:r>
          </w:p>
        </w:tc>
        <w:tc>
          <w:tcPr>
            <w:tcW w:w="654" w:type="dxa"/>
          </w:tcPr>
          <w:p w:rsidR="00A54EE5" w:rsidRDefault="00A54EE5" w:rsidP="00C10F59">
            <w:r>
              <w:t>2256</w:t>
            </w:r>
          </w:p>
        </w:tc>
        <w:tc>
          <w:tcPr>
            <w:tcW w:w="654" w:type="dxa"/>
          </w:tcPr>
          <w:p w:rsidR="00A54EE5" w:rsidRDefault="00A54EE5" w:rsidP="00C10F59">
            <w:r>
              <w:t>3421</w:t>
            </w:r>
          </w:p>
        </w:tc>
        <w:tc>
          <w:tcPr>
            <w:tcW w:w="654" w:type="dxa"/>
          </w:tcPr>
          <w:p w:rsidR="00A54EE5" w:rsidRDefault="00A54EE5" w:rsidP="00C10F59">
            <w:r>
              <w:t>4236</w:t>
            </w:r>
          </w:p>
        </w:tc>
        <w:tc>
          <w:tcPr>
            <w:tcW w:w="551" w:type="dxa"/>
          </w:tcPr>
          <w:p w:rsidR="00A54EE5" w:rsidRDefault="00A54EE5" w:rsidP="00C10F59">
            <w:r>
              <w:t>143</w:t>
            </w:r>
          </w:p>
        </w:tc>
        <w:tc>
          <w:tcPr>
            <w:tcW w:w="585" w:type="dxa"/>
          </w:tcPr>
          <w:p w:rsidR="00A54EE5" w:rsidRDefault="00A54EE5" w:rsidP="00C10F59">
            <w:r>
              <w:t>4236</w:t>
            </w:r>
          </w:p>
        </w:tc>
        <w:tc>
          <w:tcPr>
            <w:tcW w:w="724" w:type="dxa"/>
          </w:tcPr>
          <w:p w:rsidR="00A54EE5" w:rsidRDefault="00A54EE5" w:rsidP="00C10F59">
            <w:r>
              <w:t>49</w:t>
            </w:r>
          </w:p>
        </w:tc>
      </w:tr>
    </w:tbl>
    <w:p w:rsidR="00AA4D40" w:rsidRPr="00C718FA" w:rsidRDefault="00534BA7" w:rsidP="00C718FA">
      <w:pPr>
        <w:pStyle w:val="Heading1"/>
        <w:rPr>
          <w:i/>
          <w:u w:val="single"/>
        </w:rPr>
      </w:pPr>
      <w:r w:rsidRPr="00E86872">
        <w:rPr>
          <w:i/>
          <w:u w:val="single"/>
        </w:rPr>
        <w:t>Interprétation contextuelle :</w:t>
      </w:r>
    </w:p>
    <w:p w:rsidR="004A7E0E" w:rsidRDefault="0079060D">
      <w:r w:rsidRPr="00951116">
        <w:rPr>
          <w:rStyle w:val="Heading3Char"/>
          <w:u w:val="single"/>
        </w:rPr>
        <w:t>MEAN</w:t>
      </w:r>
      <w:r w:rsidRPr="005A695B">
        <w:rPr>
          <w:rStyle w:val="Heading3Char"/>
        </w:rPr>
        <w:t> </w:t>
      </w:r>
      <w:r>
        <w:t xml:space="preserve">: </w:t>
      </w:r>
      <w:r w:rsidR="00A538DE">
        <w:t>c’est la moyenne</w:t>
      </w:r>
      <w:r w:rsidR="00320519">
        <w:t>.</w:t>
      </w:r>
    </w:p>
    <w:p w:rsidR="00320519" w:rsidRDefault="004F26E4" w:rsidP="00320519">
      <w:pPr>
        <w:pStyle w:val="ListParagraph"/>
        <w:numPr>
          <w:ilvl w:val="0"/>
          <w:numId w:val="1"/>
        </w:numPr>
      </w:pPr>
      <w:r>
        <w:t>La moyenne se trouve entre le min et le max</w:t>
      </w:r>
    </w:p>
    <w:p w:rsidR="0079060D" w:rsidRDefault="0079060D">
      <w:r w:rsidRPr="00951116">
        <w:rPr>
          <w:rStyle w:val="Heading3Char"/>
          <w:u w:val="single"/>
        </w:rPr>
        <w:t>SD</w:t>
      </w:r>
      <w:r w:rsidRPr="005A695B">
        <w:rPr>
          <w:rStyle w:val="Heading3Char"/>
        </w:rPr>
        <w:t> :</w:t>
      </w:r>
      <w:r w:rsidR="003E2780">
        <w:t xml:space="preserve"> c’est l’écart type</w:t>
      </w:r>
      <w:r w:rsidR="00320519">
        <w:t>.</w:t>
      </w:r>
      <w:r w:rsidR="004F26E4">
        <w:t xml:space="preserve"> </w:t>
      </w:r>
    </w:p>
    <w:p w:rsidR="00320519" w:rsidRDefault="004F26E4" w:rsidP="00320519">
      <w:pPr>
        <w:pStyle w:val="ListParagraph"/>
        <w:numPr>
          <w:ilvl w:val="0"/>
          <w:numId w:val="1"/>
        </w:numPr>
      </w:pPr>
      <w:r>
        <w:t>L’écart type s’écart fortement de la moyenne.</w:t>
      </w:r>
    </w:p>
    <w:p w:rsidR="0079060D" w:rsidRDefault="0079060D">
      <w:r w:rsidRPr="00951116">
        <w:rPr>
          <w:rStyle w:val="Heading3Char"/>
          <w:u w:val="single"/>
        </w:rPr>
        <w:t>IQR</w:t>
      </w:r>
      <w:r w:rsidRPr="005A695B">
        <w:rPr>
          <w:rStyle w:val="Heading3Char"/>
        </w:rPr>
        <w:t> :</w:t>
      </w:r>
      <w:r w:rsidR="00A538DE">
        <w:t xml:space="preserve"> c’est l’écart interquartile</w:t>
      </w:r>
      <w:r w:rsidR="00320519">
        <w:t>.</w:t>
      </w:r>
    </w:p>
    <w:p w:rsidR="00320519" w:rsidRDefault="00FB21D7" w:rsidP="00320519">
      <w:pPr>
        <w:pStyle w:val="ListParagraph"/>
        <w:numPr>
          <w:ilvl w:val="0"/>
          <w:numId w:val="1"/>
        </w:numPr>
      </w:pPr>
      <w:r>
        <w:t>La dispersion est faible car proche de la moyenne</w:t>
      </w:r>
    </w:p>
    <w:p w:rsidR="0079060D" w:rsidRDefault="0079060D">
      <w:r w:rsidRPr="00951116">
        <w:rPr>
          <w:rStyle w:val="Heading3Char"/>
          <w:u w:val="single"/>
        </w:rPr>
        <w:t>CV</w:t>
      </w:r>
      <w:r w:rsidRPr="005A695B">
        <w:rPr>
          <w:rStyle w:val="Heading3Char"/>
        </w:rPr>
        <w:t> :</w:t>
      </w:r>
      <w:r w:rsidR="00A538DE">
        <w:t xml:space="preserve"> c’est le coefficient de variation</w:t>
      </w:r>
      <w:r w:rsidR="00320519">
        <w:t>.</w:t>
      </w:r>
    </w:p>
    <w:p w:rsidR="00320519" w:rsidRDefault="000D564C" w:rsidP="00320519">
      <w:pPr>
        <w:pStyle w:val="ListParagraph"/>
        <w:numPr>
          <w:ilvl w:val="0"/>
          <w:numId w:val="1"/>
        </w:numPr>
      </w:pPr>
      <w:r>
        <w:t xml:space="preserve">La dispersion est important car plus proche de 1 que de 0. </w:t>
      </w:r>
    </w:p>
    <w:p w:rsidR="0079060D" w:rsidRDefault="0079060D">
      <w:r w:rsidRPr="00951116">
        <w:rPr>
          <w:rStyle w:val="Heading3Char"/>
          <w:u w:val="single"/>
        </w:rPr>
        <w:t>0% </w:t>
      </w:r>
      <w:r w:rsidRPr="005A695B">
        <w:rPr>
          <w:rStyle w:val="Heading3Char"/>
        </w:rPr>
        <w:t>:</w:t>
      </w:r>
      <w:r w:rsidR="00A538DE">
        <w:t xml:space="preserve"> c’est un </w:t>
      </w:r>
      <w:r w:rsidR="00E44678">
        <w:t>quartile</w:t>
      </w:r>
      <w:r w:rsidR="00320519">
        <w:t>.</w:t>
      </w:r>
    </w:p>
    <w:p w:rsidR="00320519" w:rsidRDefault="00E44678" w:rsidP="00E44678">
      <w:pPr>
        <w:pStyle w:val="ListParagraph"/>
        <w:numPr>
          <w:ilvl w:val="0"/>
          <w:numId w:val="1"/>
        </w:numPr>
      </w:pPr>
      <w:r>
        <w:t>0% des valeurs sont inférieurs à 143</w:t>
      </w:r>
    </w:p>
    <w:p w:rsidR="0079060D" w:rsidRDefault="0079060D">
      <w:r w:rsidRPr="00951116">
        <w:rPr>
          <w:rStyle w:val="Heading3Char"/>
          <w:u w:val="single"/>
        </w:rPr>
        <w:t>25%</w:t>
      </w:r>
      <w:r w:rsidRPr="005A695B">
        <w:rPr>
          <w:rStyle w:val="Heading3Char"/>
        </w:rPr>
        <w:t> :</w:t>
      </w:r>
      <w:r w:rsidR="00A538DE" w:rsidRPr="00A538DE">
        <w:t xml:space="preserve"> </w:t>
      </w:r>
      <w:r w:rsidR="00A538DE">
        <w:t xml:space="preserve">c’est un </w:t>
      </w:r>
      <w:r w:rsidR="00E44678">
        <w:t>quartile</w:t>
      </w:r>
      <w:r w:rsidR="00320519">
        <w:t>.</w:t>
      </w:r>
    </w:p>
    <w:p w:rsidR="00320519" w:rsidRDefault="00E44678" w:rsidP="00320519">
      <w:pPr>
        <w:pStyle w:val="ListParagraph"/>
        <w:numPr>
          <w:ilvl w:val="0"/>
          <w:numId w:val="1"/>
        </w:numPr>
      </w:pPr>
      <w:r>
        <w:t>25% des valeurs sont inférieurs à 782</w:t>
      </w:r>
    </w:p>
    <w:p w:rsidR="0079060D" w:rsidRDefault="0079060D">
      <w:r w:rsidRPr="00951116">
        <w:rPr>
          <w:rStyle w:val="Heading3Char"/>
          <w:u w:val="single"/>
        </w:rPr>
        <w:t>50%</w:t>
      </w:r>
      <w:r w:rsidRPr="005A695B">
        <w:rPr>
          <w:rStyle w:val="Heading3Char"/>
        </w:rPr>
        <w:t> :</w:t>
      </w:r>
      <w:r>
        <w:t xml:space="preserve"> </w:t>
      </w:r>
      <w:r w:rsidR="00A538DE">
        <w:t xml:space="preserve">c’est un </w:t>
      </w:r>
      <w:r w:rsidR="00E44678">
        <w:t>quartile</w:t>
      </w:r>
      <w:r w:rsidR="00320519">
        <w:t>.</w:t>
      </w:r>
    </w:p>
    <w:p w:rsidR="00320519" w:rsidRDefault="00E44678" w:rsidP="00E44678">
      <w:pPr>
        <w:pStyle w:val="ListParagraph"/>
        <w:numPr>
          <w:ilvl w:val="0"/>
          <w:numId w:val="1"/>
        </w:numPr>
      </w:pPr>
      <w:r>
        <w:t>50% des valeurs sont inférieurs à 2256</w:t>
      </w:r>
    </w:p>
    <w:p w:rsidR="0079060D" w:rsidRDefault="0079060D">
      <w:r w:rsidRPr="00951116">
        <w:rPr>
          <w:rStyle w:val="Heading3Char"/>
          <w:u w:val="single"/>
        </w:rPr>
        <w:t>75%</w:t>
      </w:r>
      <w:r w:rsidRPr="005A695B">
        <w:rPr>
          <w:rStyle w:val="Heading3Char"/>
        </w:rPr>
        <w:t> :</w:t>
      </w:r>
      <w:r w:rsidR="00A538DE" w:rsidRPr="00A538DE">
        <w:t xml:space="preserve"> </w:t>
      </w:r>
      <w:r w:rsidR="00A538DE">
        <w:t xml:space="preserve">c’est un </w:t>
      </w:r>
      <w:r w:rsidR="00E44678">
        <w:t>quartile</w:t>
      </w:r>
      <w:r w:rsidR="00320519">
        <w:t>.</w:t>
      </w:r>
    </w:p>
    <w:p w:rsidR="00E44678" w:rsidRDefault="00E44678" w:rsidP="00E44678">
      <w:pPr>
        <w:pStyle w:val="ListParagraph"/>
        <w:numPr>
          <w:ilvl w:val="0"/>
          <w:numId w:val="1"/>
        </w:numPr>
      </w:pPr>
      <w:r>
        <w:t>75% des valeurs sont inférieurs à 3421</w:t>
      </w:r>
    </w:p>
    <w:p w:rsidR="0079060D" w:rsidRDefault="0079060D">
      <w:r w:rsidRPr="00951116">
        <w:rPr>
          <w:rStyle w:val="Heading3Char"/>
          <w:u w:val="single"/>
        </w:rPr>
        <w:t>100%</w:t>
      </w:r>
      <w:r w:rsidRPr="005A695B">
        <w:rPr>
          <w:rStyle w:val="Heading3Char"/>
        </w:rPr>
        <w:t> :</w:t>
      </w:r>
      <w:r>
        <w:t xml:space="preserve"> </w:t>
      </w:r>
      <w:r w:rsidR="00A538DE">
        <w:t xml:space="preserve">c’est un </w:t>
      </w:r>
      <w:r w:rsidR="00E44678">
        <w:t>quartile</w:t>
      </w:r>
      <w:r w:rsidR="00320519">
        <w:t>.</w:t>
      </w:r>
    </w:p>
    <w:p w:rsidR="00320519" w:rsidRDefault="00E44678" w:rsidP="00E44678">
      <w:pPr>
        <w:pStyle w:val="ListParagraph"/>
        <w:numPr>
          <w:ilvl w:val="0"/>
          <w:numId w:val="1"/>
        </w:numPr>
      </w:pPr>
      <w:r>
        <w:t>100% des valeurs sont inférieurs à 4236</w:t>
      </w:r>
    </w:p>
    <w:p w:rsidR="00E4377F" w:rsidRDefault="00E4377F" w:rsidP="00E4377F">
      <w:r>
        <w:rPr>
          <w:rStyle w:val="Heading3Char"/>
          <w:u w:val="single"/>
        </w:rPr>
        <w:t>MIN</w:t>
      </w:r>
      <w:r w:rsidRPr="005A695B">
        <w:rPr>
          <w:rStyle w:val="Heading3Char"/>
        </w:rPr>
        <w:t> :</w:t>
      </w:r>
      <w:r>
        <w:t xml:space="preserve"> c’est </w:t>
      </w:r>
      <w:r w:rsidR="00815E60">
        <w:t>la valeur minimum</w:t>
      </w:r>
    </w:p>
    <w:p w:rsidR="00E4377F" w:rsidRDefault="00815E60" w:rsidP="00E4377F">
      <w:pPr>
        <w:pStyle w:val="ListParagraph"/>
        <w:numPr>
          <w:ilvl w:val="0"/>
          <w:numId w:val="1"/>
        </w:numPr>
      </w:pPr>
      <w:r>
        <w:t>C’est égal au quartile de 0%</w:t>
      </w:r>
    </w:p>
    <w:p w:rsidR="00E4377F" w:rsidRDefault="00E4377F" w:rsidP="00E4377F">
      <w:r>
        <w:rPr>
          <w:rStyle w:val="Heading3Char"/>
          <w:u w:val="single"/>
        </w:rPr>
        <w:lastRenderedPageBreak/>
        <w:t>MAX</w:t>
      </w:r>
      <w:r w:rsidRPr="005A695B">
        <w:rPr>
          <w:rStyle w:val="Heading3Char"/>
        </w:rPr>
        <w:t> :</w:t>
      </w:r>
      <w:r>
        <w:t xml:space="preserve"> c’est le nombre de ligne.</w:t>
      </w:r>
    </w:p>
    <w:p w:rsidR="00E4377F" w:rsidRPr="00815E60" w:rsidRDefault="00815E60" w:rsidP="00815E60">
      <w:pPr>
        <w:pStyle w:val="ListParagraph"/>
        <w:numPr>
          <w:ilvl w:val="0"/>
          <w:numId w:val="1"/>
        </w:numP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C’est égal au quartile de 100%</w:t>
      </w:r>
    </w:p>
    <w:p w:rsidR="0079060D" w:rsidRDefault="0079060D">
      <w:r w:rsidRPr="00951116">
        <w:rPr>
          <w:rStyle w:val="Heading3Char"/>
          <w:u w:val="single"/>
        </w:rPr>
        <w:t>N</w:t>
      </w:r>
      <w:r w:rsidRPr="005A695B">
        <w:rPr>
          <w:rStyle w:val="Heading3Char"/>
        </w:rPr>
        <w:t> :</w:t>
      </w:r>
      <w:r>
        <w:t xml:space="preserve"> </w:t>
      </w:r>
      <w:r w:rsidR="00A538DE">
        <w:t>c’</w:t>
      </w:r>
      <w:r>
        <w:t>est le nombre de ligne</w:t>
      </w:r>
      <w:r w:rsidR="00320519">
        <w:t>.</w:t>
      </w:r>
    </w:p>
    <w:p w:rsidR="00320519" w:rsidRDefault="005E130E" w:rsidP="00320519">
      <w:pPr>
        <w:pStyle w:val="ListParagraph"/>
        <w:numPr>
          <w:ilvl w:val="0"/>
          <w:numId w:val="1"/>
        </w:numPr>
      </w:pPr>
      <w:r>
        <w:t>Il est de 49</w:t>
      </w:r>
    </w:p>
    <w:p w:rsidR="00DD3DD8" w:rsidRDefault="00DD3DD8" w:rsidP="00DD3DD8">
      <w:pPr>
        <w:rPr>
          <w:rFonts w:asciiTheme="majorHAnsi" w:eastAsiaTheme="majorEastAsia" w:hAnsiTheme="majorHAnsi" w:cstheme="majorBidi"/>
          <w:i/>
          <w:color w:val="2E74B5" w:themeColor="accent1" w:themeShade="BF"/>
          <w:sz w:val="32"/>
          <w:szCs w:val="32"/>
          <w:u w:val="single"/>
        </w:rPr>
      </w:pPr>
      <w:r w:rsidRPr="00DD3DD8">
        <w:rPr>
          <w:rFonts w:asciiTheme="majorHAnsi" w:eastAsiaTheme="majorEastAsia" w:hAnsiTheme="majorHAnsi" w:cstheme="majorBidi"/>
          <w:i/>
          <w:color w:val="2E74B5" w:themeColor="accent1" w:themeShade="BF"/>
          <w:sz w:val="32"/>
          <w:szCs w:val="32"/>
          <w:u w:val="single"/>
        </w:rPr>
        <w:t>Graphique </w:t>
      </w:r>
      <w:r w:rsidR="002A349B" w:rsidRPr="00DD3DD8">
        <w:rPr>
          <w:rFonts w:asciiTheme="majorHAnsi" w:eastAsiaTheme="majorEastAsia" w:hAnsiTheme="majorHAnsi" w:cstheme="majorBidi"/>
          <w:i/>
          <w:color w:val="2E74B5" w:themeColor="accent1" w:themeShade="BF"/>
          <w:sz w:val="32"/>
          <w:szCs w:val="32"/>
          <w:u w:val="single"/>
        </w:rPr>
        <w:t>:</w:t>
      </w:r>
      <w:r w:rsidR="002A349B" w:rsidRPr="002A349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Histogramme</w:t>
      </w:r>
      <w:r w:rsidR="0069313B">
        <w:rPr>
          <w:noProof/>
          <w:lang w:eastAsia="fr-BE"/>
        </w:rPr>
        <w:drawing>
          <wp:inline distT="0" distB="0" distL="0" distR="0" wp14:anchorId="75C84C2A" wp14:editId="2915DE69">
            <wp:extent cx="576072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D8" w:rsidRPr="00F61B66" w:rsidRDefault="0069313B" w:rsidP="00F61B66">
      <w:pPr>
        <w:pStyle w:val="Heading3"/>
        <w:rPr>
          <w:u w:val="single"/>
        </w:rPr>
      </w:pPr>
      <w:r w:rsidRPr="00F61B66">
        <w:rPr>
          <w:u w:val="single"/>
        </w:rPr>
        <w:t xml:space="preserve">Interprétation : </w:t>
      </w:r>
    </w:p>
    <w:p w:rsidR="0069313B" w:rsidRDefault="00804847" w:rsidP="0069313B">
      <w:r>
        <w:tab/>
      </w:r>
      <w:r w:rsidR="00EA35CE">
        <w:t>La fréquence la plus importante ce trouve dans la première partie.</w:t>
      </w:r>
      <w:r w:rsidR="00592855">
        <w:t xml:space="preserve"> Elle se trouve entre 0 et 500. </w:t>
      </w:r>
    </w:p>
    <w:p w:rsidR="00F56647" w:rsidRDefault="00F56647" w:rsidP="0069313B"/>
    <w:p w:rsidR="00F56647" w:rsidRDefault="00F56647" w:rsidP="0069313B"/>
    <w:p w:rsidR="00F56647" w:rsidRDefault="00F56647" w:rsidP="0069313B"/>
    <w:p w:rsidR="00EA35CE" w:rsidRDefault="00592855" w:rsidP="006931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D3DD8">
        <w:rPr>
          <w:rFonts w:asciiTheme="majorHAnsi" w:eastAsiaTheme="majorEastAsia" w:hAnsiTheme="majorHAnsi" w:cstheme="majorBidi"/>
          <w:i/>
          <w:color w:val="2E74B5" w:themeColor="accent1" w:themeShade="BF"/>
          <w:sz w:val="32"/>
          <w:szCs w:val="32"/>
          <w:u w:val="single"/>
        </w:rPr>
        <w:lastRenderedPageBreak/>
        <w:t>Graphique :</w:t>
      </w:r>
      <w:r w:rsidRPr="002A349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="00F5664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Indexé</w:t>
      </w:r>
    </w:p>
    <w:p w:rsidR="00F56647" w:rsidRDefault="00F56647" w:rsidP="006931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BE"/>
        </w:rPr>
        <w:drawing>
          <wp:inline distT="0" distB="0" distL="0" distR="0" wp14:anchorId="17AB3ACB" wp14:editId="066DA4B3">
            <wp:extent cx="5760720" cy="576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47" w:rsidRDefault="005A63A6" w:rsidP="0069313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 w:rsidRPr="005A63A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  <w:t xml:space="preserve">Interprétation : </w:t>
      </w:r>
    </w:p>
    <w:p w:rsidR="005A63A6" w:rsidRPr="005A63A6" w:rsidRDefault="00177CFA" w:rsidP="005A63A6">
      <w:r>
        <w:tab/>
      </w:r>
      <w:r w:rsidR="002F7B87">
        <w:t xml:space="preserve">Cela montre l’évolution au cours du temps des différentes valeurs. </w:t>
      </w:r>
      <w:r w:rsidR="00116791">
        <w:t xml:space="preserve">Nous pouvoir voir également que la majorité des valeurs ce situe entre 16 et 32. </w:t>
      </w:r>
    </w:p>
    <w:sectPr w:rsidR="005A63A6" w:rsidRPr="005A63A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498" w:rsidRDefault="005D4498" w:rsidP="005D4498">
      <w:pPr>
        <w:spacing w:after="0" w:line="240" w:lineRule="auto"/>
      </w:pPr>
      <w:r>
        <w:separator/>
      </w:r>
    </w:p>
  </w:endnote>
  <w:endnote w:type="continuationSeparator" w:id="0">
    <w:p w:rsidR="005D4498" w:rsidRDefault="005D4498" w:rsidP="005D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4894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498" w:rsidRDefault="005D44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4498" w:rsidRDefault="005D44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498" w:rsidRDefault="005D4498" w:rsidP="005D4498">
      <w:pPr>
        <w:spacing w:after="0" w:line="240" w:lineRule="auto"/>
      </w:pPr>
      <w:r>
        <w:separator/>
      </w:r>
    </w:p>
  </w:footnote>
  <w:footnote w:type="continuationSeparator" w:id="0">
    <w:p w:rsidR="005D4498" w:rsidRDefault="005D4498" w:rsidP="005D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498" w:rsidRPr="005D4498" w:rsidRDefault="005D4498">
    <w:pPr>
      <w:pStyle w:val="Header"/>
    </w:pPr>
    <w:r w:rsidRPr="005D4498">
      <w:t>Business Intelligence</w:t>
    </w:r>
    <w:r>
      <w:ptab w:relativeTo="margin" w:alignment="center" w:leader="none"/>
    </w:r>
    <w:r>
      <w:t>Etudes statistiques sur les langues</w:t>
    </w:r>
    <w:r>
      <w:ptab w:relativeTo="margin" w:alignment="right" w:leader="none"/>
    </w:r>
    <w:r>
      <w:t>2016-2017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74C23"/>
    <w:multiLevelType w:val="hybridMultilevel"/>
    <w:tmpl w:val="38961B3A"/>
    <w:lvl w:ilvl="0" w:tplc="EAB83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4B"/>
    <w:rsid w:val="000D564C"/>
    <w:rsid w:val="00116791"/>
    <w:rsid w:val="00177CFA"/>
    <w:rsid w:val="002A349B"/>
    <w:rsid w:val="002F7B87"/>
    <w:rsid w:val="00320519"/>
    <w:rsid w:val="00345D91"/>
    <w:rsid w:val="003E2780"/>
    <w:rsid w:val="00445345"/>
    <w:rsid w:val="00482F41"/>
    <w:rsid w:val="004A7E0E"/>
    <w:rsid w:val="004D5C5A"/>
    <w:rsid w:val="004F26E4"/>
    <w:rsid w:val="00534BA7"/>
    <w:rsid w:val="00592855"/>
    <w:rsid w:val="005A63A6"/>
    <w:rsid w:val="005A695B"/>
    <w:rsid w:val="005D4498"/>
    <w:rsid w:val="005E130E"/>
    <w:rsid w:val="0069234A"/>
    <w:rsid w:val="0069313B"/>
    <w:rsid w:val="006E34E3"/>
    <w:rsid w:val="006E4453"/>
    <w:rsid w:val="0079060D"/>
    <w:rsid w:val="007A3DD1"/>
    <w:rsid w:val="007A7D3D"/>
    <w:rsid w:val="007E0C25"/>
    <w:rsid w:val="00804847"/>
    <w:rsid w:val="00815E60"/>
    <w:rsid w:val="008C19B3"/>
    <w:rsid w:val="00951116"/>
    <w:rsid w:val="009F5824"/>
    <w:rsid w:val="00A538DE"/>
    <w:rsid w:val="00A54EE5"/>
    <w:rsid w:val="00AA4D40"/>
    <w:rsid w:val="00BE2901"/>
    <w:rsid w:val="00C10F59"/>
    <w:rsid w:val="00C718FA"/>
    <w:rsid w:val="00C8324B"/>
    <w:rsid w:val="00D20F5C"/>
    <w:rsid w:val="00DC077E"/>
    <w:rsid w:val="00DD3DD8"/>
    <w:rsid w:val="00DF7793"/>
    <w:rsid w:val="00E00D7B"/>
    <w:rsid w:val="00E4377F"/>
    <w:rsid w:val="00E44678"/>
    <w:rsid w:val="00E86872"/>
    <w:rsid w:val="00EA35CE"/>
    <w:rsid w:val="00EA6252"/>
    <w:rsid w:val="00F1396A"/>
    <w:rsid w:val="00F56647"/>
    <w:rsid w:val="00F61B66"/>
    <w:rsid w:val="00FA5A55"/>
    <w:rsid w:val="00FB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FF707-7CB2-4FDA-B3E7-5D16F382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2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E2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8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9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498"/>
  </w:style>
  <w:style w:type="paragraph" w:styleId="Footer">
    <w:name w:val="footer"/>
    <w:basedOn w:val="Normal"/>
    <w:link w:val="FooterChar"/>
    <w:uiPriority w:val="99"/>
    <w:unhideWhenUsed/>
    <w:rsid w:val="005D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4251-E0DE-4165-8373-24DC16FB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Damien</dc:creator>
  <cp:keywords/>
  <dc:description/>
  <cp:lastModifiedBy>JACQUES Damien</cp:lastModifiedBy>
  <cp:revision>55</cp:revision>
  <dcterms:created xsi:type="dcterms:W3CDTF">2016-10-05T09:14:00Z</dcterms:created>
  <dcterms:modified xsi:type="dcterms:W3CDTF">2016-10-05T10:26:00Z</dcterms:modified>
</cp:coreProperties>
</file>