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10.10.2026.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(реакции в кинематических парах).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14–15).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ψ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Наибольший угловой ход </w:t>
            </w: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40°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выбрано по сравнению </w:t>
            </w: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вариантов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78D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>н</w:t>
      </w:r>
      <w:r>
        <w:rPr>
          <w:rFonts w:ascii="Times New Roman" w:eastAsia="Times New Roman" w:hAnsi="Times New Roman" w:cs="Times New Roman"/>
          <w:sz w:val="24"/>
        </w:rPr>
        <w:t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>к</w:t>
      </w:r>
      <w:r>
        <w:rPr>
          <w:rFonts w:ascii="Times New Roman" w:eastAsia="Times New Roman" w:hAnsi="Times New Roman" w:cs="Times New Roman"/>
          <w:sz w:val="24"/>
        </w:rPr>
        <w:t>, красным — участок обжима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15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area_vs_phi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15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Зависимость площади треугольника A от конечного угла φк при различных значениях углового хода ψ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36,8°,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в точке компромисса приводится к нормальному размеру по ГОСТ 6636-69: ближайшее значение ряда Ra10 — e = 12 мм.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оно реализуется начиная с ψ = 38,3° (окно 60° → 21,7°, требуемая рукоять 480 мм, сила руки при L = 500 мм — 115 Н, запас 4 %). Принимается ψ = 40° (окно 59,29° → 19,29°, п. 7.1): требуемая рукоять уменьшается до 446 мм, при L = 500 мм сила руки 107 Н, запас 11 % покрывает трение. Принятый угловой ход отличается от точки равных уступок на 3,2° — из-за нормализации e и запаса силы руки.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ψ = 40° до нормализации получаем: φк = 20,00°, φн = 60,00°, e = 11,695 мм, A = 93,56 мм², расчётная длина рукояти L ≈ 453 мм. Далее, как показано в разделе 7, принимается нормальный размер e = 12 мм и окно уточняется из условия точного хода S = 16 мм.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 w14:paraId="10FE20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Расчётное e = 11,7 мм округляется до 12 мм (ряд Ra10). Значение 11 мм (Ra20) потребовало бы ψ = 44,5° &gt; 40°. Для e = 12 мм окно подбирается заново так, чтобы при S = 16 мм, ψ ≤ 40° и |φ| ≤ 60° длина рукояти была наименьшей:</w:t>
      </w:r>
    </w:p>
    <w:p w14:paraId="003C59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= 59,29°,  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 xml:space="preserve"> = 19,29°,   ψ = 40,00°,   φ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= arctg(tg 19,29° + 6/12) = 40,36°</w:t>
      </w:r>
    </w:p>
    <w:p w14:paraId="26440EE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1974·12 / (120·cos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40,36°) = 446 мм   →   L = 500 мм (Ra10)</w:t>
      </w:r>
    </w:p>
    <w:p w14:paraId="1BFB780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Значение 450 мм (Ra20) потребовало бы силы руки 119 Н — без запаса на трение. При L = 500 мм сила руки в начале обжима 1974·12/(500·cos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>3</w:t>
      </w:r>
      <w:r>
        <w:rPr>
          <w:rFonts w:ascii="Times New Roman" w:eastAsia="Times New Roman" w:hAnsi="Times New Roman" w:cs="Times New Roman"/>
          <w:sz w:val="28"/>
        </w:rPr>
        <w:t>40,36°) = 107 Н ≤ 120 Н, запас около 11 % покрывает трение (η ≈ 0,9). Площадь треугольника: A = ½·12·16 = 96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11,7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 мм дало бы ψ &gt; 40°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450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107 Н, запас на трение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59,29°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23,50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−46,01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154,92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39,56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156,69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79,12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5,55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40,36°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15,75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−20,67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35,13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13,38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38,50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26,77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18,43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19,29°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12,71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−13,47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9,43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4,45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15,83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8,90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35,04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323,8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−381,0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наименьшее в начале хода и в начале обжима равно 18,43: 1974/18,43 = 107 Н.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 w14:paraId="508F41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= arctg(tg 19,29° + 6/12) = 40,36°,     φ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arctg(tg 19,29° + 5,891/12) = 40,06°</w:t>
      </w:r>
    </w:p>
    <w:p w14:paraId="22DF282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</w:t>
      </w:r>
      <w:r>
        <w:rPr>
          <w:rFonts w:ascii="Cambria Math" w:eastAsia="Cambria Math" w:hAnsi="Cambria Math" w:cs="Cambria Math"/>
          <w:sz w:val="28"/>
          <w:vertAlign w:val="subscript"/>
        </w:rPr>
        <w:t>хх</w:t>
      </w:r>
      <w:r>
        <w:rPr>
          <w:rFonts w:ascii="Cambria Math" w:eastAsia="Cambria Math" w:hAnsi="Cambria Math" w:cs="Cambria Math"/>
          <w:sz w:val="28"/>
        </w:rPr>
        <w:t xml:space="preserve"> = 59,29° − 40,36° = 18,92° = 0,3303 рад</w:t>
      </w:r>
    </w:p>
    <w:p w14:paraId="6613808F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ψ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40,36° − 40,06° = 0,30° = 0,00528 рад,     ψ</w:t>
      </w:r>
      <w:r>
        <w:rPr>
          <w:rFonts w:ascii="Cambria Math" w:eastAsia="Cambria Math" w:hAnsi="Cambria Math" w:cs="Cambria Math"/>
          <w:sz w:val="28"/>
          <w:vertAlign w:val="subscript"/>
        </w:rPr>
        <w:t>пл</w:t>
      </w:r>
      <w:r>
        <w:rPr>
          <w:rFonts w:ascii="Cambria Math" w:eastAsia="Cambria Math" w:hAnsi="Cambria Math" w:cs="Cambria Math"/>
          <w:sz w:val="28"/>
        </w:rPr>
        <w:t xml:space="preserve"> = 40,06° − 19,29° = 20,77° = 0,3625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 w14:paraId="26BE87CB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 w14:paraId="3362476B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>хх</w:t>
      </w:r>
      <w:r>
        <w:rPr>
          <w:rFonts w:ascii="Cambria Math" w:eastAsia="Cambria Math" w:hAnsi="Cambria Math" w:cs="Cambria Math"/>
          <w:sz w:val="28"/>
        </w:rPr>
        <w:t>/ω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 xml:space="preserve"> = 2·0,3303/1,40 = 0,472 с</w:t>
      </w:r>
    </w:p>
    <w:p w14:paraId="5C5A943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 xml:space="preserve"> = 0,00528/1,40 = 0,0038 с</w:t>
      </w:r>
    </w:p>
    <w:p w14:paraId="19F59CC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>пл</w:t>
      </w:r>
      <w:r>
        <w:rPr>
          <w:rFonts w:ascii="Cambria Math" w:eastAsia="Cambria Math" w:hAnsi="Cambria Math" w:cs="Cambria Math"/>
          <w:sz w:val="28"/>
        </w:rPr>
        <w:t>/ω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 xml:space="preserve"> = 2·0,3625/1,40 = 0,518 с</w:t>
      </w:r>
    </w:p>
    <w:p w14:paraId="7E8BABF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1,40/0,472 = 2,97 рад/с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−1,40/0,518 = −2,70 рад/с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</w:p>
    <w:p w14:paraId="4F504B3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рх</w:t>
      </w:r>
      <w:r>
        <w:rPr>
          <w:rFonts w:ascii="Cambria Math" w:eastAsia="Cambria Math" w:hAnsi="Cambria Math" w:cs="Cambria Math"/>
          <w:sz w:val="28"/>
        </w:rPr>
        <w:t xml:space="preserve"> = 0,472 + 0,004 + 0,518 = 0,994 с,     проверка: ½·1,40·0,472 + 1,40·0,0038 + ½·1,40·0,518 = 0,698 рад = 40,00°</w:t>
      </w:r>
    </w:p>
    <w:p w14:paraId="566250D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/t</w:t>
      </w:r>
      <w:r>
        <w:rPr>
          <w:rFonts w:ascii="Times New Roman" w:eastAsia="Times New Roman" w:hAnsi="Times New Roman" w:cs="Times New Roman"/>
          <w:sz w:val="28"/>
          <w:vertAlign w:val="subscript"/>
        </w:rPr>
        <w:t>рх</w:t>
      </w:r>
      <w:r>
        <w:rPr>
          <w:rFonts w:ascii="Times New Roman" w:eastAsia="Times New Roman" w:hAnsi="Times New Roman" w:cs="Times New Roman"/>
          <w:sz w:val="28"/>
        </w:rPr>
        <w:t xml:space="preserve"> = 349/0,994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4C3924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Установившийся участок короткий (3,8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omega_v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 w14:paraId="7E96166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обр</w:t>
      </w:r>
      <w:r>
        <w:rPr>
          <w:rFonts w:ascii="Times New Roman" w:eastAsia="Times New Roman" w:hAnsi="Times New Roman" w:cs="Times New Roman"/>
          <w:sz w:val="28"/>
        </w:rPr>
        <w:t xml:space="preserve"> ≈ 2,0 с. На установку и снятие бутылки остаётся 8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59,29°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+2,97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−136,5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+1,48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0,472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40,36°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+2,97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−28,9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+7,5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+1,48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0,472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40,36°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−28,9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+68,9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0,476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40,06°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−28,7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+67,5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0,476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40,06°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−2,70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−28,7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+122,9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−1,35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0,994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19,29°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−2,70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+36,4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−1,35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−29,2 мм/с достигается на холостом ходе при φ = 44,9° (t = 0,411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−28,9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−136,5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по пазу кулисы со скоростью до 18,7 мм/с,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2·1,40·18,7 = 52,5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вверх; движущая сила — сила руки P на конце рукояти K, направленная вертикально вниз. Искомые величины — реакции в кинематических парах и уравновешивающая сила руки P.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2,97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0,16 Н·м эквивалентен силе руки ≈ 0,6 Н, а вес рукояти ≈ 6 Н помогает нажатию и уменьшает требуемую силу руки примерно на 3 Н. Обе поправки малы по сравнению с силой руки ≈ 100 Н на обжиме (п. 11.5) и будут учтены на этапе кинетостатики.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40,36°;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40,06°;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1880/0,109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0,30°,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под углом φ − 90°),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7900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9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(без масштаба, φ = 40°):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Расчёт начинается с группы Ассура, к которой приложена известная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, затем рассматривается входное звено. Для каждого звена записываются три уравнения: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 = 0.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(моменты относительно точки D, через которую проходят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: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21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 φ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21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 φ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: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21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 учётом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 решение уравнений группы: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21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рукоятью. Реакция камня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приложена в точке D (x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φ,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= e/cos φ), сила руки P — в точке K (x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·[(x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)·cos φ + (y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)·sin φ] −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− P·(x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− 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)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Уравнение моментов записано, как на семинаре 11, относительно произвольной точки H(x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); результат от выбора точки не зависит (проверено численно). При H ≡ O уравнение не содержит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 и сразу даёт уравновешивающую силу руки: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− P·L·cos φ = 0   ⇒   P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Выражение для P совпадает с соотношением п. 5.2, полученным по принципу возможных перемещений. Проверка — равновесие механизма в целом: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+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0 и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+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− P = 0 выполняются тождественно.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Результаты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Зависимости сил и реакций от угла кулисы на рабочем ходе показаны на рисунке 8, значения в характерных положениях — в таблице 11. На холостом ходе сила обжима равна нулю, и в первичном расчёте все реакции также равны нулю. На упругом участке силы нарастают практически скачком, на пластическом — сила обжима растёт на 5 %, а сила руки и поперечные реакции уменьшаются вместе с углом φ (углом давления).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795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orces_v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5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Сила обжима, сила руки и реакции в кинематических парах в зависимости от угла кулисы φ (первичный расчёт);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Силы и реакции в характерных положениях (первичный расчёт), Н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1010"/>
        <w:gridCol w:w="760"/>
        <w:gridCol w:w="800"/>
        <w:gridCol w:w="76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21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59,29°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40,36°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40,06°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100,6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2456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1581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−1779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2380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−1581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−1581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1930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71,3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2229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1114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−1859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2167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−1114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1930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−1114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19,29°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56,3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2091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2038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−691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−691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40,06°): сила руки P = 100,6 Н ≤ 120 Н (запас 16 % на трение и силы инерции),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2456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2380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1581 Н; изгибающий момент в кулисе у камня M = P·(x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−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) ≈ 37,3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1917 Н — в конце хода (φ = 19,29°),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 п. 7.1 сила руки 107 Н получена в запас — в предположении, что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касания. Для прочностного расчёта звеньев (следующий этап) выбираются два положения: φ = 40,06° — максимум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силы руки и изгибающего момента в кулисе; φ = 19,29°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звеньев, после чего выполняется кинетостатический расчёт с силами инерции по закону движения п. 9 и с учётом трения.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12.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12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120 Н; по силовому расчёту наибольшая — 100,6 Н (φ = 40,06°)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7.1, 11.5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Ra10; п.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59,3° → 19,3°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40,0°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 «площадь — угловой ход»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 = 36,8°, e = 12,53 мм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40,4°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96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Ra10; п. 7.1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349 / 430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0,994 с: 0,472 / 0,004 / 0,518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 рад/с; 2,97; −2,70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29,2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2456 / 2380 / 1581 Н (φ = 40,06°)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11.5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13.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звеньям: расчётные схемы,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группы Ассура и входного звена, уравнение моментов относительно произвольной точки, последовательность этапов по семинару 11 — п. 11.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2,50 мм = 15,6 %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15.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326F152A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 xml:space="preserve"> = 28,6 мм. Сила обжима постоянна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= 6 мм.</w:t>
      </w:r>
    </w:p>
    <w:p w14:paraId="6A8BAED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Сила руки P = 120 Н — по замеру на серийном ручном укупоривателе;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40°.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 w14:paraId="11DD833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Трение в паре камень–кулиса и в направляющих не учитывается (η = 1); запас силы руки 11 % (107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29,33°; принятое ψ = 40° отличается от точки компромисса (36,8°) из-за нормализации e = 12 мм и запаса силы руки.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По графику 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6"/>
        </w:rPr>
        <w:t xml:space="preserve">(ψ) с нанесённым угловым ходом точка равных относительных уступок — ψ = 36,8° (e = 12,53 мм); после нормализации e = 12 мм (Ra10) принят ψ = 40° (запас силы руки 11 %). Допустимо ли такое обоснование,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(3,8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15,6 %)?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10–11 — метод кинетостатики, последовательность силового расчёта.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