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83E80" w14:textId="77777777" w:rsidR="00574843" w:rsidRDefault="00574843" w:rsidP="00574843">
      <w:r>
        <w:rPr>
          <w:noProof/>
        </w:rPr>
        <w:drawing>
          <wp:anchor distT="0" distB="0" distL="114300" distR="114300" simplePos="0" relativeHeight="251659264" behindDoc="1" locked="0" layoutInCell="1" allowOverlap="1" wp14:anchorId="75B50CF4" wp14:editId="3DBEE0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67250" cy="1009650"/>
            <wp:effectExtent l="0" t="0" r="0" b="0"/>
            <wp:wrapSquare wrapText="bothSides"/>
            <wp:docPr id="2" name="Imagen 2" descr="INSTITUCIÓN UNIVERSITARIA E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ITUCIÓN UNIVERSITARIA ESUM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E2B4A0" w14:textId="77777777" w:rsidR="00574843" w:rsidRPr="00113F0F" w:rsidRDefault="00574843" w:rsidP="00574843"/>
    <w:p w14:paraId="50384F57" w14:textId="77777777" w:rsidR="00574843" w:rsidRPr="00113F0F" w:rsidRDefault="00574843" w:rsidP="00574843"/>
    <w:p w14:paraId="1B48A821" w14:textId="77777777" w:rsidR="00574843" w:rsidRPr="00113F0F" w:rsidRDefault="00574843" w:rsidP="00574843"/>
    <w:p w14:paraId="4D66C691" w14:textId="77777777" w:rsidR="00574843" w:rsidRPr="00113F0F" w:rsidRDefault="00574843" w:rsidP="00574843"/>
    <w:p w14:paraId="7ADC7493" w14:textId="553BF17E" w:rsidR="00574843" w:rsidRPr="00113F0F" w:rsidRDefault="00574843" w:rsidP="00574843">
      <w:pPr>
        <w:tabs>
          <w:tab w:val="left" w:pos="3408"/>
        </w:tabs>
        <w:rPr>
          <w:rFonts w:ascii="Arial" w:hAnsi="Arial" w:cs="Arial"/>
          <w:b/>
          <w:bCs/>
          <w:sz w:val="24"/>
          <w:szCs w:val="24"/>
        </w:rPr>
      </w:pPr>
      <w:r>
        <w:t xml:space="preserve">                                                               </w:t>
      </w:r>
      <w:r w:rsidRPr="00113F0F">
        <w:rPr>
          <w:rFonts w:ascii="Arial" w:hAnsi="Arial" w:cs="Arial"/>
          <w:b/>
          <w:bCs/>
          <w:sz w:val="24"/>
          <w:szCs w:val="24"/>
        </w:rPr>
        <w:t xml:space="preserve">APLICACIÓN MÉTODO </w:t>
      </w:r>
      <w:r>
        <w:rPr>
          <w:rFonts w:ascii="Arial" w:hAnsi="Arial" w:cs="Arial"/>
          <w:b/>
          <w:bCs/>
          <w:sz w:val="24"/>
          <w:szCs w:val="24"/>
        </w:rPr>
        <w:t>MIC MAC</w:t>
      </w:r>
    </w:p>
    <w:p w14:paraId="76712BAD" w14:textId="77777777" w:rsidR="00574843" w:rsidRDefault="00574843" w:rsidP="00574843">
      <w:pPr>
        <w:tabs>
          <w:tab w:val="left" w:pos="3408"/>
        </w:tabs>
        <w:jc w:val="center"/>
      </w:pPr>
    </w:p>
    <w:p w14:paraId="6EA58AD9" w14:textId="77777777" w:rsidR="00574843" w:rsidRDefault="00574843" w:rsidP="00574843">
      <w:pPr>
        <w:tabs>
          <w:tab w:val="left" w:pos="3408"/>
        </w:tabs>
        <w:jc w:val="center"/>
      </w:pPr>
    </w:p>
    <w:p w14:paraId="5FCCA289" w14:textId="77777777" w:rsidR="00574843" w:rsidRDefault="00574843" w:rsidP="00574843">
      <w:pPr>
        <w:tabs>
          <w:tab w:val="left" w:pos="3408"/>
        </w:tabs>
        <w:jc w:val="center"/>
      </w:pPr>
    </w:p>
    <w:p w14:paraId="48845DC7" w14:textId="77777777" w:rsidR="00574843" w:rsidRDefault="00574843" w:rsidP="00574843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13F0F">
        <w:rPr>
          <w:rFonts w:ascii="Arial" w:hAnsi="Arial" w:cs="Arial"/>
          <w:b/>
          <w:bCs/>
          <w:sz w:val="28"/>
          <w:szCs w:val="28"/>
        </w:rPr>
        <w:t>ASIGNATURA</w:t>
      </w:r>
    </w:p>
    <w:p w14:paraId="190E6660" w14:textId="77777777" w:rsidR="00574843" w:rsidRPr="00113F0F" w:rsidRDefault="00574843" w:rsidP="00574843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7A2480" w14:textId="77777777" w:rsidR="00574843" w:rsidRDefault="00574843" w:rsidP="0057484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13F0F">
        <w:rPr>
          <w:rFonts w:ascii="Arial" w:hAnsi="Arial" w:cs="Arial"/>
          <w:b/>
          <w:bCs/>
          <w:sz w:val="24"/>
          <w:szCs w:val="24"/>
        </w:rPr>
        <w:t>GERENCIA ESTRATEGICA Y PROSPECTIVA</w:t>
      </w:r>
    </w:p>
    <w:p w14:paraId="60D7221B" w14:textId="77777777" w:rsidR="00574843" w:rsidRDefault="00574843" w:rsidP="0057484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445D52" w14:textId="77777777" w:rsidR="00574843" w:rsidRDefault="00574843" w:rsidP="0057484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BCE1C4" w14:textId="77777777" w:rsidR="00574843" w:rsidRDefault="00574843" w:rsidP="0057484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13F0F">
        <w:rPr>
          <w:rFonts w:ascii="Arial" w:hAnsi="Arial" w:cs="Arial"/>
          <w:b/>
          <w:bCs/>
          <w:sz w:val="24"/>
          <w:szCs w:val="24"/>
        </w:rPr>
        <w:t>DOCENTE</w:t>
      </w:r>
    </w:p>
    <w:p w14:paraId="362DE0EA" w14:textId="77777777" w:rsidR="00574843" w:rsidRPr="00B47553" w:rsidRDefault="00574843" w:rsidP="0057484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1A3A24" w14:textId="77777777" w:rsidR="00574843" w:rsidRPr="00B47553" w:rsidRDefault="00574843" w:rsidP="00574843">
      <w:pPr>
        <w:tabs>
          <w:tab w:val="left" w:pos="3408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B47553">
        <w:rPr>
          <w:rFonts w:ascii="Arial" w:hAnsi="Arial" w:cs="Arial"/>
          <w:sz w:val="24"/>
          <w:szCs w:val="24"/>
          <w:lang w:val="es-ES"/>
        </w:rPr>
        <w:t>Oscar Gonzalo Giraldo A</w:t>
      </w:r>
    </w:p>
    <w:p w14:paraId="1E353559" w14:textId="77777777" w:rsidR="00574843" w:rsidRDefault="00574843" w:rsidP="00574843">
      <w:pPr>
        <w:tabs>
          <w:tab w:val="left" w:pos="3408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4C48A2" w14:textId="77777777" w:rsidR="00574843" w:rsidRDefault="00574843" w:rsidP="00574843">
      <w:pPr>
        <w:tabs>
          <w:tab w:val="left" w:pos="3408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B8B5C9F" w14:textId="77777777" w:rsidR="00574843" w:rsidRDefault="00574843" w:rsidP="00574843">
      <w:pPr>
        <w:tabs>
          <w:tab w:val="left" w:pos="3408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6D1DA6" w14:textId="77777777" w:rsidR="00574843" w:rsidRDefault="00574843" w:rsidP="00574843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47553">
        <w:rPr>
          <w:rFonts w:ascii="Arial" w:hAnsi="Arial" w:cs="Arial"/>
          <w:b/>
          <w:bCs/>
          <w:sz w:val="28"/>
          <w:szCs w:val="28"/>
        </w:rPr>
        <w:t xml:space="preserve">ESTUDIANTES </w:t>
      </w:r>
    </w:p>
    <w:p w14:paraId="511733A2" w14:textId="77777777" w:rsidR="00574843" w:rsidRDefault="00574843" w:rsidP="00574843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24AEE3" w14:textId="77777777" w:rsidR="00574843" w:rsidRPr="00B47553" w:rsidRDefault="00574843" w:rsidP="00574843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proofErr w:type="spellStart"/>
      <w:r w:rsidRPr="00B47553">
        <w:rPr>
          <w:rFonts w:ascii="Arial" w:hAnsi="Arial" w:cs="Arial"/>
          <w:sz w:val="24"/>
          <w:szCs w:val="24"/>
        </w:rPr>
        <w:t>Liney</w:t>
      </w:r>
      <w:proofErr w:type="spellEnd"/>
      <w:r w:rsidRPr="00B47553">
        <w:rPr>
          <w:rFonts w:ascii="Arial" w:hAnsi="Arial" w:cs="Arial"/>
          <w:sz w:val="24"/>
          <w:szCs w:val="24"/>
        </w:rPr>
        <w:t xml:space="preserve"> Luna Galeano</w:t>
      </w:r>
    </w:p>
    <w:p w14:paraId="5455F68E" w14:textId="77777777" w:rsidR="00574843" w:rsidRPr="00B47553" w:rsidRDefault="00574843" w:rsidP="00574843">
      <w:pPr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B47553">
        <w:rPr>
          <w:rFonts w:ascii="Arial" w:hAnsi="Arial" w:cs="Arial"/>
          <w:sz w:val="24"/>
          <w:szCs w:val="24"/>
        </w:rPr>
        <w:t>Melissa Yepes</w:t>
      </w:r>
    </w:p>
    <w:p w14:paraId="00E0995B" w14:textId="77777777" w:rsidR="00574843" w:rsidRPr="00B47553" w:rsidRDefault="00574843" w:rsidP="00574843">
      <w:pPr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B47553">
        <w:rPr>
          <w:rFonts w:ascii="Arial" w:hAnsi="Arial" w:cs="Arial"/>
          <w:sz w:val="24"/>
          <w:szCs w:val="24"/>
        </w:rPr>
        <w:t xml:space="preserve">Juan José De León </w:t>
      </w:r>
    </w:p>
    <w:p w14:paraId="4367F487" w14:textId="77777777" w:rsidR="00574843" w:rsidRPr="00B47553" w:rsidRDefault="00574843" w:rsidP="00574843">
      <w:pPr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B47553">
        <w:rPr>
          <w:rFonts w:ascii="Arial" w:hAnsi="Arial" w:cs="Arial"/>
          <w:sz w:val="24"/>
          <w:szCs w:val="24"/>
        </w:rPr>
        <w:t>María Alejandra Marín</w:t>
      </w:r>
    </w:p>
    <w:p w14:paraId="061CA8ED" w14:textId="77777777" w:rsidR="00574843" w:rsidRPr="00B47553" w:rsidRDefault="00574843" w:rsidP="00574843">
      <w:pPr>
        <w:spacing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14894EC9" w14:textId="77777777" w:rsidR="00574843" w:rsidRDefault="00574843" w:rsidP="00574843">
      <w:pPr>
        <w:spacing w:after="0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A041D1" w14:textId="77777777" w:rsidR="00574843" w:rsidRDefault="00574843" w:rsidP="00574843">
      <w:pPr>
        <w:spacing w:after="0"/>
        <w:ind w:left="720"/>
        <w:rPr>
          <w:rFonts w:ascii="Arial" w:hAnsi="Arial" w:cs="Arial"/>
          <w:b/>
          <w:bCs/>
          <w:sz w:val="28"/>
          <w:szCs w:val="28"/>
        </w:rPr>
      </w:pPr>
    </w:p>
    <w:p w14:paraId="0909F61A" w14:textId="77777777" w:rsidR="00574843" w:rsidRPr="00B47553" w:rsidRDefault="00574843" w:rsidP="00574843">
      <w:pPr>
        <w:spacing w:after="0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32EAA2" w14:textId="77777777" w:rsidR="00574843" w:rsidRPr="005509E6" w:rsidRDefault="00574843" w:rsidP="005748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5369">
        <w:rPr>
          <w:rFonts w:ascii="Arial" w:hAnsi="Arial" w:cs="Arial"/>
          <w:b/>
          <w:bCs/>
          <w:sz w:val="24"/>
          <w:szCs w:val="24"/>
        </w:rPr>
        <w:t>INSTITUCIÓN UNIVERSITARIA ESUMER</w:t>
      </w:r>
    </w:p>
    <w:p w14:paraId="6260229D" w14:textId="77777777" w:rsidR="00574843" w:rsidRPr="005509E6" w:rsidRDefault="00574843" w:rsidP="00574843">
      <w:pPr>
        <w:jc w:val="center"/>
        <w:rPr>
          <w:rFonts w:ascii="Arial" w:hAnsi="Arial" w:cs="Arial"/>
          <w:sz w:val="24"/>
          <w:szCs w:val="24"/>
        </w:rPr>
      </w:pPr>
      <w:r w:rsidRPr="005509E6">
        <w:rPr>
          <w:rFonts w:ascii="Arial" w:hAnsi="Arial" w:cs="Arial"/>
          <w:sz w:val="24"/>
          <w:szCs w:val="24"/>
        </w:rPr>
        <w:t>Medellín</w:t>
      </w:r>
    </w:p>
    <w:p w14:paraId="1D1CD21B" w14:textId="77777777" w:rsidR="00574843" w:rsidRPr="00141393" w:rsidRDefault="00574843" w:rsidP="00574843">
      <w:pPr>
        <w:jc w:val="center"/>
        <w:rPr>
          <w:rFonts w:ascii="Arial" w:hAnsi="Arial" w:cs="Arial"/>
          <w:sz w:val="24"/>
          <w:szCs w:val="24"/>
        </w:rPr>
      </w:pPr>
      <w:r w:rsidRPr="005509E6">
        <w:rPr>
          <w:rFonts w:ascii="Arial" w:hAnsi="Arial" w:cs="Arial"/>
          <w:sz w:val="24"/>
          <w:szCs w:val="24"/>
        </w:rPr>
        <w:t>202</w:t>
      </w:r>
      <w:r w:rsidRPr="00141393">
        <w:rPr>
          <w:rFonts w:ascii="Arial" w:hAnsi="Arial" w:cs="Arial"/>
          <w:sz w:val="24"/>
          <w:szCs w:val="24"/>
        </w:rPr>
        <w:t>4</w:t>
      </w:r>
    </w:p>
    <w:p w14:paraId="2F650098" w14:textId="77777777" w:rsidR="00DD08C8" w:rsidRDefault="00DD08C8"/>
    <w:p w14:paraId="39AFEED7" w14:textId="599ECC3E" w:rsidR="00216C25" w:rsidRDefault="00216C2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16C2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SECTOR, EMPRESA O AREA</w:t>
      </w:r>
      <w:proofErr w:type="gramStart"/>
      <w:r w:rsidRPr="00216C25">
        <w:rPr>
          <w:rFonts w:ascii="Arial" w:hAnsi="Arial" w:cs="Arial"/>
          <w:b/>
          <w:bCs/>
          <w:sz w:val="24"/>
          <w:szCs w:val="24"/>
          <w:u w:val="single"/>
        </w:rPr>
        <w:t xml:space="preserve"> ….</w:t>
      </w:r>
      <w:proofErr w:type="gramEnd"/>
      <w:r w:rsidRPr="00216C25">
        <w:rPr>
          <w:rFonts w:ascii="Arial" w:hAnsi="Arial" w:cs="Arial"/>
          <w:b/>
          <w:bCs/>
          <w:sz w:val="24"/>
          <w:szCs w:val="24"/>
          <w:u w:val="single"/>
        </w:rPr>
        <w:t>QUE VIENE TRABAJANDO EL EQUIPO DESDEN EL INICIO DEL MODULO</w:t>
      </w:r>
    </w:p>
    <w:p w14:paraId="36B68701" w14:textId="77777777" w:rsidR="00332B4B" w:rsidRDefault="00216C25" w:rsidP="00332B4B">
      <w:pPr>
        <w:rPr>
          <w:rFonts w:ascii="Arial" w:hAnsi="Arial" w:cs="Arial"/>
          <w:sz w:val="24"/>
          <w:szCs w:val="24"/>
        </w:rPr>
      </w:pPr>
      <w:r w:rsidRPr="00216C25">
        <w:rPr>
          <w:rFonts w:ascii="Arial" w:hAnsi="Arial" w:cs="Arial"/>
          <w:b/>
          <w:bCs/>
          <w:sz w:val="24"/>
          <w:szCs w:val="24"/>
        </w:rPr>
        <w:t>Respuesta: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E29">
        <w:rPr>
          <w:rFonts w:ascii="Arial" w:hAnsi="Arial" w:cs="Arial"/>
          <w:sz w:val="24"/>
          <w:szCs w:val="24"/>
        </w:rPr>
        <w:t>Sistecredito</w:t>
      </w:r>
      <w:r w:rsidR="002F5E29">
        <w:rPr>
          <w:rFonts w:ascii="Arial" w:hAnsi="Arial" w:cs="Arial"/>
          <w:sz w:val="24"/>
          <w:szCs w:val="24"/>
        </w:rPr>
        <w:t>.</w:t>
      </w:r>
      <w:r w:rsidR="00332B4B">
        <w:rPr>
          <w:rFonts w:ascii="Arial" w:hAnsi="Arial" w:cs="Arial"/>
          <w:sz w:val="24"/>
          <w:szCs w:val="24"/>
        </w:rPr>
        <w:t xml:space="preserve"> </w:t>
      </w:r>
      <w:r w:rsidR="00332B4B" w:rsidRPr="00332B4B">
        <w:rPr>
          <w:rFonts w:ascii="Arial" w:hAnsi="Arial" w:cs="Arial"/>
          <w:sz w:val="24"/>
          <w:szCs w:val="24"/>
        </w:rPr>
        <w:t>Servicios Financieros (Crédito de Consumo no Bancario)</w:t>
      </w:r>
    </w:p>
    <w:p w14:paraId="5A66A701" w14:textId="77777777" w:rsidR="00027A8E" w:rsidRPr="00027A8E" w:rsidRDefault="00027A8E" w:rsidP="00332B4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8BEBB0" w14:textId="702A0B50" w:rsidR="00027A8E" w:rsidRDefault="00027A8E" w:rsidP="00004C1C">
      <w:pPr>
        <w:pStyle w:val="Textoindependiente"/>
        <w:spacing w:before="17"/>
        <w:ind w:left="0" w:right="1356"/>
        <w:rPr>
          <w:b/>
          <w:bCs/>
          <w:u w:val="single"/>
        </w:rPr>
      </w:pPr>
      <w:r w:rsidRPr="00027A8E">
        <w:rPr>
          <w:b/>
          <w:bCs/>
          <w:u w:val="single"/>
        </w:rPr>
        <w:t>FACTORES</w:t>
      </w:r>
      <w:r>
        <w:rPr>
          <w:b/>
          <w:bCs/>
          <w:u w:val="single"/>
        </w:rPr>
        <w:t xml:space="preserve"> </w:t>
      </w:r>
      <w:r w:rsidRPr="00027A8E">
        <w:rPr>
          <w:b/>
          <w:bCs/>
          <w:u w:val="single"/>
        </w:rPr>
        <w:t>DE CAMBIO,DEFINICIÓN Y TIPS CARACTERÍSTICAS (ACTUAL Y FUTURA)</w:t>
      </w:r>
    </w:p>
    <w:p w14:paraId="4A1BED1B" w14:textId="77777777" w:rsidR="00BF15B7" w:rsidRDefault="00BF15B7" w:rsidP="00004C1C">
      <w:pPr>
        <w:pStyle w:val="Textoindependiente"/>
        <w:spacing w:before="17"/>
        <w:ind w:left="0" w:right="1356"/>
        <w:rPr>
          <w:b/>
          <w:bCs/>
          <w:u w:val="single"/>
        </w:rPr>
      </w:pPr>
    </w:p>
    <w:p w14:paraId="10C013EA" w14:textId="4851AF4F" w:rsidR="00BF15B7" w:rsidRDefault="00BF15B7" w:rsidP="00004C1C">
      <w:pPr>
        <w:pStyle w:val="Textoindependiente"/>
        <w:spacing w:before="17"/>
        <w:ind w:left="0" w:right="1356"/>
        <w:rPr>
          <w:b/>
          <w:bCs/>
        </w:rPr>
      </w:pPr>
      <w:r w:rsidRPr="00BF15B7">
        <w:rPr>
          <w:b/>
          <w:bCs/>
        </w:rPr>
        <w:t>Respuesta:</w:t>
      </w:r>
    </w:p>
    <w:p w14:paraId="27CE5B34" w14:textId="77777777" w:rsidR="00300B5D" w:rsidRDefault="00300B5D" w:rsidP="00004C1C">
      <w:pPr>
        <w:pStyle w:val="Textoindependiente"/>
        <w:spacing w:before="17"/>
        <w:ind w:left="0" w:right="1356"/>
        <w:rPr>
          <w:b/>
          <w:bCs/>
        </w:rPr>
      </w:pPr>
    </w:p>
    <w:p w14:paraId="7CD0F12B" w14:textId="77777777" w:rsidR="00300B5D" w:rsidRDefault="00300B5D" w:rsidP="00004C1C">
      <w:pPr>
        <w:pStyle w:val="Textoindependiente"/>
        <w:spacing w:before="17"/>
        <w:ind w:left="0" w:right="1356"/>
        <w:rPr>
          <w:b/>
          <w:bCs/>
        </w:rPr>
      </w:pPr>
    </w:p>
    <w:p w14:paraId="5ECB59AD" w14:textId="17E4059B" w:rsidR="00713BA7" w:rsidRDefault="00713BA7" w:rsidP="00FD38A5">
      <w:pPr>
        <w:pStyle w:val="Textoindependiente"/>
        <w:numPr>
          <w:ilvl w:val="0"/>
          <w:numId w:val="7"/>
        </w:numPr>
        <w:spacing w:before="17"/>
        <w:ind w:right="1356"/>
        <w:rPr>
          <w:b/>
          <w:bCs/>
        </w:rPr>
      </w:pPr>
      <w:r>
        <w:rPr>
          <w:b/>
          <w:bCs/>
        </w:rPr>
        <w:t>Políticos y regulatorios</w:t>
      </w:r>
    </w:p>
    <w:p w14:paraId="249CEE79" w14:textId="77777777" w:rsidR="00713BA7" w:rsidRDefault="00713BA7" w:rsidP="00713BA7">
      <w:pPr>
        <w:pStyle w:val="Textoindependiente"/>
        <w:spacing w:before="17"/>
        <w:ind w:right="1356"/>
        <w:rPr>
          <w:b/>
          <w:bCs/>
        </w:rPr>
      </w:pPr>
    </w:p>
    <w:p w14:paraId="1A8E6952" w14:textId="2D9E29D4" w:rsidR="00300B5D" w:rsidRDefault="00713BA7" w:rsidP="00FB6575">
      <w:pPr>
        <w:pStyle w:val="Textoindependiente"/>
        <w:spacing w:before="17"/>
        <w:ind w:right="1356"/>
      </w:pPr>
      <w:r w:rsidRPr="00FB6575">
        <w:rPr>
          <w:b/>
          <w:bCs/>
        </w:rPr>
        <w:t>Actual</w:t>
      </w:r>
      <w:r w:rsidR="00FB6575" w:rsidRPr="00FB6575">
        <w:rPr>
          <w:b/>
          <w:bCs/>
        </w:rPr>
        <w:t>:</w:t>
      </w:r>
      <w:r w:rsidR="00FB6575" w:rsidRPr="00FB6575">
        <w:t xml:space="preserve"> </w:t>
      </w:r>
      <w:r w:rsidR="00FB6575" w:rsidRPr="00FB6575">
        <w:t>Los cambios en la regulación afectarán a las empresas de crédito no regulado, exigiendo formalización y cumplimiento de normativas.</w:t>
      </w:r>
    </w:p>
    <w:p w14:paraId="6FCB5934" w14:textId="77777777" w:rsidR="00FB6575" w:rsidRPr="00FB6575" w:rsidRDefault="00FB6575" w:rsidP="00FB6575">
      <w:pPr>
        <w:pStyle w:val="Textoindependiente"/>
        <w:spacing w:before="17"/>
        <w:ind w:right="1356"/>
        <w:rPr>
          <w:b/>
          <w:bCs/>
        </w:rPr>
      </w:pPr>
    </w:p>
    <w:p w14:paraId="53244CD0" w14:textId="482F9E80" w:rsidR="00FB6575" w:rsidRDefault="00FB6575" w:rsidP="00FB6575">
      <w:pPr>
        <w:pStyle w:val="Textoindependiente"/>
        <w:spacing w:before="17"/>
        <w:ind w:right="1356"/>
      </w:pPr>
      <w:r w:rsidRPr="00FB6575">
        <w:rPr>
          <w:b/>
          <w:bCs/>
        </w:rPr>
        <w:t>Futuro:</w:t>
      </w:r>
      <w:r w:rsidR="00F3543A">
        <w:rPr>
          <w:b/>
          <w:bCs/>
        </w:rPr>
        <w:t xml:space="preserve"> </w:t>
      </w:r>
      <w:r w:rsidR="00F3543A" w:rsidRPr="00F3543A">
        <w:t>Posible introducción de regulaciones más estrictas en torno a los préstamos para evitar el sobreendeudamiento de los consumidores</w:t>
      </w:r>
      <w:r w:rsidR="00F3543A">
        <w:t>.</w:t>
      </w:r>
    </w:p>
    <w:p w14:paraId="6FB63D1A" w14:textId="77777777" w:rsidR="00F3543A" w:rsidRDefault="00F3543A" w:rsidP="00FB6575">
      <w:pPr>
        <w:pStyle w:val="Textoindependiente"/>
        <w:spacing w:before="17"/>
        <w:ind w:right="1356"/>
      </w:pPr>
    </w:p>
    <w:p w14:paraId="31F93B02" w14:textId="7D828546" w:rsidR="00F3543A" w:rsidRDefault="00615E46" w:rsidP="00FB6575">
      <w:pPr>
        <w:pStyle w:val="Textoindependiente"/>
        <w:spacing w:before="17"/>
        <w:ind w:right="1356"/>
        <w:rPr>
          <w:lang w:val="es-CO"/>
        </w:rPr>
      </w:pPr>
      <w:r w:rsidRPr="00615E46">
        <w:rPr>
          <w:lang w:val="es-CO"/>
        </w:rPr>
        <w:t>Aumento de regulaciones relacionadas con la sostenibilidad y préstamos verdes, orientadas a promover prácticas responsables en el sector financiero.</w:t>
      </w:r>
    </w:p>
    <w:p w14:paraId="0AD130A2" w14:textId="77777777" w:rsidR="00615E46" w:rsidRDefault="00615E46" w:rsidP="00FB6575">
      <w:pPr>
        <w:pStyle w:val="Textoindependiente"/>
        <w:spacing w:before="17"/>
        <w:ind w:right="1356"/>
        <w:rPr>
          <w:lang w:val="es-CO"/>
        </w:rPr>
      </w:pPr>
    </w:p>
    <w:p w14:paraId="33950737" w14:textId="5CB7FF99" w:rsidR="00615E46" w:rsidRDefault="00615E46" w:rsidP="00FD38A5">
      <w:pPr>
        <w:pStyle w:val="Textoindependiente"/>
        <w:spacing w:before="17"/>
        <w:ind w:left="720" w:right="1356"/>
        <w:rPr>
          <w:b/>
          <w:bCs/>
          <w:lang w:val="es-CO"/>
        </w:rPr>
      </w:pPr>
      <w:r w:rsidRPr="00615E46">
        <w:rPr>
          <w:b/>
          <w:bCs/>
          <w:lang w:val="es-CO"/>
        </w:rPr>
        <w:t>Tips</w:t>
      </w:r>
      <w:r w:rsidR="00FD38A5">
        <w:rPr>
          <w:b/>
          <w:bCs/>
          <w:lang w:val="es-CO"/>
        </w:rPr>
        <w:t>:</w:t>
      </w:r>
    </w:p>
    <w:p w14:paraId="2A7D5BAB" w14:textId="77777777" w:rsidR="00FD38A5" w:rsidRDefault="00FD38A5" w:rsidP="00FD38A5">
      <w:pPr>
        <w:pStyle w:val="Textoindependiente"/>
        <w:spacing w:before="17"/>
        <w:ind w:left="720" w:right="1356"/>
        <w:rPr>
          <w:b/>
          <w:bCs/>
          <w:lang w:val="es-CO"/>
        </w:rPr>
      </w:pPr>
    </w:p>
    <w:p w14:paraId="7AE580BC" w14:textId="1404015D" w:rsidR="00FD38A5" w:rsidRDefault="00FD38A5" w:rsidP="00FD38A5">
      <w:pPr>
        <w:pStyle w:val="Textoindependiente"/>
        <w:numPr>
          <w:ilvl w:val="0"/>
          <w:numId w:val="6"/>
        </w:numPr>
        <w:spacing w:before="17"/>
        <w:ind w:right="1356"/>
        <w:rPr>
          <w:lang w:val="es-CO"/>
        </w:rPr>
      </w:pPr>
      <w:r w:rsidRPr="00FD38A5">
        <w:rPr>
          <w:lang w:val="es-CO"/>
        </w:rPr>
        <w:t>Mantenerse actualizado sobre las normativas emergentes para asegurar el cumplimiento y minimizar riesgos legales.</w:t>
      </w:r>
    </w:p>
    <w:p w14:paraId="4BCE1B48" w14:textId="7A04AF29" w:rsidR="00FD38A5" w:rsidRDefault="00C55B63" w:rsidP="00FD38A5">
      <w:pPr>
        <w:pStyle w:val="Textoindependiente"/>
        <w:numPr>
          <w:ilvl w:val="0"/>
          <w:numId w:val="6"/>
        </w:numPr>
        <w:spacing w:before="17"/>
        <w:ind w:right="1356"/>
        <w:rPr>
          <w:lang w:val="es-CO"/>
        </w:rPr>
      </w:pPr>
      <w:r w:rsidRPr="00C55B63">
        <w:rPr>
          <w:lang w:val="es-CO"/>
        </w:rPr>
        <w:t>Desarrollar productos que promuevan la responsabilidad financiera y cumplan con los estándares regulatorios.</w:t>
      </w:r>
    </w:p>
    <w:p w14:paraId="70931730" w14:textId="77777777" w:rsidR="00D07097" w:rsidRDefault="00D07097" w:rsidP="00D07097">
      <w:pPr>
        <w:pStyle w:val="Textoindependiente"/>
        <w:spacing w:before="17"/>
        <w:ind w:right="1356"/>
        <w:rPr>
          <w:lang w:val="es-CO"/>
        </w:rPr>
      </w:pPr>
    </w:p>
    <w:p w14:paraId="4D809C55" w14:textId="77777777" w:rsidR="00D07097" w:rsidRDefault="00D07097" w:rsidP="00D07097">
      <w:pPr>
        <w:pStyle w:val="Prrafodelista"/>
      </w:pPr>
    </w:p>
    <w:p w14:paraId="59FA3FA5" w14:textId="77777777" w:rsidR="00D07097" w:rsidRDefault="00D07097" w:rsidP="00D07097">
      <w:pPr>
        <w:pStyle w:val="Textoindependiente"/>
        <w:numPr>
          <w:ilvl w:val="0"/>
          <w:numId w:val="1"/>
        </w:numPr>
        <w:spacing w:before="17"/>
        <w:ind w:right="1356"/>
        <w:jc w:val="both"/>
        <w:rPr>
          <w:b/>
          <w:bCs/>
          <w:lang w:val="es-CO"/>
        </w:rPr>
      </w:pPr>
      <w:r w:rsidRPr="005A52BB">
        <w:rPr>
          <w:b/>
          <w:bCs/>
          <w:lang w:val="es-CO"/>
        </w:rPr>
        <w:t>Económicos</w:t>
      </w:r>
    </w:p>
    <w:p w14:paraId="706883D1" w14:textId="77777777" w:rsidR="00D07097" w:rsidRDefault="00D07097" w:rsidP="00D07097">
      <w:pPr>
        <w:pStyle w:val="Textoindependiente"/>
        <w:spacing w:before="17"/>
        <w:ind w:left="720" w:right="1356"/>
        <w:jc w:val="both"/>
        <w:rPr>
          <w:b/>
          <w:bCs/>
          <w:lang w:val="es-CO"/>
        </w:rPr>
      </w:pPr>
    </w:p>
    <w:p w14:paraId="7495D1D3" w14:textId="77777777" w:rsidR="00D07097" w:rsidRDefault="00D07097" w:rsidP="00D07097">
      <w:pPr>
        <w:pStyle w:val="Textoindependiente"/>
        <w:spacing w:before="17"/>
        <w:ind w:left="720" w:right="1356"/>
        <w:rPr>
          <w:lang w:val="es-CO"/>
        </w:rPr>
      </w:pPr>
      <w:r w:rsidRPr="004C713B">
        <w:rPr>
          <w:b/>
          <w:bCs/>
          <w:lang w:val="es-CO"/>
        </w:rPr>
        <w:t>Actual:</w:t>
      </w:r>
      <w:r w:rsidRPr="004C713B">
        <w:rPr>
          <w:lang w:val="es-CO"/>
        </w:rPr>
        <w:t xml:space="preserve"> Inflación y tasas de interés en aumento impactan la capacidad de los consumidores para acceder a crédito y gestionar sus deudas.</w:t>
      </w:r>
    </w:p>
    <w:p w14:paraId="329F70E2" w14:textId="77777777" w:rsidR="00D07097" w:rsidRDefault="00D07097" w:rsidP="00D07097">
      <w:pPr>
        <w:pStyle w:val="Textoindependiente"/>
        <w:spacing w:before="17"/>
        <w:ind w:left="720" w:right="1356"/>
        <w:rPr>
          <w:lang w:val="es-CO"/>
        </w:rPr>
      </w:pPr>
    </w:p>
    <w:p w14:paraId="29BA50DD" w14:textId="77777777" w:rsidR="00D07097" w:rsidRDefault="00D07097" w:rsidP="00D07097">
      <w:pPr>
        <w:pStyle w:val="Textoindependiente"/>
        <w:spacing w:before="17"/>
        <w:ind w:left="720" w:right="1356"/>
        <w:rPr>
          <w:lang w:val="es-CO"/>
        </w:rPr>
      </w:pPr>
      <w:r>
        <w:rPr>
          <w:lang w:val="es-CO"/>
        </w:rPr>
        <w:t>No historial crediticio que afecta a personas que apenas están comenzando su vida crediticia.</w:t>
      </w:r>
    </w:p>
    <w:p w14:paraId="6BBD020D" w14:textId="77777777" w:rsidR="00D07097" w:rsidRPr="0056324A" w:rsidRDefault="00D07097" w:rsidP="00D07097">
      <w:pPr>
        <w:pStyle w:val="Textoindependiente"/>
        <w:spacing w:before="17"/>
        <w:ind w:left="720" w:right="1356"/>
        <w:rPr>
          <w:b/>
          <w:bCs/>
          <w:lang w:val="es-CO"/>
        </w:rPr>
      </w:pPr>
    </w:p>
    <w:p w14:paraId="4D04AFC6" w14:textId="77777777" w:rsidR="00D07097" w:rsidRDefault="00D07097" w:rsidP="00D07097">
      <w:pPr>
        <w:pStyle w:val="Textoindependiente"/>
        <w:spacing w:before="17"/>
        <w:ind w:left="720" w:right="1356"/>
        <w:rPr>
          <w:lang w:val="es-CO"/>
        </w:rPr>
      </w:pPr>
      <w:r w:rsidRPr="0056324A">
        <w:rPr>
          <w:b/>
          <w:bCs/>
          <w:lang w:val="es-CO"/>
        </w:rPr>
        <w:t>Futuro:</w:t>
      </w:r>
      <w:r w:rsidRPr="00C66372">
        <w:t xml:space="preserve"> E</w:t>
      </w:r>
      <w:r w:rsidRPr="00C66372">
        <w:rPr>
          <w:lang w:val="es-CO"/>
        </w:rPr>
        <w:t>xpectativas de estabilización o ajustes en las tasas de interés por parte de los bancos centrales.</w:t>
      </w:r>
    </w:p>
    <w:p w14:paraId="47D80CEE" w14:textId="77777777" w:rsidR="00D07097" w:rsidRDefault="00D07097" w:rsidP="00D07097">
      <w:pPr>
        <w:pStyle w:val="Textoindependiente"/>
        <w:spacing w:before="17"/>
        <w:ind w:left="720" w:right="1356"/>
        <w:rPr>
          <w:lang w:val="es-CO"/>
        </w:rPr>
      </w:pPr>
      <w:r w:rsidRPr="004300B2">
        <w:rPr>
          <w:lang w:val="es-CO"/>
        </w:rPr>
        <w:lastRenderedPageBreak/>
        <w:t>Mayor atención a modelos de crédito alternativo y productos financieros adaptados a segmentos no bancarizados.</w:t>
      </w:r>
    </w:p>
    <w:p w14:paraId="4674E3AC" w14:textId="77777777" w:rsidR="00D07097" w:rsidRDefault="00D07097" w:rsidP="00D07097">
      <w:pPr>
        <w:pStyle w:val="Textoindependiente"/>
        <w:spacing w:before="17"/>
        <w:ind w:left="720" w:right="1356"/>
        <w:rPr>
          <w:lang w:val="es-CO"/>
        </w:rPr>
      </w:pPr>
    </w:p>
    <w:p w14:paraId="0D4F15D4" w14:textId="77777777" w:rsidR="00D07097" w:rsidRDefault="00D07097" w:rsidP="00D07097">
      <w:pPr>
        <w:pStyle w:val="Textoindependiente"/>
        <w:spacing w:before="17"/>
        <w:ind w:left="720" w:right="1356"/>
        <w:rPr>
          <w:b/>
          <w:bCs/>
          <w:lang w:val="es-CO"/>
        </w:rPr>
      </w:pPr>
      <w:r w:rsidRPr="004300B2">
        <w:rPr>
          <w:b/>
          <w:bCs/>
          <w:lang w:val="es-CO"/>
        </w:rPr>
        <w:t>Tips</w:t>
      </w:r>
    </w:p>
    <w:p w14:paraId="2E051F6A" w14:textId="77777777" w:rsidR="00D07097" w:rsidRDefault="00D07097" w:rsidP="00D07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136F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Diversificar las opciones de crédito para atraer a clientes de diferentes perfiles económicos.</w:t>
      </w:r>
    </w:p>
    <w:p w14:paraId="1592DE3B" w14:textId="77777777" w:rsidR="00D07097" w:rsidRDefault="00D07097" w:rsidP="00D0709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4230B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Desarrollar productos financieros más flexibles que respondan a las variaciones económicas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3D153CC1" w14:textId="77777777" w:rsidR="00D07097" w:rsidRDefault="00D07097" w:rsidP="00D0709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60ACDB7" w14:textId="77777777" w:rsidR="00D07097" w:rsidRDefault="00D07097" w:rsidP="00D0709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BA080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Sociales y Demográficos</w:t>
      </w:r>
    </w:p>
    <w:p w14:paraId="3782A0AD" w14:textId="77777777" w:rsidR="00D07097" w:rsidRDefault="00D07097" w:rsidP="00D07097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95AD35B" w14:textId="77777777" w:rsidR="00D07097" w:rsidRDefault="00D07097" w:rsidP="00D07097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Actual</w:t>
      </w:r>
      <w:r w:rsidRPr="00632C2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  <w:r w:rsidRPr="00632C2A">
        <w:t xml:space="preserve"> </w:t>
      </w:r>
      <w:r w:rsidRPr="00632C2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Cambios en el comportamiento de los consumidores, con una mayor demanda de acceso a crédito rápido y flexible, especialmente en sectores más jóvenes y no bancarizados</w:t>
      </w:r>
      <w:r w:rsidRPr="00632C2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1C6B20FA" w14:textId="77777777" w:rsidR="00D07097" w:rsidRDefault="00D07097" w:rsidP="00D07097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4DCE545" w14:textId="77777777" w:rsidR="00D07097" w:rsidRDefault="00D07097" w:rsidP="00D07097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Futuro:</w:t>
      </w:r>
      <w:r w:rsidRPr="005822D7">
        <w:t xml:space="preserve"> </w:t>
      </w:r>
      <w:r w:rsidRPr="005822D7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 generación mil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enial</w:t>
      </w:r>
      <w:r w:rsidRPr="005822D7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centennial dominará el mercado crediticio, con expectativas de mayor personalización, facilidad de uso y servicios accesibles digitalmente.</w:t>
      </w:r>
    </w:p>
    <w:p w14:paraId="395468BA" w14:textId="77777777" w:rsidR="00D07097" w:rsidRDefault="00D07097" w:rsidP="00D07097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7642672E" w14:textId="77777777" w:rsidR="00D07097" w:rsidRDefault="00D07097" w:rsidP="00D07097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726B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Aumento en la demanda de créditos sostenibles, donde las empresas financieras apoyen prácticas de consumo responsables y sostenibles.</w:t>
      </w:r>
    </w:p>
    <w:p w14:paraId="6C7D5814" w14:textId="77777777" w:rsidR="00D07097" w:rsidRDefault="00D07097" w:rsidP="00D07097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FA8E796" w14:textId="77777777" w:rsidR="00D07097" w:rsidRDefault="00D07097" w:rsidP="00D07097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9379C7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Tips</w:t>
      </w:r>
    </w:p>
    <w:p w14:paraId="2DC923C2" w14:textId="77777777" w:rsidR="00D07097" w:rsidRDefault="00D07097" w:rsidP="00D07097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86DA125" w14:textId="77777777" w:rsidR="00D07097" w:rsidRDefault="00D07097" w:rsidP="00D07097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C2C88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Ofrecer plataformas de educación financiera para ayudar a los clientes a tomar mejores decisiones.</w:t>
      </w:r>
    </w:p>
    <w:p w14:paraId="33B36DA3" w14:textId="02264B41" w:rsidR="00300B5D" w:rsidRPr="00C93E10" w:rsidRDefault="00D07097" w:rsidP="00C93E1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6E2DF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Crear productos específicos que se adapten a los valores y necesidades de los segmentos más jóvenes</w:t>
      </w:r>
      <w:r w:rsidR="00C93E1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636BE006" w14:textId="77777777" w:rsidR="00300B5D" w:rsidRDefault="00300B5D" w:rsidP="00004C1C">
      <w:pPr>
        <w:pStyle w:val="Textoindependiente"/>
        <w:spacing w:before="17"/>
        <w:ind w:left="0" w:right="1356"/>
        <w:rPr>
          <w:b/>
          <w:bCs/>
        </w:rPr>
      </w:pPr>
    </w:p>
    <w:p w14:paraId="4E098CB4" w14:textId="77777777" w:rsidR="00300B5D" w:rsidRDefault="00300B5D" w:rsidP="00004C1C">
      <w:pPr>
        <w:pStyle w:val="Textoindependiente"/>
        <w:spacing w:before="17"/>
        <w:ind w:left="0" w:right="1356"/>
        <w:rPr>
          <w:b/>
          <w:bCs/>
        </w:rPr>
      </w:pPr>
    </w:p>
    <w:p w14:paraId="6496FC7E" w14:textId="77777777" w:rsidR="0073389E" w:rsidRDefault="0073389E" w:rsidP="00004C1C">
      <w:pPr>
        <w:pStyle w:val="Textoindependiente"/>
        <w:spacing w:before="17"/>
        <w:ind w:left="0" w:right="1356"/>
        <w:rPr>
          <w:b/>
          <w:bCs/>
        </w:rPr>
      </w:pPr>
    </w:p>
    <w:p w14:paraId="23BCEFEC" w14:textId="42BC5326" w:rsidR="0073389E" w:rsidRDefault="0073389E" w:rsidP="0073389E">
      <w:pPr>
        <w:pStyle w:val="Textoindependiente"/>
        <w:numPr>
          <w:ilvl w:val="0"/>
          <w:numId w:val="1"/>
        </w:numPr>
        <w:spacing w:before="17"/>
        <w:ind w:right="1356"/>
        <w:rPr>
          <w:b/>
          <w:bCs/>
        </w:rPr>
      </w:pPr>
      <w:r>
        <w:rPr>
          <w:b/>
          <w:bCs/>
        </w:rPr>
        <w:t xml:space="preserve">Tecnológicos </w:t>
      </w:r>
    </w:p>
    <w:p w14:paraId="73A48E99" w14:textId="2B9A45A8" w:rsidR="004932DA" w:rsidRDefault="004932DA" w:rsidP="004932DA">
      <w:pPr>
        <w:pStyle w:val="Textoindependiente"/>
        <w:spacing w:before="17"/>
        <w:ind w:right="1356"/>
        <w:rPr>
          <w:b/>
          <w:bCs/>
        </w:rPr>
      </w:pPr>
      <w:r>
        <w:rPr>
          <w:b/>
          <w:bCs/>
        </w:rPr>
        <w:t xml:space="preserve"> </w:t>
      </w:r>
    </w:p>
    <w:p w14:paraId="381C0162" w14:textId="682ACFD2" w:rsidR="004932DA" w:rsidRDefault="004932DA" w:rsidP="00EF6FEA">
      <w:pPr>
        <w:pStyle w:val="Textoindependiente"/>
        <w:spacing w:before="17"/>
        <w:ind w:right="1356"/>
      </w:pPr>
      <w:r w:rsidRPr="00275476">
        <w:rPr>
          <w:b/>
          <w:bCs/>
        </w:rPr>
        <w:t>Actual</w:t>
      </w:r>
      <w:r w:rsidRPr="00275476">
        <w:t>:</w:t>
      </w:r>
      <w:r w:rsidR="00EF6FEA" w:rsidRPr="00275476">
        <w:t xml:space="preserve"> </w:t>
      </w:r>
      <w:r w:rsidR="00EF6FEA" w:rsidRPr="00275476">
        <w:t>La digitalización de los servicios financieros está revolucionando la experiencia del usuario, enfocándose en la automatización de procesos como la aprobación de créditos, la gestión de riesgos y la personalización de productos.</w:t>
      </w:r>
    </w:p>
    <w:p w14:paraId="26233F09" w14:textId="77777777" w:rsidR="00CB3428" w:rsidRDefault="00CB3428" w:rsidP="00EF6FEA">
      <w:pPr>
        <w:pStyle w:val="Textoindependiente"/>
        <w:spacing w:before="17"/>
        <w:ind w:right="1356"/>
      </w:pPr>
    </w:p>
    <w:p w14:paraId="6084562A" w14:textId="4408F559" w:rsidR="00042869" w:rsidRDefault="00CB3428" w:rsidP="00042869">
      <w:pPr>
        <w:pStyle w:val="Textoindependiente"/>
        <w:spacing w:before="17"/>
        <w:ind w:right="1356"/>
        <w:jc w:val="both"/>
        <w:rPr>
          <w:lang w:val="es-CO"/>
        </w:rPr>
      </w:pPr>
      <w:r w:rsidRPr="00CB3428">
        <w:rPr>
          <w:b/>
          <w:bCs/>
        </w:rPr>
        <w:t>Futura:</w:t>
      </w:r>
      <w:r w:rsidR="00042869" w:rsidRPr="00042869">
        <w:rPr>
          <w:rFonts w:ascii="Times New Roman" w:eastAsia="Times New Roman" w:hAnsi="Symbol" w:cs="Times New Roman"/>
          <w:lang w:eastAsia="es-CO"/>
        </w:rPr>
        <w:t xml:space="preserve"> </w:t>
      </w:r>
      <w:r w:rsidR="00042869" w:rsidRPr="00042869">
        <w:rPr>
          <w:lang w:val="es-CO"/>
        </w:rPr>
        <w:t>Uso extendido de big data e IA para analizar grandes volúmenes de datos y predecir comportamientos financieros de manera más precisa.</w:t>
      </w:r>
    </w:p>
    <w:p w14:paraId="0EE8BA69" w14:textId="77777777" w:rsidR="00584A0F" w:rsidRDefault="00584A0F" w:rsidP="00042869">
      <w:pPr>
        <w:pStyle w:val="Textoindependiente"/>
        <w:spacing w:before="17"/>
        <w:ind w:right="1356"/>
        <w:jc w:val="both"/>
        <w:rPr>
          <w:lang w:val="es-CO"/>
        </w:rPr>
      </w:pPr>
    </w:p>
    <w:p w14:paraId="7C044B25" w14:textId="1223C7F4" w:rsidR="00584A0F" w:rsidRDefault="000E37C0" w:rsidP="00042869">
      <w:pPr>
        <w:pStyle w:val="Textoindependiente"/>
        <w:spacing w:before="17"/>
        <w:ind w:right="1356"/>
        <w:jc w:val="both"/>
        <w:rPr>
          <w:lang w:val="es-CO"/>
        </w:rPr>
      </w:pPr>
      <w:r>
        <w:rPr>
          <w:lang w:val="es-CO"/>
        </w:rPr>
        <w:lastRenderedPageBreak/>
        <w:t>Integración de</w:t>
      </w:r>
      <w:r w:rsidR="003E7C2A">
        <w:rPr>
          <w:lang w:val="es-CO"/>
        </w:rPr>
        <w:t xml:space="preserve"> plataformas </w:t>
      </w:r>
      <w:r>
        <w:rPr>
          <w:lang w:val="es-CO"/>
        </w:rPr>
        <w:t>Móviles y</w:t>
      </w:r>
      <w:r w:rsidR="003E7C2A">
        <w:rPr>
          <w:lang w:val="es-CO"/>
        </w:rPr>
        <w:t xml:space="preserve"> superapps financieras que permitan ofrecer </w:t>
      </w:r>
      <w:r w:rsidR="008E2AF8">
        <w:rPr>
          <w:lang w:val="es-CO"/>
        </w:rPr>
        <w:t>servicios integrados</w:t>
      </w:r>
      <w:r>
        <w:rPr>
          <w:lang w:val="es-CO"/>
        </w:rPr>
        <w:t xml:space="preserve"> desde un solo lugar </w:t>
      </w:r>
    </w:p>
    <w:p w14:paraId="455740A7" w14:textId="77777777" w:rsidR="008669FE" w:rsidRDefault="008669FE" w:rsidP="00042869">
      <w:pPr>
        <w:pStyle w:val="Textoindependiente"/>
        <w:spacing w:before="17"/>
        <w:ind w:right="1356"/>
        <w:jc w:val="both"/>
        <w:rPr>
          <w:lang w:val="es-CO"/>
        </w:rPr>
      </w:pPr>
    </w:p>
    <w:p w14:paraId="32E3ECE6" w14:textId="2B16E62F" w:rsidR="008669FE" w:rsidRPr="008669FE" w:rsidRDefault="008669FE" w:rsidP="00042869">
      <w:pPr>
        <w:pStyle w:val="Textoindependiente"/>
        <w:spacing w:before="17"/>
        <w:ind w:right="1356"/>
        <w:jc w:val="both"/>
        <w:rPr>
          <w:b/>
          <w:bCs/>
          <w:lang w:val="es-CO"/>
        </w:rPr>
      </w:pPr>
      <w:r w:rsidRPr="008669FE">
        <w:rPr>
          <w:b/>
          <w:bCs/>
          <w:lang w:val="es-CO"/>
        </w:rPr>
        <w:t>Tips:</w:t>
      </w:r>
    </w:p>
    <w:p w14:paraId="5135311C" w14:textId="046B54B8" w:rsidR="00584A0F" w:rsidRDefault="007C707F" w:rsidP="003C1E4E">
      <w:pPr>
        <w:pStyle w:val="Textoindependiente"/>
        <w:numPr>
          <w:ilvl w:val="0"/>
          <w:numId w:val="2"/>
        </w:numPr>
        <w:spacing w:before="17"/>
        <w:ind w:right="1356"/>
        <w:jc w:val="both"/>
        <w:rPr>
          <w:lang w:val="es-CO"/>
        </w:rPr>
      </w:pPr>
      <w:r>
        <w:rPr>
          <w:lang w:val="es-CO"/>
        </w:rPr>
        <w:t xml:space="preserve">Invertir en </w:t>
      </w:r>
      <w:r w:rsidRPr="007C707F">
        <w:rPr>
          <w:lang w:val="es-CO"/>
        </w:rPr>
        <w:t>Herramientas de análisis avanzado</w:t>
      </w:r>
      <w:r w:rsidR="00856733">
        <w:rPr>
          <w:lang w:val="es-CO"/>
        </w:rPr>
        <w:t xml:space="preserve"> ya que</w:t>
      </w:r>
      <w:r w:rsidRPr="007C707F">
        <w:rPr>
          <w:lang w:val="es-CO"/>
        </w:rPr>
        <w:t xml:space="preserve"> permiten comprender mejor las necesidades y comportamientos de los clientes, facilitando la personalización de productos y servicios.</w:t>
      </w:r>
    </w:p>
    <w:p w14:paraId="61AFCFD9" w14:textId="77777777" w:rsidR="00856733" w:rsidRDefault="00856733" w:rsidP="00042869">
      <w:pPr>
        <w:pStyle w:val="Textoindependiente"/>
        <w:spacing w:before="17"/>
        <w:ind w:right="1356"/>
        <w:jc w:val="both"/>
        <w:rPr>
          <w:lang w:val="es-CO"/>
        </w:rPr>
      </w:pPr>
    </w:p>
    <w:p w14:paraId="263BBE9E" w14:textId="64968F3B" w:rsidR="00856733" w:rsidRDefault="003C1E4E" w:rsidP="003C1E4E">
      <w:pPr>
        <w:pStyle w:val="Textoindependiente"/>
        <w:numPr>
          <w:ilvl w:val="0"/>
          <w:numId w:val="2"/>
        </w:numPr>
        <w:spacing w:before="17"/>
        <w:ind w:right="1356"/>
        <w:jc w:val="both"/>
        <w:rPr>
          <w:lang w:val="es-CO"/>
        </w:rPr>
      </w:pPr>
      <w:r w:rsidRPr="003C1E4E">
        <w:rPr>
          <w:lang w:val="es-CO"/>
        </w:rPr>
        <w:t>Invertir en tecnología para ofrecer una experiencia de cliente digital de primer nivel</w:t>
      </w:r>
      <w:r>
        <w:rPr>
          <w:lang w:val="es-CO"/>
        </w:rPr>
        <w:t>.</w:t>
      </w:r>
    </w:p>
    <w:p w14:paraId="12374531" w14:textId="77777777" w:rsidR="00761E2D" w:rsidRDefault="00761E2D" w:rsidP="00761E2D">
      <w:pPr>
        <w:pStyle w:val="Prrafodelista"/>
      </w:pPr>
    </w:p>
    <w:p w14:paraId="1ED9524E" w14:textId="36B6BB4B" w:rsidR="00761E2D" w:rsidRDefault="00A32371" w:rsidP="00761E2D">
      <w:pPr>
        <w:pStyle w:val="Textoindependiente"/>
        <w:numPr>
          <w:ilvl w:val="0"/>
          <w:numId w:val="1"/>
        </w:numPr>
        <w:spacing w:before="17"/>
        <w:ind w:right="1356"/>
        <w:jc w:val="both"/>
        <w:rPr>
          <w:b/>
          <w:bCs/>
          <w:lang w:val="es-CO"/>
        </w:rPr>
      </w:pPr>
      <w:r w:rsidRPr="00A32371">
        <w:rPr>
          <w:b/>
          <w:bCs/>
          <w:lang w:val="es-CO"/>
        </w:rPr>
        <w:t xml:space="preserve">Ecológicos </w:t>
      </w:r>
    </w:p>
    <w:p w14:paraId="70ACBD0B" w14:textId="77777777" w:rsidR="00A32371" w:rsidRDefault="00A32371" w:rsidP="00A32371">
      <w:pPr>
        <w:pStyle w:val="Textoindependiente"/>
        <w:spacing w:before="17"/>
        <w:ind w:right="1356"/>
        <w:jc w:val="both"/>
        <w:rPr>
          <w:b/>
          <w:bCs/>
          <w:lang w:val="es-CO"/>
        </w:rPr>
      </w:pPr>
    </w:p>
    <w:p w14:paraId="19B65D02" w14:textId="1CB105B5" w:rsidR="00A32371" w:rsidRDefault="00A32371" w:rsidP="00A32371">
      <w:pPr>
        <w:pStyle w:val="Textoindependiente"/>
        <w:spacing w:before="17"/>
        <w:ind w:right="1356"/>
        <w:jc w:val="both"/>
        <w:rPr>
          <w:lang w:val="es-CO"/>
        </w:rPr>
      </w:pPr>
      <w:r>
        <w:rPr>
          <w:b/>
          <w:bCs/>
          <w:lang w:val="es-CO"/>
        </w:rPr>
        <w:t>Actual</w:t>
      </w:r>
      <w:r w:rsidR="00562E92">
        <w:rPr>
          <w:b/>
          <w:bCs/>
          <w:lang w:val="es-CO"/>
        </w:rPr>
        <w:t>:</w:t>
      </w:r>
      <w:r w:rsidR="00562E92" w:rsidRPr="00562E92">
        <w:t xml:space="preserve"> </w:t>
      </w:r>
      <w:r w:rsidR="00562E92" w:rsidRPr="00562E92">
        <w:rPr>
          <w:lang w:val="es-CO"/>
        </w:rPr>
        <w:t>Aún no muy relevante en el sector financiero tradicional, pero la sostenibilidad está comenzando a ser un factor de decisión para algunos clientes</w:t>
      </w:r>
      <w:r w:rsidR="00562E92">
        <w:rPr>
          <w:lang w:val="es-CO"/>
        </w:rPr>
        <w:t>.</w:t>
      </w:r>
    </w:p>
    <w:p w14:paraId="57F715CA" w14:textId="77777777" w:rsidR="00562E92" w:rsidRDefault="00562E92" w:rsidP="00A32371">
      <w:pPr>
        <w:pStyle w:val="Textoindependiente"/>
        <w:spacing w:before="17"/>
        <w:ind w:right="1356"/>
        <w:jc w:val="both"/>
        <w:rPr>
          <w:lang w:val="es-CO"/>
        </w:rPr>
      </w:pPr>
    </w:p>
    <w:p w14:paraId="08C2C666" w14:textId="7CE9C29E" w:rsidR="00562E92" w:rsidRDefault="00562E92" w:rsidP="00A32371">
      <w:pPr>
        <w:pStyle w:val="Textoindependiente"/>
        <w:spacing w:before="17"/>
        <w:ind w:right="1356"/>
        <w:jc w:val="both"/>
        <w:rPr>
          <w:lang w:val="es-CO"/>
        </w:rPr>
      </w:pPr>
      <w:r w:rsidRPr="00562E92">
        <w:rPr>
          <w:b/>
          <w:bCs/>
          <w:lang w:val="es-CO"/>
        </w:rPr>
        <w:t>Futuro:</w:t>
      </w:r>
      <w:r w:rsidR="00C47959" w:rsidRPr="00C47959">
        <w:t xml:space="preserve"> </w:t>
      </w:r>
      <w:r w:rsidR="00C47959" w:rsidRPr="00C47959">
        <w:rPr>
          <w:lang w:val="es-CO"/>
        </w:rPr>
        <w:t>Creciente presión para que las entidades financieras adopten políticas de sostenibilidad, ofreciendo productos que promuevan la protección ambiental o la eficiencia energética</w:t>
      </w:r>
      <w:r w:rsidR="003F6EF5">
        <w:rPr>
          <w:lang w:val="es-CO"/>
        </w:rPr>
        <w:t>.</w:t>
      </w:r>
    </w:p>
    <w:p w14:paraId="4D21E520" w14:textId="77777777" w:rsidR="003F6EF5" w:rsidRDefault="003F6EF5" w:rsidP="00A32371">
      <w:pPr>
        <w:pStyle w:val="Textoindependiente"/>
        <w:spacing w:before="17"/>
        <w:ind w:right="1356"/>
        <w:jc w:val="both"/>
        <w:rPr>
          <w:lang w:val="es-CO"/>
        </w:rPr>
      </w:pPr>
    </w:p>
    <w:p w14:paraId="00853B77" w14:textId="42593574" w:rsidR="003F6EF5" w:rsidRDefault="003F6EF5" w:rsidP="00A32371">
      <w:pPr>
        <w:pStyle w:val="Textoindependiente"/>
        <w:spacing w:before="17"/>
        <w:ind w:right="1356"/>
        <w:jc w:val="both"/>
        <w:rPr>
          <w:b/>
          <w:bCs/>
          <w:lang w:val="es-CO"/>
        </w:rPr>
      </w:pPr>
      <w:r w:rsidRPr="003F6EF5">
        <w:rPr>
          <w:b/>
          <w:bCs/>
          <w:lang w:val="es-CO"/>
        </w:rPr>
        <w:t>Tips</w:t>
      </w:r>
    </w:p>
    <w:p w14:paraId="7212AFBB" w14:textId="77777777" w:rsidR="003F6EF5" w:rsidRDefault="003F6EF5" w:rsidP="00A32371">
      <w:pPr>
        <w:pStyle w:val="Textoindependiente"/>
        <w:spacing w:before="17"/>
        <w:ind w:right="1356"/>
        <w:jc w:val="both"/>
        <w:rPr>
          <w:b/>
          <w:bCs/>
          <w:lang w:val="es-CO"/>
        </w:rPr>
      </w:pPr>
    </w:p>
    <w:p w14:paraId="7B4BB603" w14:textId="3318DCED" w:rsidR="003F6EF5" w:rsidRDefault="00511F79" w:rsidP="003F6EF5">
      <w:pPr>
        <w:pStyle w:val="Textoindependiente"/>
        <w:numPr>
          <w:ilvl w:val="0"/>
          <w:numId w:val="8"/>
        </w:numPr>
        <w:spacing w:before="17"/>
        <w:ind w:right="1356"/>
        <w:jc w:val="both"/>
        <w:rPr>
          <w:lang w:val="es-CO"/>
        </w:rPr>
      </w:pPr>
      <w:r w:rsidRPr="00511F79">
        <w:rPr>
          <w:lang w:val="es-CO"/>
        </w:rPr>
        <w:t>Evaluar la posibilidad de ofrecer productos crediticios relacionados con prácticas ambientales sostenibles.</w:t>
      </w:r>
    </w:p>
    <w:p w14:paraId="27864C0F" w14:textId="5D3ECF6A" w:rsidR="00511F79" w:rsidRDefault="005E7E5E" w:rsidP="003F6EF5">
      <w:pPr>
        <w:pStyle w:val="Textoindependiente"/>
        <w:numPr>
          <w:ilvl w:val="0"/>
          <w:numId w:val="8"/>
        </w:numPr>
        <w:spacing w:before="17"/>
        <w:ind w:right="1356"/>
        <w:jc w:val="both"/>
        <w:rPr>
          <w:lang w:val="es-CO"/>
        </w:rPr>
      </w:pPr>
      <w:r>
        <w:rPr>
          <w:lang w:val="es-CO"/>
        </w:rPr>
        <w:t xml:space="preserve"> Que sistecredito sea reconocida por </w:t>
      </w:r>
      <w:r w:rsidRPr="005E7E5E">
        <w:rPr>
          <w:lang w:val="es-CO"/>
        </w:rPr>
        <w:t>Apoyar iniciativas internas de sostenibilidad como parte de la responsabilidad social empresarial</w:t>
      </w:r>
      <w:r>
        <w:rPr>
          <w:lang w:val="es-CO"/>
        </w:rPr>
        <w:t>.</w:t>
      </w:r>
    </w:p>
    <w:p w14:paraId="32B6069D" w14:textId="77777777" w:rsidR="004D0CD3" w:rsidRDefault="004D0CD3" w:rsidP="004D0CD3">
      <w:pPr>
        <w:pStyle w:val="Textoindependiente"/>
        <w:spacing w:before="17"/>
        <w:ind w:left="1553" w:right="1356"/>
        <w:jc w:val="both"/>
        <w:rPr>
          <w:lang w:val="es-CO"/>
        </w:rPr>
      </w:pPr>
    </w:p>
    <w:p w14:paraId="34B1DBF1" w14:textId="395E9045" w:rsidR="00962103" w:rsidRPr="00962103" w:rsidRDefault="008147C6" w:rsidP="00857D5A">
      <w:pPr>
        <w:pStyle w:val="Textoindependiente"/>
        <w:ind w:left="0" w:right="1356"/>
        <w:rPr>
          <w:b/>
          <w:bCs/>
          <w:u w:val="single"/>
        </w:rPr>
      </w:pPr>
      <w:r>
        <w:rPr>
          <w:b/>
          <w:bCs/>
          <w:w w:val="90"/>
          <w:u w:val="single"/>
        </w:rPr>
        <w:t xml:space="preserve"> </w:t>
      </w:r>
      <w:r w:rsidR="00962103" w:rsidRPr="00962103">
        <w:rPr>
          <w:b/>
          <w:bCs/>
          <w:w w:val="90"/>
          <w:u w:val="single"/>
        </w:rPr>
        <w:t>IDENTIFICACIÓN Y DEFINICIÓN DE FACTORES DE CAMBIO</w:t>
      </w:r>
    </w:p>
    <w:p w14:paraId="0BD86F39" w14:textId="77777777" w:rsidR="004D0CD3" w:rsidRPr="00962103" w:rsidRDefault="004D0CD3" w:rsidP="00962103">
      <w:pPr>
        <w:pStyle w:val="Textoindependiente"/>
        <w:spacing w:before="17"/>
        <w:ind w:left="1553" w:right="1356"/>
        <w:rPr>
          <w:b/>
          <w:bCs/>
          <w:u w:val="single"/>
          <w:lang w:val="es-CO"/>
        </w:rPr>
      </w:pPr>
    </w:p>
    <w:p w14:paraId="5D8FD547" w14:textId="77777777" w:rsidR="003C1E4E" w:rsidRPr="00962103" w:rsidRDefault="003C1E4E" w:rsidP="00962103">
      <w:pPr>
        <w:pStyle w:val="Prrafodelista"/>
        <w:rPr>
          <w:b/>
          <w:bCs/>
          <w:u w:val="single"/>
        </w:rPr>
      </w:pPr>
    </w:p>
    <w:p w14:paraId="66B4B94A" w14:textId="77777777" w:rsidR="001F715C" w:rsidRPr="00BA0809" w:rsidRDefault="001F715C" w:rsidP="001F715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34E8A6CF" w14:textId="77777777" w:rsidR="00194235" w:rsidRPr="004300B2" w:rsidRDefault="00194235" w:rsidP="0012306D">
      <w:pPr>
        <w:pStyle w:val="Textoindependiente"/>
        <w:spacing w:before="17"/>
        <w:ind w:right="1356"/>
        <w:rPr>
          <w:b/>
          <w:bCs/>
          <w:lang w:val="es-CO"/>
        </w:rPr>
      </w:pPr>
    </w:p>
    <w:p w14:paraId="259B3B6F" w14:textId="77777777" w:rsidR="00194235" w:rsidRPr="004C713B" w:rsidRDefault="00194235" w:rsidP="0012306D">
      <w:pPr>
        <w:pStyle w:val="Textoindependiente"/>
        <w:spacing w:before="17"/>
        <w:ind w:right="1356"/>
        <w:rPr>
          <w:lang w:val="es-CO"/>
        </w:rPr>
      </w:pPr>
    </w:p>
    <w:p w14:paraId="72C459CD" w14:textId="77777777" w:rsidR="00194235" w:rsidRPr="00042869" w:rsidRDefault="00194235" w:rsidP="00042869">
      <w:pPr>
        <w:pStyle w:val="Textoindependiente"/>
        <w:spacing w:before="17"/>
        <w:ind w:right="1356"/>
        <w:jc w:val="both"/>
        <w:rPr>
          <w:lang w:val="es-CO"/>
        </w:rPr>
      </w:pPr>
    </w:p>
    <w:p w14:paraId="7F438CA6" w14:textId="7983D7BB" w:rsidR="00CB3428" w:rsidRPr="00042869" w:rsidRDefault="00CB3428" w:rsidP="00042869">
      <w:pPr>
        <w:pStyle w:val="Textoindependiente"/>
        <w:spacing w:before="17"/>
        <w:ind w:right="1356"/>
        <w:jc w:val="both"/>
      </w:pPr>
    </w:p>
    <w:p w14:paraId="39764685" w14:textId="77777777" w:rsidR="00BF15B7" w:rsidRPr="00275476" w:rsidRDefault="00BF15B7" w:rsidP="00EF6FEA">
      <w:pPr>
        <w:pStyle w:val="Textoindependiente"/>
        <w:spacing w:before="17"/>
        <w:ind w:left="0" w:right="1356"/>
        <w:rPr>
          <w:u w:val="single"/>
        </w:rPr>
      </w:pPr>
    </w:p>
    <w:p w14:paraId="1DAB596C" w14:textId="1D7BDDF2" w:rsidR="00216C25" w:rsidRPr="00216C25" w:rsidRDefault="00216C25" w:rsidP="00027A8E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216C25" w:rsidRPr="00216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3AA7"/>
    <w:multiLevelType w:val="multilevel"/>
    <w:tmpl w:val="926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389A"/>
    <w:multiLevelType w:val="hybridMultilevel"/>
    <w:tmpl w:val="62326DF2"/>
    <w:lvl w:ilvl="0" w:tplc="240A000D">
      <w:start w:val="1"/>
      <w:numFmt w:val="bullet"/>
      <w:lvlText w:val=""/>
      <w:lvlJc w:val="left"/>
      <w:pPr>
        <w:ind w:left="155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" w15:restartNumberingAfterBreak="0">
    <w:nsid w:val="17C77441"/>
    <w:multiLevelType w:val="hybridMultilevel"/>
    <w:tmpl w:val="48567D5C"/>
    <w:lvl w:ilvl="0" w:tplc="240A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5167036"/>
    <w:multiLevelType w:val="hybridMultilevel"/>
    <w:tmpl w:val="B9F8CE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C7594"/>
    <w:multiLevelType w:val="hybridMultilevel"/>
    <w:tmpl w:val="8FDC6E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42942"/>
    <w:multiLevelType w:val="hybridMultilevel"/>
    <w:tmpl w:val="AAA4017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7F3416"/>
    <w:multiLevelType w:val="hybridMultilevel"/>
    <w:tmpl w:val="FFF6087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6E244F"/>
    <w:multiLevelType w:val="hybridMultilevel"/>
    <w:tmpl w:val="6CBE202A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0317887">
    <w:abstractNumId w:val="3"/>
  </w:num>
  <w:num w:numId="2" w16cid:durableId="1224296773">
    <w:abstractNumId w:val="2"/>
  </w:num>
  <w:num w:numId="3" w16cid:durableId="1156341524">
    <w:abstractNumId w:val="5"/>
  </w:num>
  <w:num w:numId="4" w16cid:durableId="1039934864">
    <w:abstractNumId w:val="0"/>
  </w:num>
  <w:num w:numId="5" w16cid:durableId="1310207134">
    <w:abstractNumId w:val="6"/>
  </w:num>
  <w:num w:numId="6" w16cid:durableId="222445886">
    <w:abstractNumId w:val="4"/>
  </w:num>
  <w:num w:numId="7" w16cid:durableId="590939332">
    <w:abstractNumId w:val="7"/>
  </w:num>
  <w:num w:numId="8" w16cid:durableId="117075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43"/>
    <w:rsid w:val="00004C1C"/>
    <w:rsid w:val="00027A8E"/>
    <w:rsid w:val="00042869"/>
    <w:rsid w:val="000E37C0"/>
    <w:rsid w:val="0012306D"/>
    <w:rsid w:val="001437C8"/>
    <w:rsid w:val="00170519"/>
    <w:rsid w:val="00194235"/>
    <w:rsid w:val="001F715C"/>
    <w:rsid w:val="00216C25"/>
    <w:rsid w:val="00275476"/>
    <w:rsid w:val="002F5E29"/>
    <w:rsid w:val="00300B5D"/>
    <w:rsid w:val="00332B4B"/>
    <w:rsid w:val="003C1E4E"/>
    <w:rsid w:val="003E7C2A"/>
    <w:rsid w:val="003F6EF5"/>
    <w:rsid w:val="004230BC"/>
    <w:rsid w:val="004300B2"/>
    <w:rsid w:val="004932DA"/>
    <w:rsid w:val="004C713B"/>
    <w:rsid w:val="004D0CD3"/>
    <w:rsid w:val="00511F79"/>
    <w:rsid w:val="00562E92"/>
    <w:rsid w:val="0056324A"/>
    <w:rsid w:val="00574843"/>
    <w:rsid w:val="005822D7"/>
    <w:rsid w:val="00584A0F"/>
    <w:rsid w:val="005A02C2"/>
    <w:rsid w:val="005A52BB"/>
    <w:rsid w:val="005E7E5E"/>
    <w:rsid w:val="00615E46"/>
    <w:rsid w:val="00632C2A"/>
    <w:rsid w:val="006E2DF6"/>
    <w:rsid w:val="00713BA7"/>
    <w:rsid w:val="0073389E"/>
    <w:rsid w:val="00761E2D"/>
    <w:rsid w:val="007C707F"/>
    <w:rsid w:val="008147C6"/>
    <w:rsid w:val="00856733"/>
    <w:rsid w:val="00857D5A"/>
    <w:rsid w:val="008669FE"/>
    <w:rsid w:val="00881F4C"/>
    <w:rsid w:val="008E2AF8"/>
    <w:rsid w:val="009379C7"/>
    <w:rsid w:val="00962103"/>
    <w:rsid w:val="00A32371"/>
    <w:rsid w:val="00AC2C88"/>
    <w:rsid w:val="00B136F1"/>
    <w:rsid w:val="00B8467A"/>
    <w:rsid w:val="00BA0809"/>
    <w:rsid w:val="00BD5270"/>
    <w:rsid w:val="00BF15B7"/>
    <w:rsid w:val="00C47959"/>
    <w:rsid w:val="00C55B63"/>
    <w:rsid w:val="00C66372"/>
    <w:rsid w:val="00C93E10"/>
    <w:rsid w:val="00CB3428"/>
    <w:rsid w:val="00CB4A1A"/>
    <w:rsid w:val="00D07097"/>
    <w:rsid w:val="00D338FB"/>
    <w:rsid w:val="00D726BC"/>
    <w:rsid w:val="00DD08C8"/>
    <w:rsid w:val="00E33AAB"/>
    <w:rsid w:val="00EF6FEA"/>
    <w:rsid w:val="00F3543A"/>
    <w:rsid w:val="00F50CEF"/>
    <w:rsid w:val="00FB6575"/>
    <w:rsid w:val="00FD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459C"/>
  <w15:chartTrackingRefBased/>
  <w15:docId w15:val="{683CBC3A-51EA-4218-8904-1B7C8403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843"/>
  </w:style>
  <w:style w:type="paragraph" w:styleId="Ttulo1">
    <w:name w:val="heading 1"/>
    <w:basedOn w:val="Normal"/>
    <w:next w:val="Normal"/>
    <w:link w:val="Ttulo1Car"/>
    <w:uiPriority w:val="9"/>
    <w:qFormat/>
    <w:rsid w:val="0057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4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4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4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8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8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8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8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8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8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8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8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8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8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843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027A8E"/>
    <w:pPr>
      <w:widowControl w:val="0"/>
      <w:autoSpaceDE w:val="0"/>
      <w:autoSpaceDN w:val="0"/>
      <w:spacing w:after="0" w:line="240" w:lineRule="auto"/>
      <w:ind w:left="833"/>
    </w:pPr>
    <w:rPr>
      <w:rFonts w:ascii="Arial" w:eastAsia="Arial" w:hAnsi="Arial" w:cs="Arial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27A8E"/>
    <w:rPr>
      <w:rFonts w:ascii="Arial" w:eastAsia="Arial" w:hAnsi="Arial" w:cs="Arial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64</cp:revision>
  <dcterms:created xsi:type="dcterms:W3CDTF">2024-10-15T01:10:00Z</dcterms:created>
  <dcterms:modified xsi:type="dcterms:W3CDTF">2024-10-15T02:48:00Z</dcterms:modified>
</cp:coreProperties>
</file>