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VIDHI</w:t>
      </w:r>
    </w:p>
    <w:p>
      <w:pPr>
        <w:jc w:val="center"/>
      </w:pPr>
      <w:r>
        <w:rPr>
          <w:b/>
          <w:color w:val="333333"/>
          <w:sz w:val="19"/>
        </w:rPr>
        <w:t>Compliance Monitoring &amp; Research Analyst | Policy Validation &amp; Non-Compliance Identification | Data-Driven Reporting</w:t>
      </w:r>
    </w:p>
    <w:p>
      <w:pPr>
        <w:jc w:val="center"/>
      </w:pPr>
      <w:r>
        <w:rPr>
          <w:sz w:val="18"/>
        </w:rPr>
        <w:t>Noida, Uttar Pradesh  |  +91 8368595213  |  vidhikanaujia@gmail.com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SUMMARY</w:t>
      </w:r>
    </w:p>
    <w:p>
      <w:r>
        <w:rPr>
          <w:sz w:val="19"/>
        </w:rPr>
        <w:t>Research and compliance-review professional with 1+ years of experience in compliance monitoring, secondary research, and data analysis across 15+ mandates. Skilled in identifying non-compliance against defined policy criteria, drawing inferences from research findings, and delivering analytical reports within stipulated timelines. Operates effectively in fast-moving, client-driven environments with strong logical reasoning, structured communication, and prompt decision-making.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EXPERIENCE</w:t>
      </w:r>
    </w:p>
    <w:p>
      <w:pPr>
        <w:tabs>
          <w:tab w:pos="9638" w:val="right"/>
        </w:tabs>
      </w:pPr>
      <w:r>
        <w:rPr>
          <w:b/>
          <w:sz w:val="20"/>
        </w:rPr>
        <w:t>Insights Opinion (B2B Research Firm) | Senior Research Associate</w:t>
      </w:r>
      <w:r>
        <w:rPr>
          <w:i/>
          <w:sz w:val="19"/>
        </w:rPr>
        <w:tab/>
        <w:t>March 2026 – Present</w:t>
      </w:r>
    </w:p>
    <w:p>
      <w:pPr>
        <w:pStyle w:val="ListBullet"/>
        <w:ind w:left="283"/>
      </w:pPr>
      <w:r>
        <w:rPr>
          <w:sz w:val="19"/>
        </w:rPr>
        <w:t>Perform compliance monitoring by validating 15–30 respondent/company profiles weekly against project-specific policy criteria (role, geography, industry, company size), identifying non-compliance before sign-off.</w:t>
      </w:r>
    </w:p>
    <w:p>
      <w:pPr>
        <w:pStyle w:val="ListBullet"/>
        <w:ind w:left="283"/>
      </w:pPr>
      <w:r>
        <w:rPr>
          <w:sz w:val="19"/>
        </w:rPr>
        <w:t>Conduct research using systematic secondary research tools, draw inferences, and conclude reviews in line with standard operating procedures and stipulated timelines.</w:t>
      </w:r>
    </w:p>
    <w:p>
      <w:pPr>
        <w:pStyle w:val="ListBullet"/>
        <w:ind w:left="283"/>
      </w:pPr>
      <w:r>
        <w:rPr>
          <w:sz w:val="19"/>
        </w:rPr>
        <w:t>Deliver analytical reports on compliance testing outcomes across 10–20 projects monthly, ensuring timely transmittal of review findings to senior stakeholders.</w:t>
      </w:r>
    </w:p>
    <w:p>
      <w:pPr>
        <w:pStyle w:val="ListBullet"/>
        <w:ind w:left="283"/>
      </w:pPr>
      <w:r>
        <w:rPr>
          <w:sz w:val="19"/>
        </w:rPr>
        <w:t>Safeguard data accuracy by reviewing completed transcripts against policy requirements, maintaining sub-5% error rate through structured inconsistency-flagging.</w:t>
      </w:r>
    </w:p>
    <w:p>
      <w:pPr>
        <w:pStyle w:val="ListBullet"/>
        <w:ind w:left="283"/>
      </w:pPr>
      <w:r>
        <w:rPr>
          <w:sz w:val="19"/>
        </w:rPr>
        <w:t>Mentor 4–5 associates in a multi-location, virtual-first setup; lead knowledge-transfer sessions and drive process efficiency improvements.</w:t>
      </w:r>
    </w:p>
    <w:p>
      <w:pPr>
        <w:tabs>
          <w:tab w:pos="9638" w:val="right"/>
        </w:tabs>
      </w:pPr>
      <w:r>
        <w:rPr>
          <w:b/>
          <w:sz w:val="20"/>
        </w:rPr>
        <w:t>Insights Opinion | Research Associate</w:t>
      </w:r>
      <w:r>
        <w:rPr>
          <w:i/>
          <w:sz w:val="19"/>
        </w:rPr>
        <w:tab/>
        <w:t>March 2025 – March 2026</w:t>
      </w:r>
    </w:p>
    <w:p>
      <w:pPr>
        <w:pStyle w:val="ListBullet"/>
        <w:ind w:left="283"/>
      </w:pPr>
      <w:r>
        <w:rPr>
          <w:sz w:val="19"/>
        </w:rPr>
        <w:t>Conducted secondary research across sectors and geographies using company filings, industry reports, and investor presentations to identify potential non-compliance and support risk assessments.</w:t>
      </w:r>
    </w:p>
    <w:p>
      <w:pPr>
        <w:pStyle w:val="ListBullet"/>
        <w:ind w:left="283"/>
      </w:pPr>
      <w:r>
        <w:rPr>
          <w:sz w:val="19"/>
        </w:rPr>
        <w:t>Reviewed screeners, routing logic, and qualification criteria for compliance against project-defined standards; flagged deviations for resolution.</w:t>
      </w:r>
    </w:p>
    <w:p>
      <w:pPr>
        <w:pStyle w:val="ListBullet"/>
        <w:ind w:left="283"/>
      </w:pPr>
      <w:r>
        <w:rPr>
          <w:sz w:val="19"/>
        </w:rPr>
        <w:t>Consolidated research findings into structured, client-ready reports for senior stakeholder review, delivering within process deadlines.</w:t>
      </w:r>
    </w:p>
    <w:p>
      <w:pPr>
        <w:pStyle w:val="ListBullet"/>
        <w:ind w:left="283"/>
      </w:pPr>
      <w:r>
        <w:rPr>
          <w:b/>
          <w:sz w:val="19"/>
        </w:rPr>
        <w:t xml:space="preserve">Recognition: </w:t>
      </w:r>
      <w:r>
        <w:rPr>
          <w:sz w:val="19"/>
        </w:rPr>
        <w:t>Best Performer (Sep 2025) — for accuracy, logical reasoning, and contribution to team KPIs.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EARLIER EXPERIENCE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Research Intern</w:t>
      </w:r>
      <w:r>
        <w:rPr>
          <w:i/>
          <w:sz w:val="19"/>
        </w:rPr>
        <w:tab/>
        <w:t>Sep 2024 – Nov 2024</w:t>
      </w:r>
    </w:p>
    <w:p>
      <w:pPr>
        <w:pStyle w:val="ListBullet"/>
        <w:ind w:left="283"/>
      </w:pPr>
      <w:r>
        <w:rPr>
          <w:sz w:val="19"/>
        </w:rPr>
        <w:t>Conducted 100+ primary research interviews; organized and validated 500+ data entries in Excel to support data analysis and business decision-making.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HR Intern</w:t>
      </w:r>
      <w:r>
        <w:rPr>
          <w:i/>
          <w:sz w:val="19"/>
        </w:rPr>
        <w:tab/>
        <w:t>Jul 2021 – Sep 2021</w:t>
      </w:r>
    </w:p>
    <w:p>
      <w:pPr>
        <w:pStyle w:val="ListBullet"/>
        <w:ind w:left="283"/>
      </w:pPr>
      <w:r>
        <w:rPr>
          <w:sz w:val="19"/>
        </w:rPr>
        <w:t>Screened 200+ candidate profiles against role criteria, coordinated 30+ interviews, and managed stakeholder communications.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EDUCATION</w:t>
      </w:r>
    </w:p>
    <w:p>
      <w:pPr>
        <w:tabs>
          <w:tab w:pos="9638" w:val="right"/>
        </w:tabs>
      </w:pPr>
      <w:r>
        <w:rPr>
          <w:b/>
          <w:sz w:val="19"/>
        </w:rPr>
        <w:t>MBA, Business Analytics</w:t>
      </w:r>
      <w:r>
        <w:rPr>
          <w:sz w:val="19"/>
        </w:rPr>
        <w:t xml:space="preserve"> | G.L. Bajaj</w:t>
      </w:r>
      <w:r>
        <w:rPr>
          <w:i/>
          <w:sz w:val="19"/>
        </w:rPr>
        <w:tab/>
        <w:t>2025</w:t>
      </w:r>
    </w:p>
    <w:p>
      <w:pPr>
        <w:tabs>
          <w:tab w:pos="9638" w:val="right"/>
        </w:tabs>
      </w:pPr>
      <w:r>
        <w:rPr>
          <w:b/>
          <w:sz w:val="19"/>
        </w:rPr>
        <w:t>B.Com (Hons.)</w:t>
      </w:r>
      <w:r>
        <w:rPr>
          <w:sz w:val="19"/>
        </w:rPr>
        <w:t xml:space="preserve"> | KCC Institute of Legal and Higher Education, GGSIPU</w:t>
      </w:r>
      <w:r>
        <w:rPr>
          <w:i/>
          <w:sz w:val="19"/>
        </w:rPr>
        <w:tab/>
        <w:t>2022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CERTIFICATIONS &amp; PROFESSIONAL DEVELOPMENT</w:t>
      </w:r>
    </w:p>
    <w:p>
      <w:pPr>
        <w:tabs>
          <w:tab w:pos="9638" w:val="right"/>
        </w:tabs>
      </w:pPr>
      <w:r>
        <w:rPr>
          <w:b/>
          <w:sz w:val="19"/>
        </w:rPr>
        <w:t>EY Technology Risk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IT risk identification, control evaluation, IT General Controls (ITGCs); compliance monitoring in risk advisory context.</w:t>
      </w:r>
    </w:p>
    <w:p>
      <w:pPr>
        <w:tabs>
          <w:tab w:pos="9638" w:val="right"/>
        </w:tabs>
      </w:pPr>
      <w:r>
        <w:rPr>
          <w:b/>
          <w:sz w:val="19"/>
        </w:rPr>
        <w:t>EY Forensic &amp; Integrity Services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Non-compliance identification, compliance environment design, ethics &amp; integrity in corporate settings.</w:t>
      </w:r>
    </w:p>
    <w:p>
      <w:pPr>
        <w:tabs>
          <w:tab w:pos="9638" w:val="right"/>
        </w:tabs>
      </w:pPr>
      <w:r>
        <w:rPr>
          <w:b/>
          <w:sz w:val="19"/>
        </w:rPr>
        <w:t>Goldman Sachs Risk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Credit risk assessment, financial variable analysis, commercial acumen in risk decision-making.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Compliance Monitoring &amp; Testing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Microsoft Excel (Advanced)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Non-Compliance Identification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PowerPoint, Word, MS 365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Secondary Research &amp; Analysis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Outlook, Teams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Logical Reasoning &amp; Inference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Data Analysis &amp; Reporting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SOP Adherence &amp; Process Efficiency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Structured Written &amp; Verbal Communication</w:t>
            </w:r>
          </w:p>
        </w:tc>
      </w:tr>
    </w:tbl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LANGUAGES</w:t>
      </w:r>
    </w:p>
    <w:p>
      <w:r>
        <w:rPr>
          <w:sz w:val="19"/>
        </w:rPr>
        <w:t>English | Hindi</w:t>
      </w:r>
    </w:p>
    <w:sectPr w:rsidR="00FC693F" w:rsidRPr="0006063C" w:rsidSect="00034616">
      <w:pgSz w:w="12240" w:h="15840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