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VISHAL TIWARY</w:t>
      </w:r>
    </w:p>
    <w:p>
      <w:pPr>
        <w:jc w:val="center"/>
      </w:pPr>
      <w:r>
        <w:rPr>
          <w:sz w:val="20"/>
        </w:rPr>
        <w:t>vishaltiwary2000@gmail.com | 8269446721 | linkedin.com/in/vishal-tiwary2000/</w:t>
      </w:r>
    </w:p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PROFESSIONAL SUMMARY</w:t>
      </w:r>
    </w:p>
    <w:p>
      <w:r>
        <w:rPr>
          <w:sz w:val="21"/>
        </w:rPr>
        <w:t>Credit risk professional with hands-on experience in credit appraisal, collections oversight, policy compliance, and financial accounting across banking book asset classes. Skilled in evaluating creditworthiness using scoring models, managing high-risk accounts, ensuring regulatory compliance, and preparing management reports on portfolio health. Strong collaborator with proven ability to work across multi-stakeholder environments and present risk metrics to senior leadership.</w:t>
      </w:r>
    </w:p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Credit Risk Analysis &amp; Underwriting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Collections &amp; Debt Recovery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Credit Policy Design &amp; Optimization</w:t>
            </w:r>
          </w:p>
        </w:tc>
      </w:tr>
      <w:tr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Financial Accounting (Deposits/AR)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Management Reporting &amp; Analytics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Exception &amp; Escalation Management</w:t>
            </w:r>
          </w:p>
        </w:tc>
      </w:tr>
      <w:tr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Regulatory Compliance (RBI/Basel)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ERP Systems &amp; Advanced Excel</w:t>
            </w:r>
          </w:p>
        </w:tc>
        <w:tc>
          <w:tcPr>
            <w:tcW w:type="dxa" w:w="3324"/>
            <w:shd w:fill="EDF2F7" w:val="clear"/>
          </w:tcPr>
          <w:p>
            <w:r>
              <w:rPr>
                <w:sz w:val="19"/>
              </w:rPr>
              <w:t>Stakeholder Negotiation &amp; Presentation</w:t>
            </w:r>
          </w:p>
        </w:tc>
      </w:tr>
    </w:tbl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PROFESSIONAL EXPERIENCE</w:t>
      </w:r>
    </w:p>
    <w:p>
      <w:r>
        <w:rPr>
          <w:b/>
          <w:sz w:val="22"/>
        </w:rPr>
        <w:t>Incred Financial Services | Assistant Credit Manager</w:t>
      </w:r>
    </w:p>
    <w:p>
      <w:r>
        <w:rPr>
          <w:b/>
          <w:color w:val="4A5A6A"/>
          <w:sz w:val="20"/>
        </w:rPr>
        <w:t>Feb 2025 – Present</w:t>
      </w:r>
    </w:p>
    <w:p>
      <w:pPr>
        <w:pStyle w:val="ListBullet"/>
      </w:pPr>
      <w:r>
        <w:rPr>
          <w:b/>
          <w:sz w:val="21"/>
        </w:rPr>
        <w:t xml:space="preserve">Evaluated creditworthiness </w:t>
      </w:r>
      <w:r>
        <w:rPr>
          <w:sz w:val="21"/>
        </w:rPr>
        <w:t>of borrowers across retail and SME asset classes using advanced credit scoring models, ensuring alignment with regulatory and internal credit policy standards</w:t>
      </w:r>
    </w:p>
    <w:p>
      <w:pPr>
        <w:pStyle w:val="ListBullet"/>
      </w:pPr>
      <w:r>
        <w:rPr>
          <w:b/>
          <w:sz w:val="21"/>
        </w:rPr>
        <w:t xml:space="preserve">Prepared Credit Appraisal Memos (CAMs) </w:t>
      </w:r>
      <w:r>
        <w:rPr>
          <w:sz w:val="21"/>
        </w:rPr>
        <w:t>for high-value loans (ticket size ₹40L–₹1.5Cr), synthesizing financial analysis into structured risk recommendations for credit committees</w:t>
      </w:r>
    </w:p>
    <w:p>
      <w:pPr>
        <w:pStyle w:val="ListBullet"/>
      </w:pPr>
      <w:r>
        <w:rPr>
          <w:b/>
          <w:sz w:val="21"/>
        </w:rPr>
        <w:t xml:space="preserve">Identified high-risk accounts </w:t>
      </w:r>
      <w:r>
        <w:rPr>
          <w:sz w:val="21"/>
        </w:rPr>
        <w:t>and executed timely escalations, recommending mitigation strategies and managing exception cases to minimize financial exposure</w:t>
      </w:r>
    </w:p>
    <w:p>
      <w:pPr>
        <w:pStyle w:val="ListBullet"/>
      </w:pPr>
      <w:r>
        <w:rPr>
          <w:b/>
          <w:sz w:val="21"/>
        </w:rPr>
        <w:t xml:space="preserve">Drove credit policy refinement </w:t>
      </w:r>
      <w:r>
        <w:rPr>
          <w:sz w:val="21"/>
        </w:rPr>
        <w:t>initiatives, reviewing and optimizing internal policies benchmarked against industry best practices and regulatory requirements</w:t>
      </w:r>
    </w:p>
    <w:p>
      <w:pPr>
        <w:pStyle w:val="ListBullet"/>
      </w:pPr>
      <w:r>
        <w:rPr>
          <w:b/>
          <w:sz w:val="21"/>
        </w:rPr>
        <w:t>Monitored portfolio credit performance</w:t>
      </w:r>
      <w:r>
        <w:rPr>
          <w:sz w:val="21"/>
        </w:rPr>
        <w:t>, preparing data-driven reports on aging balances, collection progress, and portfolio health for senior management review</w:t>
      </w:r>
    </w:p>
    <w:p>
      <w:pPr>
        <w:pStyle w:val="ListBullet"/>
      </w:pPr>
      <w:r>
        <w:rPr>
          <w:b/>
          <w:sz w:val="21"/>
        </w:rPr>
        <w:t xml:space="preserve">Ensured compliance </w:t>
      </w:r>
      <w:r>
        <w:rPr>
          <w:sz w:val="21"/>
        </w:rPr>
        <w:t>through Non-Discrepancy Checking (NDC) of all sanctioned cases, managing end-to-end documentation and accounting entries for security deposits</w:t>
      </w:r>
    </w:p>
    <w:p>
      <w:pPr>
        <w:pStyle w:val="ListBullet"/>
      </w:pPr>
      <w:r>
        <w:rPr>
          <w:b/>
          <w:sz w:val="21"/>
        </w:rPr>
        <w:t xml:space="preserve">Collaborated with cross-functional teams </w:t>
      </w:r>
      <w:r>
        <w:rPr>
          <w:sz w:val="21"/>
        </w:rPr>
        <w:t>(loan officers, operations, compliance, collections) to deliver informed credit decisions in a multi-stakeholder environment</w:t>
      </w:r>
    </w:p>
    <w:p>
      <w:r>
        <w:rPr>
          <w:b/>
          <w:sz w:val="22"/>
        </w:rPr>
        <w:t>Northern Coalfields Limited | Finance &amp; Accounting Intern</w:t>
      </w:r>
    </w:p>
    <w:p>
      <w:r>
        <w:rPr>
          <w:b/>
          <w:color w:val="4A5A6A"/>
          <w:sz w:val="20"/>
        </w:rPr>
        <w:t>Feb 2024 – May 2024</w:t>
      </w:r>
    </w:p>
    <w:p>
      <w:pPr>
        <w:pStyle w:val="ListBullet"/>
      </w:pPr>
      <w:r>
        <w:rPr>
          <w:b/>
          <w:sz w:val="21"/>
        </w:rPr>
        <w:t xml:space="preserve">Analyzed cost structures </w:t>
      </w:r>
      <w:r>
        <w:rPr>
          <w:sz w:val="21"/>
        </w:rPr>
        <w:t>across mining operations, identifying variances and presenting data-driven recommendations for cost optimization to management</w:t>
      </w:r>
    </w:p>
    <w:p>
      <w:pPr>
        <w:pStyle w:val="ListBullet"/>
      </w:pPr>
      <w:r>
        <w:rPr>
          <w:b/>
          <w:sz w:val="21"/>
        </w:rPr>
        <w:t xml:space="preserve">Built financial models </w:t>
      </w:r>
      <w:r>
        <w:rPr>
          <w:sz w:val="21"/>
        </w:rPr>
        <w:t>and conducted financial statement analysis to support strategic decision-making and reporting</w:t>
      </w:r>
    </w:p>
    <w:p>
      <w:pPr>
        <w:pStyle w:val="ListBullet"/>
      </w:pPr>
      <w:r>
        <w:rPr>
          <w:b/>
          <w:sz w:val="21"/>
        </w:rPr>
        <w:t xml:space="preserve">Maintained accounts payable records </w:t>
      </w:r>
      <w:r>
        <w:rPr>
          <w:sz w:val="21"/>
        </w:rPr>
        <w:t>in SAP ERP system, ensuring accuracy of ledger entries and adherence to accounting principles for guarantees and deposits</w:t>
      </w:r>
    </w:p>
    <w:p>
      <w:r>
        <w:rPr>
          <w:b/>
          <w:sz w:val="22"/>
        </w:rPr>
        <w:t>MetaDesign Solutions Pvt. Ltd. | Client Engagement Intern</w:t>
      </w:r>
    </w:p>
    <w:p>
      <w:r>
        <w:rPr>
          <w:b/>
          <w:color w:val="4A5A6A"/>
          <w:sz w:val="20"/>
        </w:rPr>
        <w:t>Jan 2022 – Apr 2022</w:t>
      </w:r>
    </w:p>
    <w:p>
      <w:pPr>
        <w:pStyle w:val="ListBullet"/>
      </w:pPr>
      <w:r>
        <w:rPr>
          <w:b/>
          <w:sz w:val="21"/>
        </w:rPr>
        <w:t xml:space="preserve">Supported client acquisition </w:t>
      </w:r>
      <w:r>
        <w:rPr>
          <w:sz w:val="21"/>
        </w:rPr>
        <w:t>through targeted outreach strategies, lead identification, and nurturing of potential clients</w:t>
      </w:r>
    </w:p>
    <w:p>
      <w:pPr>
        <w:pStyle w:val="ListBullet"/>
      </w:pPr>
      <w:r>
        <w:rPr>
          <w:b/>
          <w:sz w:val="21"/>
        </w:rPr>
        <w:t xml:space="preserve">Executed multi-channel campaigns </w:t>
      </w:r>
      <w:r>
        <w:rPr>
          <w:sz w:val="21"/>
        </w:rPr>
        <w:t>(email, LinkedIn, SEO) and tracked performance metrics to optimize engagement and reporting</w:t>
      </w:r>
    </w:p>
    <w:p>
      <w:pPr>
        <w:pStyle w:val="ListBullet"/>
      </w:pPr>
      <w:r>
        <w:rPr>
          <w:b/>
          <w:sz w:val="21"/>
        </w:rPr>
        <w:t xml:space="preserve">Delivered presentations </w:t>
      </w:r>
      <w:r>
        <w:rPr>
          <w:sz w:val="21"/>
        </w:rPr>
        <w:t>on campaign insights and client pipeline status to internal stakeholders and management</w:t>
      </w:r>
    </w:p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6cb0" w:val="clear"/>
          </w:tcPr>
          <w:p>
            <w:r>
              <w:rPr>
                <w:b/>
                <w:color w:val="FFFFFF"/>
                <w:sz w:val="20"/>
              </w:rPr>
              <w:t>Degree</w:t>
            </w:r>
          </w:p>
        </w:tc>
        <w:tc>
          <w:tcPr>
            <w:tcW w:type="dxa" w:w="3324"/>
            <w:shd w:fill="2b6cb0" w:val="clear"/>
          </w:tcPr>
          <w:p>
            <w:r>
              <w:rPr>
                <w:b/>
                <w:color w:val="FFFFFF"/>
                <w:sz w:val="20"/>
              </w:rPr>
              <w:t>Institution</w:t>
            </w:r>
          </w:p>
        </w:tc>
        <w:tc>
          <w:tcPr>
            <w:tcW w:type="dxa" w:w="3324"/>
            <w:shd w:fill="2b6cb0" w:val="clear"/>
          </w:tcPr>
          <w:p>
            <w:r>
              <w:rPr>
                <w:b/>
                <w:color w:val="FFFFFF"/>
                <w:sz w:val="20"/>
              </w:rPr>
              <w:t>Year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MBA (Finance)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IBS Gurugram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B.Com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DPG ITM Gurugram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2022</w:t>
            </w:r>
          </w:p>
        </w:tc>
      </w:tr>
    </w:tbl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CERTIFICATIONS</w:t>
      </w:r>
    </w:p>
    <w:p>
      <w:pPr>
        <w:pStyle w:val="ListBullet"/>
      </w:pPr>
      <w:r>
        <w:rPr>
          <w:sz w:val="21"/>
        </w:rPr>
        <w:t>NISM Series V-A: Mutual Fund Distributors Certificate</w:t>
      </w:r>
    </w:p>
    <w:p>
      <w:pPr>
        <w:pStyle w:val="ListBullet"/>
      </w:pPr>
      <w:r>
        <w:rPr>
          <w:sz w:val="21"/>
        </w:rPr>
        <w:t>Financial Modelling &amp; Valuation Excellence – Finance Veda</w:t>
      </w:r>
    </w:p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TECHNICAL SKILLS</w:t>
      </w:r>
    </w:p>
    <w:p>
      <w:pPr>
        <w:pStyle w:val="ListBullet"/>
      </w:pPr>
      <w:r>
        <w:rPr>
          <w:sz w:val="21"/>
        </w:rPr>
        <w:t>Advanced Excel (VLOOKUP, Pivot Tables, Macros, Data Analysis)</w:t>
      </w:r>
    </w:p>
    <w:p>
      <w:pPr>
        <w:pStyle w:val="ListBullet"/>
      </w:pPr>
      <w:r>
        <w:rPr>
          <w:sz w:val="21"/>
        </w:rPr>
        <w:t>ERP Systems: SAP, Loan Origination Systems (LOS)</w:t>
      </w:r>
    </w:p>
    <w:p>
      <w:pPr>
        <w:pStyle w:val="ListBullet"/>
      </w:pPr>
      <w:r>
        <w:rPr>
          <w:sz w:val="21"/>
        </w:rPr>
        <w:t>Financial Statement Analysis, ITR &amp; Business Proof Analysis</w:t>
      </w:r>
    </w:p>
    <w:p>
      <w:pPr>
        <w:pStyle w:val="ListBullet"/>
      </w:pPr>
      <w:r>
        <w:rPr>
          <w:sz w:val="21"/>
        </w:rPr>
        <w:t>MS Office Suite (Excel, PowerPoint, Word)</w:t>
      </w:r>
    </w:p>
    <w:p>
      <w:pPr>
        <w:pBdr>
          <w:bottom w:val="single" w:sz="12" w:space="1" w:color="2b6cb0"/>
        </w:pBdr>
      </w:pPr>
      <w:r>
        <w:rPr>
          <w:b/>
          <w:color w:val="1A365D"/>
          <w:sz w:val="26"/>
        </w:rPr>
        <w:t>KEY ACHIEVEMENTS</w:t>
      </w:r>
    </w:p>
    <w:p>
      <w:pPr>
        <w:pStyle w:val="ListBullet"/>
      </w:pPr>
      <w:r>
        <w:rPr>
          <w:sz w:val="21"/>
        </w:rPr>
        <w:t>1st Prize – Talent Trivia Competition, IBS Gurugram</w:t>
      </w:r>
    </w:p>
    <w:p>
      <w:pPr>
        <w:pStyle w:val="ListBullet"/>
      </w:pPr>
      <w:r>
        <w:rPr>
          <w:sz w:val="21"/>
        </w:rPr>
        <w:t>1st Runner-up – Stock Market Club Competition, IBS Gurugram</w:t>
      </w:r>
    </w:p>
    <w:p>
      <w:pPr>
        <w:pStyle w:val="ListBullet"/>
      </w:pPr>
      <w:r>
        <w:rPr>
          <w:sz w:val="21"/>
        </w:rPr>
        <w:t>Event Manager – Entrepreneur Development Cell, IBS Gurugram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