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VIDHI</w:t>
      </w:r>
    </w:p>
    <w:p>
      <w:pPr>
        <w:jc w:val="center"/>
      </w:pPr>
      <w:r>
        <w:rPr>
          <w:b/>
          <w:color w:val="333333"/>
          <w:sz w:val="19"/>
        </w:rPr>
        <w:t>Risk &amp; Compliance Review Associate | Policy Validation &amp; Quality Assurance | Stakeholder-Focused Reporting</w:t>
      </w:r>
    </w:p>
    <w:p>
      <w:pPr>
        <w:jc w:val="center"/>
      </w:pPr>
      <w:r>
        <w:rPr>
          <w:sz w:val="18"/>
        </w:rPr>
        <w:t>Noida, Uttar Pradesh  |  +91 8368595213  |  vidhikanaujia@gmail.com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PROFESSIONAL SUMMARY</w:t>
      </w:r>
    </w:p>
    <w:p>
      <w:r>
        <w:rPr>
          <w:sz w:val="19"/>
        </w:rPr>
        <w:t>Compliance-driven review professional with expertise in validating submissions against defined policy criteria, strengthening quality frameworks, and monitoring adherence across 15+ mandates. Delivers accurate, deadline-driven output while collaborating with cross-functional teams across geographies. Mentors junior associates and champions a culture of trust, accuracy, and continuous improvement.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PROFESSIONAL EXPERIENCE</w:t>
      </w:r>
    </w:p>
    <w:p>
      <w:pPr>
        <w:tabs>
          <w:tab w:pos="9638" w:val="right"/>
        </w:tabs>
      </w:pPr>
      <w:r>
        <w:rPr>
          <w:b/>
          <w:sz w:val="20"/>
        </w:rPr>
        <w:t>Insights Opinion | Senior Research Associate</w:t>
      </w:r>
      <w:r>
        <w:rPr>
          <w:i/>
          <w:sz w:val="19"/>
        </w:rPr>
        <w:tab/>
        <w:t>March 2026 – Present</w:t>
      </w:r>
    </w:p>
    <w:p>
      <w:pPr>
        <w:pStyle w:val="ListBullet"/>
        <w:ind w:left="283"/>
      </w:pPr>
      <w:r>
        <w:rPr>
          <w:sz w:val="19"/>
        </w:rPr>
        <w:t>Validate 15–30 respondent/company profiles weekly against project-specific compliance criteria (role, geography, industry, company size), ensuring policy adherence before sign-off.</w:t>
      </w:r>
    </w:p>
    <w:p>
      <w:pPr>
        <w:pStyle w:val="ListBullet"/>
        <w:ind w:left="283"/>
      </w:pPr>
      <w:r>
        <w:rPr>
          <w:sz w:val="19"/>
        </w:rPr>
        <w:t>Monitor and strengthen quality framework across 10–20 projects monthly by reviewing screeners, quotas, and qualification criteria for compliance with defined specifications.</w:t>
      </w:r>
    </w:p>
    <w:p>
      <w:pPr>
        <w:pStyle w:val="ListBullet"/>
        <w:ind w:left="283"/>
      </w:pPr>
      <w:r>
        <w:rPr>
          <w:sz w:val="19"/>
        </w:rPr>
        <w:t>Safeguard data accuracy and policy compliance by reviewing completed survey transcripts, maintaining a sub-5% error rate through systematic inconsistency-flagging.</w:t>
      </w:r>
    </w:p>
    <w:p>
      <w:pPr>
        <w:pStyle w:val="ListBullet"/>
        <w:ind w:left="283"/>
      </w:pPr>
      <w:r>
        <w:rPr>
          <w:sz w:val="19"/>
        </w:rPr>
        <w:t>Lead and mentor a team of 4–5 associates in a multi-location, virtual-first environment, driving knowledge-transfer sessions and reviewing outputs to uphold quality standards.</w:t>
      </w:r>
    </w:p>
    <w:p>
      <w:pPr>
        <w:tabs>
          <w:tab w:pos="9638" w:val="right"/>
        </w:tabs>
      </w:pPr>
      <w:r>
        <w:rPr>
          <w:b/>
          <w:sz w:val="20"/>
        </w:rPr>
        <w:t>Insights Opinion | Research Associate</w:t>
      </w:r>
      <w:r>
        <w:rPr>
          <w:i/>
          <w:sz w:val="19"/>
        </w:rPr>
        <w:tab/>
        <w:t>March 2025 – March 2026</w:t>
      </w:r>
    </w:p>
    <w:p>
      <w:pPr>
        <w:pStyle w:val="ListBullet"/>
        <w:ind w:left="283"/>
      </w:pPr>
      <w:r>
        <w:rPr>
          <w:sz w:val="19"/>
        </w:rPr>
        <w:t>Validated primary research findings against secondary data sources, consolidating accurate, client-ready reports for senior stakeholder review.</w:t>
      </w:r>
    </w:p>
    <w:p>
      <w:pPr>
        <w:pStyle w:val="ListBullet"/>
        <w:ind w:left="283"/>
      </w:pPr>
      <w:r>
        <w:rPr>
          <w:sz w:val="19"/>
        </w:rPr>
        <w:t>Reviewed survey screeners, routing logic, and respondent qualification criteria to ensure compliance against project-defined standards.</w:t>
      </w:r>
    </w:p>
    <w:p>
      <w:pPr>
        <w:pStyle w:val="ListBullet"/>
        <w:ind w:left="283"/>
      </w:pPr>
      <w:r>
        <w:rPr>
          <w:sz w:val="19"/>
        </w:rPr>
        <w:t>Performed cross-sector, cross-geography secondary research using company filings, industry reports, and investor presentations to support risk and market assessments.</w:t>
      </w:r>
    </w:p>
    <w:p>
      <w:pPr>
        <w:pStyle w:val="ListBullet"/>
        <w:ind w:left="283"/>
      </w:pPr>
      <w:r>
        <w:rPr>
          <w:b/>
          <w:sz w:val="19"/>
        </w:rPr>
        <w:t xml:space="preserve">Recognition: </w:t>
      </w:r>
      <w:r>
        <w:rPr>
          <w:sz w:val="19"/>
        </w:rPr>
        <w:t>Best Performer (Sep 2025) — for accuracy, commitment, and contribution to team delivery.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EARLIER EXPERIENCE</w:t>
      </w:r>
    </w:p>
    <w:p>
      <w:pPr>
        <w:tabs>
          <w:tab w:pos="9638" w:val="right"/>
        </w:tabs>
      </w:pPr>
      <w:r>
        <w:rPr>
          <w:b/>
          <w:sz w:val="20"/>
        </w:rPr>
        <w:t>Servexplus India Pvt. Ltd. | Research Intern</w:t>
      </w:r>
      <w:r>
        <w:rPr>
          <w:i/>
          <w:sz w:val="19"/>
        </w:rPr>
        <w:tab/>
        <w:t>Sep 2024 – Nov 2024</w:t>
      </w:r>
    </w:p>
    <w:p>
      <w:pPr>
        <w:pStyle w:val="ListBullet"/>
        <w:ind w:left="283"/>
      </w:pPr>
      <w:r>
        <w:rPr>
          <w:sz w:val="19"/>
        </w:rPr>
        <w:t>Executed primary research via telephone interviews; organized and validated findings in Excel to support business decision-making.</w:t>
      </w:r>
    </w:p>
    <w:p>
      <w:pPr>
        <w:tabs>
          <w:tab w:pos="9638" w:val="right"/>
        </w:tabs>
      </w:pPr>
      <w:r>
        <w:rPr>
          <w:b/>
          <w:sz w:val="20"/>
        </w:rPr>
        <w:t>Servexplus India Pvt. Ltd. | HR Intern</w:t>
      </w:r>
      <w:r>
        <w:rPr>
          <w:i/>
          <w:sz w:val="19"/>
        </w:rPr>
        <w:tab/>
        <w:t>Jul 2021 – Sep 2021</w:t>
      </w:r>
    </w:p>
    <w:p>
      <w:pPr>
        <w:pStyle w:val="ListBullet"/>
        <w:ind w:left="283"/>
      </w:pPr>
      <w:r>
        <w:rPr>
          <w:sz w:val="19"/>
        </w:rPr>
        <w:t>Screened candidate profiles against role criteria, coordinated interviews, and managed stakeholder communications.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EDUCATION</w:t>
      </w:r>
    </w:p>
    <w:p>
      <w:pPr>
        <w:tabs>
          <w:tab w:pos="9638" w:val="right"/>
        </w:tabs>
      </w:pPr>
      <w:r>
        <w:rPr>
          <w:b/>
          <w:sz w:val="19"/>
        </w:rPr>
        <w:t>MBA, Business Analytics</w:t>
      </w:r>
      <w:r>
        <w:rPr>
          <w:sz w:val="19"/>
        </w:rPr>
        <w:t xml:space="preserve"> | G.L. Bajaj</w:t>
      </w:r>
      <w:r>
        <w:rPr>
          <w:i/>
          <w:sz w:val="19"/>
        </w:rPr>
        <w:tab/>
        <w:t>2025</w:t>
      </w:r>
    </w:p>
    <w:p>
      <w:pPr>
        <w:tabs>
          <w:tab w:pos="9638" w:val="right"/>
        </w:tabs>
      </w:pPr>
      <w:r>
        <w:rPr>
          <w:b/>
          <w:sz w:val="19"/>
        </w:rPr>
        <w:t>B.Com (Hons.)</w:t>
      </w:r>
      <w:r>
        <w:rPr>
          <w:sz w:val="19"/>
        </w:rPr>
        <w:t xml:space="preserve"> | KCC Institute of Legal and Higher Education, GGSIPU</w:t>
      </w:r>
      <w:r>
        <w:rPr>
          <w:i/>
          <w:sz w:val="19"/>
        </w:rPr>
        <w:tab/>
        <w:t>2022</w:t>
      </w:r>
    </w:p>
    <w:p>
      <w:pPr>
        <w:tabs>
          <w:tab w:pos="9638" w:val="right"/>
        </w:tabs>
      </w:pPr>
      <w:r>
        <w:rPr>
          <w:b/>
          <w:sz w:val="19"/>
        </w:rPr>
        <w:t>Class XII</w:t>
      </w:r>
      <w:r>
        <w:rPr>
          <w:sz w:val="19"/>
        </w:rPr>
        <w:t xml:space="preserve"> | ASPAM Scottish School</w:t>
      </w:r>
      <w:r>
        <w:rPr>
          <w:i/>
          <w:sz w:val="19"/>
        </w:rPr>
        <w:tab/>
        <w:t>2019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CERTIFICATIONS &amp; PROFESSIONAL DEVELOPMENT</w:t>
      </w:r>
    </w:p>
    <w:p>
      <w:pPr>
        <w:tabs>
          <w:tab w:pos="9638" w:val="right"/>
        </w:tabs>
      </w:pPr>
      <w:r>
        <w:rPr>
          <w:b/>
          <w:sz w:val="19"/>
        </w:rPr>
        <w:t>EY Technology Risk Job Simulation — Forage</w:t>
      </w:r>
      <w:r>
        <w:rPr>
          <w:i/>
          <w:sz w:val="19"/>
        </w:rPr>
        <w:tab/>
        <w:t>Jul 2026</w:t>
      </w:r>
    </w:p>
    <w:p>
      <w:pPr>
        <w:pStyle w:val="ListBullet"/>
        <w:ind w:left="283"/>
      </w:pPr>
      <w:r>
        <w:rPr>
          <w:sz w:val="18"/>
        </w:rPr>
        <w:t>IT risk identification, control evaluation, IT General Controls (ITGCs) framework; teaming and productivity in risk advisory.</w:t>
      </w:r>
    </w:p>
    <w:p>
      <w:pPr>
        <w:tabs>
          <w:tab w:pos="9638" w:val="right"/>
        </w:tabs>
      </w:pPr>
      <w:r>
        <w:rPr>
          <w:b/>
          <w:sz w:val="19"/>
        </w:rPr>
        <w:t>EY Forensic &amp; Integrity Services Job Simulation — Forage</w:t>
      </w:r>
      <w:r>
        <w:rPr>
          <w:i/>
          <w:sz w:val="19"/>
        </w:rPr>
        <w:tab/>
        <w:t>Jul 2026</w:t>
      </w:r>
    </w:p>
    <w:p>
      <w:pPr>
        <w:pStyle w:val="ListBullet"/>
        <w:ind w:left="283"/>
      </w:pPr>
      <w:r>
        <w:rPr>
          <w:sz w:val="18"/>
        </w:rPr>
        <w:t>Fraud investigation methodology, compliance environment design, ethics &amp; integrity in corporate risk contexts.</w:t>
      </w:r>
    </w:p>
    <w:p>
      <w:pPr>
        <w:tabs>
          <w:tab w:pos="9638" w:val="right"/>
        </w:tabs>
      </w:pPr>
      <w:r>
        <w:rPr>
          <w:b/>
          <w:sz w:val="19"/>
        </w:rPr>
        <w:t>Goldman Sachs Risk Job Simulation — Forage</w:t>
      </w:r>
      <w:r>
        <w:rPr>
          <w:i/>
          <w:sz w:val="19"/>
        </w:rPr>
        <w:tab/>
        <w:t>Jul 2026</w:t>
      </w:r>
    </w:p>
    <w:p>
      <w:pPr>
        <w:pStyle w:val="ListBullet"/>
        <w:ind w:left="283"/>
      </w:pPr>
      <w:r>
        <w:rPr>
          <w:sz w:val="18"/>
        </w:rPr>
        <w:t>Credit risk profile evaluation, financial variable analysis, and commercial risk assessment.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CORE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Policy Compliance Review &amp; Monitoring</w:t>
            </w:r>
          </w:p>
        </w:tc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Microsoft Excel (Advanced)</w:t>
            </w:r>
          </w:p>
        </w:tc>
      </w:tr>
      <w:tr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Quality Assurance &amp; Framework Adherence</w:t>
            </w:r>
          </w:p>
        </w:tc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PowerPoint, Word, Outlook, Teams</w:t>
            </w:r>
          </w:p>
        </w:tc>
      </w:tr>
      <w:tr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Risk Assessment &amp; Control Evaluation</w:t>
            </w:r>
          </w:p>
        </w:tc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Multi-location Virtual Teaming</w:t>
            </w:r>
          </w:p>
        </w:tc>
      </w:tr>
      <w:tr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Respondent &amp; Company Profile Validation</w:t>
            </w:r>
          </w:p>
        </w:tc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Stakeholder Reporting &amp; Communication</w:t>
            </w:r>
          </w:p>
        </w:tc>
      </w:tr>
      <w:tr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Transcript Review &amp; Source Verification</w:t>
            </w:r>
          </w:p>
        </w:tc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Cross-geography Collaboration</w:t>
            </w:r>
          </w:p>
        </w:tc>
      </w:tr>
      <w:tr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Survey Logic &amp; Criteria Assessment</w:t>
            </w:r>
          </w:p>
        </w:tc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Competitive &amp; Market Analysis</w:t>
            </w:r>
          </w:p>
        </w:tc>
      </w:tr>
    </w:tbl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LANGUAGES</w:t>
      </w:r>
    </w:p>
    <w:p>
      <w:r>
        <w:rPr>
          <w:sz w:val="19"/>
        </w:rPr>
        <w:t>English | Hindi</w:t>
      </w:r>
    </w:p>
    <w:sectPr w:rsidR="00FC693F" w:rsidRPr="0006063C" w:rsidSect="00034616">
      <w:pgSz w:w="12240" w:h="15840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