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44"/>
        </w:rPr>
        <w:t>VISHAL TIWARY</w:t>
      </w:r>
    </w:p>
    <w:p>
      <w:pPr>
        <w:jc w:val="center"/>
      </w:pPr>
      <w:r>
        <w:rPr>
          <w:sz w:val="20"/>
        </w:rPr>
        <w:t>vishaltiwary2000@gmail.com | 8269446721 | linkedin.com/in/vishal-tiwary2000/</w:t>
      </w:r>
    </w:p>
    <w:p>
      <w:pPr>
        <w:pBdr>
          <w:bottom w:val="single" w:sz="12" w:space="1" w:color="2b6cb0"/>
        </w:pBdr>
      </w:pPr>
      <w:r>
        <w:rPr>
          <w:b/>
          <w:color w:val="1A365D"/>
          <w:sz w:val="26"/>
        </w:rPr>
        <w:t>PROFESSIONAL SUMMARY</w:t>
      </w:r>
    </w:p>
    <w:p>
      <w:r>
        <w:rPr>
          <w:sz w:val="21"/>
        </w:rPr>
        <w:t>Credit risk professional with hands-on experience in credit appraisal, risk assessment, and regulatory compliance across banking book asset classes. Proven ability to evaluate creditworthiness using scoring models, develop credit policies aligned with industry standards, and collaborate across multi-stakeholder environments. Adept at financial analysis, presentation, and driving data-backed credit decisions.</w:t>
      </w:r>
    </w:p>
    <w:p>
      <w:pPr>
        <w:pBdr>
          <w:bottom w:val="single" w:sz="12" w:space="1" w:color="2b6cb0"/>
        </w:pBdr>
      </w:pPr>
      <w:r>
        <w:rPr>
          <w:b/>
          <w:color w:val="1A365D"/>
          <w:sz w:val="26"/>
        </w:rPr>
        <w:t>CORE COMPETENCIES</w:t>
      </w:r>
    </w:p>
    <w:tbl>
      <w:tblPr>
        <w:tblW w:type="auto" w:w="0"/>
        <w:jc w:val="center"/>
        <w:tblLook w:firstColumn="1" w:firstRow="1" w:lastColumn="0" w:lastRow="0" w:noHBand="0" w:noVBand="1" w:val="04A0"/>
      </w:tblPr>
      <w:tblGrid>
        <w:gridCol w:w="3324"/>
        <w:gridCol w:w="3324"/>
        <w:gridCol w:w="3324"/>
      </w:tblGrid>
      <w:tr>
        <w:tc>
          <w:tcPr>
            <w:tcW w:type="dxa" w:w="3324"/>
            <w:shd w:fill="EDF2F7" w:val="clear"/>
          </w:tcPr>
          <w:p>
            <w:r>
              <w:rPr>
                <w:sz w:val="19"/>
              </w:rPr>
              <w:t>Credit Risk Assessment &amp; Appraisal</w:t>
            </w:r>
          </w:p>
        </w:tc>
        <w:tc>
          <w:tcPr>
            <w:tcW w:type="dxa" w:w="3324"/>
            <w:shd w:fill="EDF2F7" w:val="clear"/>
          </w:tcPr>
          <w:p>
            <w:r>
              <w:rPr>
                <w:sz w:val="19"/>
              </w:rPr>
              <w:t>Regulatory Compliance (RBI/Basel Norms)</w:t>
            </w:r>
          </w:p>
        </w:tc>
        <w:tc>
          <w:tcPr>
            <w:tcW w:type="dxa" w:w="3324"/>
            <w:shd w:fill="EDF2F7" w:val="clear"/>
          </w:tcPr>
          <w:p>
            <w:r>
              <w:rPr>
                <w:sz w:val="19"/>
              </w:rPr>
              <w:t>Credit Scoring Models &amp; Risk Tools</w:t>
            </w:r>
          </w:p>
        </w:tc>
      </w:tr>
      <w:tr>
        <w:tc>
          <w:tcPr>
            <w:tcW w:type="dxa" w:w="3324"/>
            <w:shd w:fill="EDF2F7" w:val="clear"/>
          </w:tcPr>
          <w:p>
            <w:r>
              <w:rPr>
                <w:sz w:val="19"/>
              </w:rPr>
              <w:t>Financial Statement &amp; ITR Analysis</w:t>
            </w:r>
          </w:p>
        </w:tc>
        <w:tc>
          <w:tcPr>
            <w:tcW w:type="dxa" w:w="3324"/>
            <w:shd w:fill="EDF2F7" w:val="clear"/>
          </w:tcPr>
          <w:p>
            <w:r>
              <w:rPr>
                <w:sz w:val="19"/>
              </w:rPr>
              <w:t>Stakeholder Collaboration &amp; Advisory</w:t>
            </w:r>
          </w:p>
        </w:tc>
        <w:tc>
          <w:tcPr>
            <w:tcW w:type="dxa" w:w="3324"/>
            <w:shd w:fill="EDF2F7" w:val="clear"/>
          </w:tcPr>
          <w:p>
            <w:r>
              <w:rPr>
                <w:sz w:val="19"/>
              </w:rPr>
              <w:t>Credit Policy Development</w:t>
            </w:r>
          </w:p>
        </w:tc>
      </w:tr>
      <w:tr>
        <w:tc>
          <w:tcPr>
            <w:tcW w:type="dxa" w:w="3324"/>
            <w:shd w:fill="EDF2F7" w:val="clear"/>
          </w:tcPr>
          <w:p>
            <w:r>
              <w:rPr>
                <w:sz w:val="19"/>
              </w:rPr>
              <w:t>Banking Book Instruments (Corporate/Retail)</w:t>
            </w:r>
          </w:p>
        </w:tc>
        <w:tc>
          <w:tcPr>
            <w:tcW w:type="dxa" w:w="3324"/>
            <w:shd w:fill="EDF2F7" w:val="clear"/>
          </w:tcPr>
          <w:p>
            <w:r>
              <w:rPr>
                <w:sz w:val="19"/>
              </w:rPr>
              <w:t>Presentation &amp; Communication</w:t>
            </w:r>
          </w:p>
        </w:tc>
        <w:tc>
          <w:tcPr>
            <w:tcW w:type="dxa" w:w="3324"/>
            <w:shd w:fill="EDF2F7" w:val="clear"/>
          </w:tcPr>
          <w:p>
            <w:r>
              <w:rPr>
                <w:sz w:val="19"/>
              </w:rPr>
              <w:t>Data-Driven Decision Making</w:t>
            </w:r>
          </w:p>
        </w:tc>
      </w:tr>
    </w:tbl>
    <w:p>
      <w:pPr>
        <w:pBdr>
          <w:bottom w:val="single" w:sz="12" w:space="1" w:color="2b6cb0"/>
        </w:pBdr>
      </w:pPr>
      <w:r>
        <w:rPr>
          <w:b/>
          <w:color w:val="1A365D"/>
          <w:sz w:val="26"/>
        </w:rPr>
        <w:t>PROFESSIONAL EXPERIENCE</w:t>
      </w:r>
    </w:p>
    <w:p>
      <w:r>
        <w:rPr>
          <w:b/>
          <w:sz w:val="22"/>
        </w:rPr>
        <w:t>Incred Financial Services | Assistant Credit Manager</w:t>
      </w:r>
    </w:p>
    <w:p>
      <w:r>
        <w:rPr>
          <w:b/>
          <w:color w:val="4A5A6A"/>
          <w:sz w:val="20"/>
        </w:rPr>
        <w:t>Feb 2025 – Present</w:t>
      </w:r>
    </w:p>
    <w:p>
      <w:pPr>
        <w:pStyle w:val="ListBullet"/>
      </w:pPr>
      <w:r>
        <w:rPr>
          <w:b/>
          <w:sz w:val="21"/>
        </w:rPr>
        <w:t xml:space="preserve">Evaluated creditworthiness </w:t>
      </w:r>
      <w:r>
        <w:rPr>
          <w:sz w:val="21"/>
        </w:rPr>
        <w:t>of borrowers across retail and SME asset classes using advanced credit scoring models, ensuring alignment with regulatory standards</w:t>
      </w:r>
    </w:p>
    <w:p>
      <w:pPr>
        <w:pStyle w:val="ListBullet"/>
      </w:pPr>
      <w:r>
        <w:rPr>
          <w:b/>
          <w:sz w:val="21"/>
        </w:rPr>
        <w:t xml:space="preserve">Prepared Credit Appraisal Memos (CAMs) </w:t>
      </w:r>
      <w:r>
        <w:rPr>
          <w:sz w:val="21"/>
        </w:rPr>
        <w:t>for high-value loans (ticket size ₹40L–₹1.5Cr), synthesizing financial analysis into structured risk recommendations for credit committees</w:t>
      </w:r>
    </w:p>
    <w:p>
      <w:pPr>
        <w:pStyle w:val="ListBullet"/>
      </w:pPr>
      <w:r>
        <w:rPr>
          <w:b/>
          <w:sz w:val="21"/>
        </w:rPr>
        <w:t xml:space="preserve">Drove credit policy refinement </w:t>
      </w:r>
      <w:r>
        <w:rPr>
          <w:sz w:val="21"/>
        </w:rPr>
        <w:t>initiatives, benchmarking against industry best practices and regulatory requirements to strengthen the risk framework</w:t>
      </w:r>
    </w:p>
    <w:p>
      <w:pPr>
        <w:pStyle w:val="ListBullet"/>
      </w:pPr>
      <w:r>
        <w:rPr>
          <w:b/>
          <w:sz w:val="21"/>
        </w:rPr>
        <w:t>Monitored portfolio credit performance</w:t>
      </w:r>
      <w:r>
        <w:rPr>
          <w:sz w:val="21"/>
        </w:rPr>
        <w:t>, identifying early-warning risk indicators and recommending mitigation strategies to senior stakeholders</w:t>
      </w:r>
    </w:p>
    <w:p>
      <w:pPr>
        <w:pStyle w:val="ListBullet"/>
      </w:pPr>
      <w:r>
        <w:rPr>
          <w:b/>
          <w:sz w:val="21"/>
        </w:rPr>
        <w:t xml:space="preserve">Ensured compliance </w:t>
      </w:r>
      <w:r>
        <w:rPr>
          <w:sz w:val="21"/>
        </w:rPr>
        <w:t>through Non-Discrepancy Checking (NDC) of all sanctioned cases, maintaining zero-error documentation standards</w:t>
      </w:r>
    </w:p>
    <w:p>
      <w:pPr>
        <w:pStyle w:val="ListBullet"/>
      </w:pPr>
      <w:r>
        <w:rPr>
          <w:b/>
          <w:sz w:val="21"/>
        </w:rPr>
        <w:t xml:space="preserve">Collaborated with cross-functional teams </w:t>
      </w:r>
      <w:r>
        <w:rPr>
          <w:sz w:val="21"/>
        </w:rPr>
        <w:t>(loan officers, operations, compliance) to deliver informed credit decisions in a multi-stakeholder environment</w:t>
      </w:r>
    </w:p>
    <w:p>
      <w:r>
        <w:rPr>
          <w:b/>
          <w:sz w:val="22"/>
        </w:rPr>
        <w:t>Northern Coalfields Limited | Finance &amp; Risk Intern</w:t>
      </w:r>
    </w:p>
    <w:p>
      <w:r>
        <w:rPr>
          <w:b/>
          <w:color w:val="4A5A6A"/>
          <w:sz w:val="20"/>
        </w:rPr>
        <w:t>Feb 2024 – May 2024</w:t>
      </w:r>
    </w:p>
    <w:p>
      <w:pPr>
        <w:pStyle w:val="ListBullet"/>
      </w:pPr>
      <w:r>
        <w:rPr>
          <w:b/>
          <w:sz w:val="21"/>
        </w:rPr>
        <w:t xml:space="preserve">Analyzed cost structures </w:t>
      </w:r>
      <w:r>
        <w:rPr>
          <w:sz w:val="21"/>
        </w:rPr>
        <w:t>across mining operations, identifying variances and presenting data-driven recommendations for cost optimization</w:t>
      </w:r>
    </w:p>
    <w:p>
      <w:pPr>
        <w:pStyle w:val="ListBullet"/>
      </w:pPr>
      <w:r>
        <w:rPr>
          <w:b/>
          <w:sz w:val="21"/>
        </w:rPr>
        <w:t xml:space="preserve">Built financial models </w:t>
      </w:r>
      <w:r>
        <w:rPr>
          <w:sz w:val="21"/>
        </w:rPr>
        <w:t>and conducted financial statement analysis to support strategic decision-making</w:t>
      </w:r>
    </w:p>
    <w:p>
      <w:pPr>
        <w:pStyle w:val="ListBullet"/>
      </w:pPr>
      <w:r>
        <w:rPr>
          <w:b/>
          <w:sz w:val="21"/>
        </w:rPr>
        <w:t xml:space="preserve">Maintained financial records </w:t>
      </w:r>
      <w:r>
        <w:rPr>
          <w:sz w:val="21"/>
        </w:rPr>
        <w:t>in SAP, ensuring accuracy and adherence to organizational compliance standards</w:t>
      </w:r>
    </w:p>
    <w:p>
      <w:r>
        <w:rPr>
          <w:b/>
          <w:sz w:val="22"/>
        </w:rPr>
        <w:t>MetaDesign Solutions Pvt. Ltd. | Client Engagement Intern</w:t>
      </w:r>
    </w:p>
    <w:p>
      <w:r>
        <w:rPr>
          <w:b/>
          <w:color w:val="4A5A6A"/>
          <w:sz w:val="20"/>
        </w:rPr>
        <w:t>Jan 2022 – Apr 2022</w:t>
      </w:r>
    </w:p>
    <w:p>
      <w:pPr>
        <w:pStyle w:val="ListBullet"/>
      </w:pPr>
      <w:r>
        <w:rPr>
          <w:b/>
          <w:sz w:val="21"/>
        </w:rPr>
        <w:t xml:space="preserve">Supported client acquisition </w:t>
      </w:r>
      <w:r>
        <w:rPr>
          <w:sz w:val="21"/>
        </w:rPr>
        <w:t>through targeted outreach strategies, lead identification, and nurturing of potential clients</w:t>
      </w:r>
    </w:p>
    <w:p>
      <w:pPr>
        <w:pStyle w:val="ListBullet"/>
      </w:pPr>
      <w:r>
        <w:rPr>
          <w:b/>
          <w:sz w:val="21"/>
        </w:rPr>
        <w:t xml:space="preserve">Executed multi-channel campaigns </w:t>
      </w:r>
      <w:r>
        <w:rPr>
          <w:sz w:val="21"/>
        </w:rPr>
        <w:t>(email, LinkedIn, SEO) and tracked performance metrics to optimize engagement</w:t>
      </w:r>
    </w:p>
    <w:p>
      <w:pPr>
        <w:pStyle w:val="ListBullet"/>
      </w:pPr>
      <w:r>
        <w:rPr>
          <w:b/>
          <w:sz w:val="21"/>
        </w:rPr>
        <w:t xml:space="preserve">Delivered presentations </w:t>
      </w:r>
      <w:r>
        <w:rPr>
          <w:sz w:val="21"/>
        </w:rPr>
        <w:t>on campaign insights and client pipeline status to internal stakeholders</w:t>
      </w:r>
    </w:p>
    <w:p>
      <w:pPr>
        <w:pBdr>
          <w:bottom w:val="single" w:sz="12" w:space="1" w:color="2b6cb0"/>
        </w:pBdr>
      </w:pPr>
      <w:r>
        <w:rPr>
          <w:b/>
          <w:color w:val="1A365D"/>
          <w:sz w:val="26"/>
        </w:rPr>
        <w:t>EDUCATION</w:t>
      </w:r>
    </w:p>
    <w:tbl>
      <w:tblPr>
        <w:tblW w:type="auto" w:w="0"/>
        <w:jc w:val="center"/>
        <w:tblLook w:firstColumn="1" w:firstRow="1" w:lastColumn="0" w:lastRow="0" w:noHBand="0" w:noVBand="1" w:val="04A0"/>
      </w:tblPr>
      <w:tblGrid>
        <w:gridCol w:w="3324"/>
        <w:gridCol w:w="3324"/>
        <w:gridCol w:w="3324"/>
      </w:tblGrid>
      <w:tr>
        <w:tc>
          <w:tcPr>
            <w:tcW w:type="dxa" w:w="3324"/>
            <w:shd w:fill="2b6cb0" w:val="clear"/>
          </w:tcPr>
          <w:p>
            <w:r>
              <w:rPr>
                <w:b/>
                <w:color w:val="FFFFFF"/>
                <w:sz w:val="20"/>
              </w:rPr>
              <w:t>Degree</w:t>
            </w:r>
          </w:p>
        </w:tc>
        <w:tc>
          <w:tcPr>
            <w:tcW w:type="dxa" w:w="3324"/>
            <w:shd w:fill="2b6cb0" w:val="clear"/>
          </w:tcPr>
          <w:p>
            <w:r>
              <w:rPr>
                <w:b/>
                <w:color w:val="FFFFFF"/>
                <w:sz w:val="20"/>
              </w:rPr>
              <w:t>Institution</w:t>
            </w:r>
          </w:p>
        </w:tc>
        <w:tc>
          <w:tcPr>
            <w:tcW w:type="dxa" w:w="3324"/>
            <w:shd w:fill="2b6cb0" w:val="clear"/>
          </w:tcPr>
          <w:p>
            <w:r>
              <w:rPr>
                <w:b/>
                <w:color w:val="FFFFFF"/>
                <w:sz w:val="20"/>
              </w:rPr>
              <w:t>Year</w:t>
            </w:r>
          </w:p>
        </w:tc>
      </w:tr>
      <w:tr>
        <w:tc>
          <w:tcPr>
            <w:tcW w:type="dxa" w:w="3324"/>
          </w:tcPr>
          <w:p>
            <w:r>
              <w:rPr>
                <w:sz w:val="20"/>
              </w:rPr>
              <w:t>MBA (Finance)</w:t>
            </w:r>
          </w:p>
        </w:tc>
        <w:tc>
          <w:tcPr>
            <w:tcW w:type="dxa" w:w="3324"/>
          </w:tcPr>
          <w:p>
            <w:r>
              <w:rPr>
                <w:sz w:val="20"/>
              </w:rPr>
              <w:t>IBS Gurugram</w:t>
            </w:r>
          </w:p>
        </w:tc>
        <w:tc>
          <w:tcPr>
            <w:tcW w:type="dxa" w:w="3324"/>
          </w:tcPr>
          <w:p>
            <w:r>
              <w:rPr>
                <w:sz w:val="20"/>
              </w:rPr>
              <w:t>2025</w:t>
            </w:r>
          </w:p>
        </w:tc>
      </w:tr>
      <w:tr>
        <w:tc>
          <w:tcPr>
            <w:tcW w:type="dxa" w:w="3324"/>
          </w:tcPr>
          <w:p>
            <w:r>
              <w:rPr>
                <w:sz w:val="20"/>
              </w:rPr>
              <w:t>B.Com</w:t>
            </w:r>
          </w:p>
        </w:tc>
        <w:tc>
          <w:tcPr>
            <w:tcW w:type="dxa" w:w="3324"/>
          </w:tcPr>
          <w:p>
            <w:r>
              <w:rPr>
                <w:sz w:val="20"/>
              </w:rPr>
              <w:t>DPG ITM Gurugram</w:t>
            </w:r>
          </w:p>
        </w:tc>
        <w:tc>
          <w:tcPr>
            <w:tcW w:type="dxa" w:w="3324"/>
          </w:tcPr>
          <w:p>
            <w:r>
              <w:rPr>
                <w:sz w:val="20"/>
              </w:rPr>
              <w:t>2022</w:t>
            </w:r>
          </w:p>
        </w:tc>
      </w:tr>
    </w:tbl>
    <w:p>
      <w:pPr>
        <w:pBdr>
          <w:bottom w:val="single" w:sz="12" w:space="1" w:color="2b6cb0"/>
        </w:pBdr>
      </w:pPr>
      <w:r>
        <w:rPr>
          <w:b/>
          <w:color w:val="1A365D"/>
          <w:sz w:val="26"/>
        </w:rPr>
        <w:t>CERTIFICATIONS</w:t>
      </w:r>
    </w:p>
    <w:p>
      <w:pPr>
        <w:pStyle w:val="ListBullet"/>
      </w:pPr>
      <w:r>
        <w:rPr>
          <w:sz w:val="21"/>
        </w:rPr>
        <w:t>NISM Series V-A: Mutual Fund Distributors Certificate</w:t>
      </w:r>
    </w:p>
    <w:p>
      <w:pPr>
        <w:pStyle w:val="ListBullet"/>
      </w:pPr>
      <w:r>
        <w:rPr>
          <w:sz w:val="21"/>
        </w:rPr>
        <w:t>Financial Modelling &amp; Valuation Excellence – Finance Veda</w:t>
      </w:r>
    </w:p>
    <w:p>
      <w:pPr>
        <w:pBdr>
          <w:bottom w:val="single" w:sz="12" w:space="1" w:color="2b6cb0"/>
        </w:pBdr>
      </w:pPr>
      <w:r>
        <w:rPr>
          <w:b/>
          <w:color w:val="1A365D"/>
          <w:sz w:val="26"/>
        </w:rPr>
        <w:t>KEY ACHIEVEMENTS</w:t>
      </w:r>
    </w:p>
    <w:p>
      <w:pPr>
        <w:pStyle w:val="ListBullet"/>
      </w:pPr>
      <w:r>
        <w:rPr>
          <w:sz w:val="21"/>
        </w:rPr>
        <w:t>1st Prize – Talent Trivia Competition, IBS Gurugram</w:t>
      </w:r>
    </w:p>
    <w:p>
      <w:pPr>
        <w:pStyle w:val="ListBullet"/>
      </w:pPr>
      <w:r>
        <w:rPr>
          <w:sz w:val="21"/>
        </w:rPr>
        <w:t>1st Runner-up – Stock Market Club Competition, IBS Gurugram</w:t>
      </w:r>
    </w:p>
    <w:p>
      <w:pPr>
        <w:pStyle w:val="ListBullet"/>
      </w:pPr>
      <w:r>
        <w:rPr>
          <w:sz w:val="21"/>
        </w:rPr>
        <w:t>Event Manager – Entrepreneur Development Cell, IBS Gurugram</w:t>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