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E4F"/>
          <w:sz w:val="44"/>
        </w:rPr>
        <w:t>Maritime Risk &amp; Compliance Survey</w:t>
      </w:r>
    </w:p>
    <w:p>
      <w:r>
        <w:rPr>
          <w:color w:val="1F6FB2"/>
          <w:sz w:val="26"/>
        </w:rPr>
        <w:t>Secondary Research &amp; Question-by-Question Answer Guide</w:t>
      </w:r>
    </w:p>
    <w:p>
      <w:r>
        <w:rPr>
          <w:i/>
          <w:color w:val="555555"/>
          <w:sz w:val="18"/>
        </w:rPr>
        <w:t>Prepared from publicly available secondary sources  •  June 2026</w:t>
      </w:r>
    </w:p>
    <w:p>
      <w:pPr>
        <w:pBdr>
          <w:bottom w:val="single" w:sz="12" w:space="1" w:color="1F6FB2"/>
        </w:pBdr>
      </w:pPr>
    </w:p>
    <w:p>
      <w:pPr>
        <w:pStyle w:val="Heading1"/>
      </w:pPr>
      <w:r>
        <w:t>How to read this guide</w:t>
      </w:r>
    </w:p>
    <w:tbl>
      <w:tblPr>
        <w:tblW w:type="auto" w:w="0"/>
        <w:jc w:val="center"/>
        <w:tblLook w:firstColumn="1" w:firstRow="1" w:lastColumn="0" w:lastRow="0" w:noHBand="0" w:noVBand="1" w:val="04A0"/>
      </w:tblPr>
      <w:tblGrid>
        <w:gridCol w:w="8640"/>
      </w:tblGrid>
      <w:tr>
        <w:tc>
          <w:tcPr>
            <w:tcW w:type="dxa" w:w="8640"/>
            <w:shd w:val="clear" w:color="auto" w:fill="EEF3F8"/>
          </w:tcPr>
          <w:p>
            <w:pPr>
              <w:spacing w:after="60"/>
            </w:pPr>
            <w:r/>
            <w:r>
              <w:rPr>
                <w:b/>
                <w:i w:val="0"/>
                <w:color w:val="0B2E4F"/>
                <w:sz w:val="19"/>
              </w:rPr>
              <w:t xml:space="preserve">Purpose. </w:t>
            </w:r>
          </w:p>
          <w:p>
            <w:pPr>
              <w:spacing w:after="60"/>
            </w:pPr>
            <w:r>
              <w:rPr>
                <w:b w:val="0"/>
                <w:i w:val="0"/>
                <w:sz w:val="19"/>
              </w:rPr>
              <w:t>Question-by-question guidance built from public secondary sources. The survey contains three kinds of questions, each treated differently:</w:t>
            </w:r>
          </w:p>
        </w:tc>
      </w:tr>
    </w:tbl>
    <w:p/>
    <w:p>
      <w:pPr>
        <w:pStyle w:val="ListBullet"/>
        <w:spacing w:after="120"/>
      </w:pPr>
      <w:r>
        <w:rPr>
          <w:b/>
          <w:i w:val="0"/>
          <w:sz w:val="21"/>
        </w:rPr>
        <w:t xml:space="preserve">1.  Profile questions </w:t>
      </w:r>
      <w:r>
        <w:rPr>
          <w:b w:val="0"/>
          <w:i w:val="0"/>
          <w:sz w:val="21"/>
        </w:rPr>
        <w:t>(industry, region, role, org size, fleet, tools used, spend) — there is no “correct” answer. The only valid answer reflects the respondent’s real situation; faking these corrupts the dataset and, in incentivised panels, is treated as fraud.</w:t>
      </w:r>
    </w:p>
    <w:p>
      <w:pPr>
        <w:pStyle w:val="ListBullet"/>
        <w:spacing w:after="120"/>
      </w:pPr>
      <w:r>
        <w:rPr>
          <w:b/>
          <w:i w:val="0"/>
          <w:sz w:val="21"/>
        </w:rPr>
        <w:t xml:space="preserve">2.  Knowledge / attention-filter questions </w:t>
      </w:r>
      <w:r>
        <w:rPr>
          <w:b w:val="0"/>
          <w:i w:val="0"/>
          <w:sz w:val="21"/>
        </w:rPr>
        <w:t>(AF2, AF3, AF4) — these do have factually correct answers, verifiable against OFAC and maritime references. Recommended and wrong values are given.</w:t>
      </w:r>
    </w:p>
    <w:p>
      <w:pPr>
        <w:pStyle w:val="ListBullet"/>
        <w:spacing w:after="120"/>
      </w:pPr>
      <w:r>
        <w:rPr>
          <w:b/>
          <w:i w:val="0"/>
          <w:sz w:val="21"/>
        </w:rPr>
        <w:t xml:space="preserve">3.  Opinion / rating questions </w:t>
      </w:r>
      <w:r>
        <w:rPr>
          <w:b w:val="0"/>
          <w:i w:val="0"/>
          <w:sz w:val="21"/>
        </w:rPr>
        <w:t>(Q13, Q16, Q23, Q30, Q33, Q34) — no right/wrong; market consensus is given so a rating can be sanity-checked.</w:t>
      </w:r>
    </w:p>
    <w:tbl>
      <w:tblPr>
        <w:tblW w:type="auto" w:w="0"/>
        <w:jc w:val="center"/>
        <w:tblLook w:firstColumn="1" w:firstRow="1" w:lastColumn="0" w:lastRow="0" w:noHBand="0" w:noVBand="1" w:val="04A0"/>
      </w:tblPr>
      <w:tblGrid>
        <w:gridCol w:w="8640"/>
      </w:tblGrid>
      <w:tr>
        <w:tc>
          <w:tcPr>
            <w:tcW w:type="dxa" w:w="8640"/>
            <w:shd w:val="clear" w:color="auto" w:fill="FBEEEE"/>
          </w:tcPr>
          <w:p>
            <w:pPr>
              <w:spacing w:after="60"/>
            </w:pPr>
            <w:r/>
            <w:r>
              <w:rPr>
                <w:b/>
                <w:i w:val="0"/>
                <w:color w:val="B02A2A"/>
                <w:sz w:val="19"/>
              </w:rPr>
              <w:t xml:space="preserve">On “market share by geography”: </w:t>
            </w:r>
          </w:p>
          <w:p>
            <w:pPr>
              <w:spacing w:after="60"/>
            </w:pPr>
            <w:r>
              <w:rPr>
                <w:b w:val="0"/>
                <w:i w:val="0"/>
                <w:sz w:val="19"/>
              </w:rPr>
              <w:t>None of the five providers publish audited, geography-level market-share data (they are private companies or divisions of larger groups). The geographic picture is a reasoned synthesis from each vendor’s heritage, disclosed customer base and product focus — directional, not statistical.</w:t>
            </w:r>
          </w:p>
        </w:tc>
      </w:tr>
    </w:tbl>
    <w:p/>
    <w:p>
      <w:pPr>
        <w:spacing w:after="120"/>
      </w:pPr>
      <w:r>
        <w:rPr>
          <w:i/>
          <w:color w:val="555555"/>
          <w:sz w:val="18"/>
        </w:rPr>
        <w:t>Sources are linked inline in Section 7. Content from third-party sources was rephrased for compliance with licensing restrictions.</w:t>
      </w:r>
    </w:p>
    <w:p>
      <w:pPr>
        <w:pStyle w:val="Heading1"/>
      </w:pPr>
      <w:r>
        <w:t>1.  Market context</w:t>
      </w:r>
    </w:p>
    <w:p>
      <w:pPr>
        <w:spacing w:after="120"/>
      </w:pPr>
      <w:r>
        <w:rPr>
          <w:b/>
          <w:i w:val="0"/>
          <w:sz w:val="21"/>
        </w:rPr>
        <w:t xml:space="preserve">Market size &amp; growth. </w:t>
      </w:r>
      <w:r>
        <w:rPr>
          <w:b w:val="0"/>
          <w:i w:val="0"/>
          <w:sz w:val="21"/>
        </w:rPr>
        <w:t>The maritime information / intelligence software segment is estimated at roughly USD 2.4–2.8 billion in 2024–2026, growing ~8–9% per year toward ~USD 5–6 billion by the early-to-mid 2030s. The broader “maritime security” market is far larger (~USD 24–27B) but includes hardware, defence and physical security.</w:t>
      </w:r>
    </w:p>
    <w:p>
      <w:pPr>
        <w:spacing w:after="120"/>
      </w:pPr>
      <w:r>
        <w:rPr>
          <w:b/>
          <w:i w:val="0"/>
          <w:sz w:val="21"/>
        </w:rPr>
        <w:t xml:space="preserve">Demand drivers. </w:t>
      </w:r>
      <w:r>
        <w:rPr>
          <w:b w:val="0"/>
          <w:i w:val="0"/>
          <w:sz w:val="21"/>
        </w:rPr>
        <w:t>Intensifying sanctions enforcement, the “dark” / “shadow” fleet, AIS/GNSS spoofing and jamming, flag and registry fraud, and fragmented enforcement across the US, EU and UK. This is why most respondents report rising spend over the past three years (relevant to Q39 / Q40INC).</w:t>
      </w:r>
    </w:p>
    <w:p>
      <w:pPr>
        <w:pStyle w:val="Heading1"/>
      </w:pPr>
      <w:r>
        <w:t>2.  The five vendors at a glance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872"/>
            <w:shd w:val="clear" w:color="auto" w:fill="0B2E4F"/>
          </w:tcPr>
          <w:p>
            <w:r/>
            <w:r>
              <w:rPr>
                <w:rFonts w:ascii="Calibri" w:hAnsi="Calibri"/>
                <w:b/>
                <w:color w:val="FFFFFF"/>
                <w:sz w:val="19"/>
              </w:rPr>
              <w:t>Vendor (survey label)</w:t>
            </w:r>
          </w:p>
        </w:tc>
        <w:tc>
          <w:tcPr>
            <w:tcW w:type="dxa" w:w="2448"/>
            <w:shd w:val="clear" w:color="auto" w:fill="0B2E4F"/>
          </w:tcPr>
          <w:p>
            <w:r/>
            <w:r>
              <w:rPr>
                <w:rFonts w:ascii="Calibri" w:hAnsi="Calibri"/>
                <w:b/>
                <w:color w:val="FFFFFF"/>
                <w:sz w:val="19"/>
              </w:rPr>
              <w:t>Core product</w:t>
            </w:r>
          </w:p>
        </w:tc>
        <w:tc>
          <w:tcPr>
            <w:tcW w:type="dxa" w:w="1728"/>
            <w:shd w:val="clear" w:color="auto" w:fill="0B2E4F"/>
          </w:tcPr>
          <w:p>
            <w:r/>
            <w:r>
              <w:rPr>
                <w:rFonts w:ascii="Calibri" w:hAnsi="Calibri"/>
                <w:b/>
                <w:color w:val="FFFFFF"/>
                <w:sz w:val="19"/>
              </w:rPr>
              <w:t>Heritage / HQ</w:t>
            </w:r>
          </w:p>
        </w:tc>
        <w:tc>
          <w:tcPr>
            <w:tcW w:type="dxa" w:w="2016"/>
            <w:shd w:val="clear" w:color="auto" w:fill="0B2E4F"/>
          </w:tcPr>
          <w:p>
            <w:r/>
            <w:r>
              <w:rPr>
                <w:rFonts w:ascii="Calibri" w:hAnsi="Calibri"/>
                <w:b/>
                <w:color w:val="FFFFFF"/>
                <w:sz w:val="19"/>
              </w:rPr>
              <w:t>Strongest with</w:t>
            </w:r>
          </w:p>
        </w:tc>
        <w:tc>
          <w:tcPr>
            <w:tcW w:type="dxa" w:w="2736"/>
            <w:shd w:val="clear" w:color="auto" w:fill="0B2E4F"/>
          </w:tcPr>
          <w:p>
            <w:r/>
            <w:r>
              <w:rPr>
                <w:rFonts w:ascii="Calibri" w:hAnsi="Calibri"/>
                <w:b/>
                <w:color w:val="FFFFFF"/>
                <w:sz w:val="19"/>
              </w:rPr>
              <w:t>Signature strength</w:t>
            </w:r>
          </w:p>
        </w:tc>
      </w:tr>
      <w:tr>
        <w:tc>
          <w:tcPr>
            <w:tcW w:type="dxa" w:w="1872"/>
          </w:tcPr>
          <w:p>
            <w:r/>
            <w:r>
              <w:rPr>
                <w:rFonts w:ascii="Calibri" w:hAnsi="Calibri"/>
                <w:b w:val="0"/>
                <w:sz w:val="19"/>
              </w:rPr>
              <w:t>S&amp;P Global / IHS</w:t>
            </w:r>
          </w:p>
        </w:tc>
        <w:tc>
          <w:tcPr>
            <w:tcW w:type="dxa" w:w="2448"/>
          </w:tcPr>
          <w:p>
            <w:r/>
            <w:r>
              <w:rPr>
                <w:rFonts w:ascii="Calibri" w:hAnsi="Calibri"/>
                <w:b w:val="0"/>
                <w:sz w:val="19"/>
              </w:rPr>
              <w:t>Maritime Intelligence Risk Suite (MIRS), Sea-web, AISLive, Ship Compliance dataset</w:t>
            </w:r>
          </w:p>
        </w:tc>
        <w:tc>
          <w:tcPr>
            <w:tcW w:type="dxa" w:w="1728"/>
          </w:tcPr>
          <w:p>
            <w:r/>
            <w:r>
              <w:rPr>
                <w:rFonts w:ascii="Calibri" w:hAnsi="Calibri"/>
                <w:b w:val="0"/>
                <w:sz w:val="19"/>
              </w:rPr>
              <w:t>IHS Markit lineage; US-HQ group</w:t>
            </w:r>
          </w:p>
        </w:tc>
        <w:tc>
          <w:tcPr>
            <w:tcW w:type="dxa" w:w="2016"/>
          </w:tcPr>
          <w:p>
            <w:r/>
            <w:r>
              <w:rPr>
                <w:rFonts w:ascii="Calibri" w:hAnsi="Calibri"/>
                <w:b w:val="0"/>
                <w:sz w:val="19"/>
              </w:rPr>
              <w:t>Classification societies, registries, technical/ownership users, large FIs</w:t>
            </w:r>
          </w:p>
        </w:tc>
        <w:tc>
          <w:tcPr>
            <w:tcW w:type="dxa" w:w="2736"/>
          </w:tcPr>
          <w:p>
            <w:r/>
            <w:r>
              <w:rPr>
                <w:rFonts w:ascii="Calibri" w:hAnsi="Calibri"/>
                <w:b w:val="0"/>
                <w:sz w:val="19"/>
              </w:rPr>
              <w:t>Authoritative vessel registry, ownership &amp; IMO-number reference data; 250,000+ vessels</w:t>
            </w:r>
          </w:p>
        </w:tc>
      </w:tr>
      <w:tr>
        <w:tc>
          <w:tcPr>
            <w:tcW w:type="dxa" w:w="1872"/>
            <w:shd w:val="clear" w:color="auto" w:fill="EEF3F8"/>
          </w:tcPr>
          <w:p>
            <w:r/>
            <w:r>
              <w:rPr>
                <w:rFonts w:ascii="Calibri" w:hAnsi="Calibri"/>
                <w:b w:val="0"/>
                <w:sz w:val="19"/>
              </w:rPr>
              <w:t>Lloyd's List Intelligence (Seasearcher)</w:t>
            </w:r>
          </w:p>
        </w:tc>
        <w:tc>
          <w:tcPr>
            <w:tcW w:type="dxa" w:w="2448"/>
            <w:shd w:val="clear" w:color="auto" w:fill="EEF3F8"/>
          </w:tcPr>
          <w:p>
            <w:r/>
            <w:r>
              <w:rPr>
                <w:rFonts w:ascii="Calibri" w:hAnsi="Calibri"/>
                <w:b w:val="0"/>
                <w:sz w:val="19"/>
              </w:rPr>
              <w:t>Seasearcher + Advanced Risk &amp; Compliance</w:t>
            </w:r>
          </w:p>
        </w:tc>
        <w:tc>
          <w:tcPr>
            <w:tcW w:type="dxa" w:w="1728"/>
            <w:shd w:val="clear" w:color="auto" w:fill="EEF3F8"/>
          </w:tcPr>
          <w:p>
            <w:r/>
            <w:r>
              <w:rPr>
                <w:rFonts w:ascii="Calibri" w:hAnsi="Calibri"/>
                <w:b w:val="0"/>
                <w:sz w:val="19"/>
              </w:rPr>
              <w:t>Lloyd's List (UK), centuries-old brand</w:t>
            </w:r>
          </w:p>
        </w:tc>
        <w:tc>
          <w:tcPr>
            <w:tcW w:type="dxa" w:w="2016"/>
            <w:shd w:val="clear" w:color="auto" w:fill="EEF3F8"/>
          </w:tcPr>
          <w:p>
            <w:r/>
            <w:r>
              <w:rPr>
                <w:rFonts w:ascii="Calibri" w:hAnsi="Calibri"/>
                <w:b w:val="0"/>
                <w:sz w:val="19"/>
              </w:rPr>
              <w:t>Shipowners/operators, insurers/P&amp;I, legal, brokers</w:t>
            </w:r>
          </w:p>
        </w:tc>
        <w:tc>
          <w:tcPr>
            <w:tcW w:type="dxa" w:w="2736"/>
            <w:shd w:val="clear" w:color="auto" w:fill="EEF3F8"/>
          </w:tcPr>
          <w:p>
            <w:r/>
            <w:r>
              <w:rPr>
                <w:rFonts w:ascii="Calibri" w:hAnsi="Calibri"/>
                <w:b w:val="0"/>
                <w:sz w:val="19"/>
              </w:rPr>
              <w:t>Proprietary AIS + human expertise + editorial content; 3,000+ sources</w:t>
            </w:r>
          </w:p>
        </w:tc>
      </w:tr>
      <w:tr>
        <w:tc>
          <w:tcPr>
            <w:tcW w:type="dxa" w:w="1872"/>
          </w:tcPr>
          <w:p>
            <w:r/>
            <w:r>
              <w:rPr>
                <w:rFonts w:ascii="Calibri" w:hAnsi="Calibri"/>
                <w:b w:val="0"/>
                <w:sz w:val="19"/>
              </w:rPr>
              <w:t>Pole Star (PurpleTRAC)</w:t>
            </w:r>
          </w:p>
        </w:tc>
        <w:tc>
          <w:tcPr>
            <w:tcW w:type="dxa" w:w="2448"/>
          </w:tcPr>
          <w:p>
            <w:r/>
            <w:r>
              <w:rPr>
                <w:rFonts w:ascii="Calibri" w:hAnsi="Calibri"/>
                <w:b w:val="0"/>
                <w:sz w:val="19"/>
              </w:rPr>
              <w:t>PurpleTRAC, PurpleFinder, LRIT, Pole Star Platform</w:t>
            </w:r>
          </w:p>
        </w:tc>
        <w:tc>
          <w:tcPr>
            <w:tcW w:type="dxa" w:w="1728"/>
          </w:tcPr>
          <w:p>
            <w:r/>
            <w:r>
              <w:rPr>
                <w:rFonts w:ascii="Calibri" w:hAnsi="Calibri"/>
                <w:b w:val="0"/>
                <w:sz w:val="19"/>
              </w:rPr>
              <w:t>London-HQ</w:t>
            </w:r>
          </w:p>
        </w:tc>
        <w:tc>
          <w:tcPr>
            <w:tcW w:type="dxa" w:w="2016"/>
          </w:tcPr>
          <w:p>
            <w:r/>
            <w:r>
              <w:rPr>
                <w:rFonts w:ascii="Calibri" w:hAnsi="Calibri"/>
                <w:b w:val="0"/>
                <w:sz w:val="19"/>
              </w:rPr>
              <w:t>Banks, trade finance, insurers, commodity traders</w:t>
            </w:r>
          </w:p>
        </w:tc>
        <w:tc>
          <w:tcPr>
            <w:tcW w:type="dxa" w:w="2736"/>
          </w:tcPr>
          <w:p>
            <w:r/>
            <w:r>
              <w:rPr>
                <w:rFonts w:ascii="Calibri" w:hAnsi="Calibri"/>
                <w:b w:val="0"/>
                <w:sz w:val="19"/>
              </w:rPr>
              <w:t>Purpose-built sanctions-screening workflow with audit trail (OFAC/UN/EU/HM Treasury)</w:t>
            </w:r>
          </w:p>
        </w:tc>
      </w:tr>
      <w:tr>
        <w:tc>
          <w:tcPr>
            <w:tcW w:type="dxa" w:w="1872"/>
            <w:shd w:val="clear" w:color="auto" w:fill="EEF3F8"/>
          </w:tcPr>
          <w:p>
            <w:r/>
            <w:r>
              <w:rPr>
                <w:rFonts w:ascii="Calibri" w:hAnsi="Calibri"/>
                <w:b w:val="0"/>
                <w:sz w:val="19"/>
              </w:rPr>
              <w:t>Kpler (Risk &amp; Compliance)</w:t>
            </w:r>
          </w:p>
        </w:tc>
        <w:tc>
          <w:tcPr>
            <w:tcW w:type="dxa" w:w="2448"/>
            <w:shd w:val="clear" w:color="auto" w:fill="EEF3F8"/>
          </w:tcPr>
          <w:p>
            <w:r/>
            <w:r>
              <w:rPr>
                <w:rFonts w:ascii="Calibri" w:hAnsi="Calibri"/>
                <w:b w:val="0"/>
                <w:sz w:val="19"/>
              </w:rPr>
              <w:t>Kpler R&amp;C + MarineTraffic + Spire Maritime AIS</w:t>
            </w:r>
          </w:p>
        </w:tc>
        <w:tc>
          <w:tcPr>
            <w:tcW w:type="dxa" w:w="1728"/>
            <w:shd w:val="clear" w:color="auto" w:fill="EEF3F8"/>
          </w:tcPr>
          <w:p>
            <w:r/>
            <w:r>
              <w:rPr>
                <w:rFonts w:ascii="Calibri" w:hAnsi="Calibri"/>
                <w:b w:val="0"/>
                <w:sz w:val="19"/>
              </w:rPr>
              <w:t>Paris/Brussels roots; London-centric</w:t>
            </w:r>
          </w:p>
        </w:tc>
        <w:tc>
          <w:tcPr>
            <w:tcW w:type="dxa" w:w="2016"/>
            <w:shd w:val="clear" w:color="auto" w:fill="EEF3F8"/>
          </w:tcPr>
          <w:p>
            <w:r/>
            <w:r>
              <w:rPr>
                <w:rFonts w:ascii="Calibri" w:hAnsi="Calibri"/>
                <w:b w:val="0"/>
                <w:sz w:val="19"/>
              </w:rPr>
              <w:t>Commodity &amp; energy traders, plus broad AIS user base</w:t>
            </w:r>
          </w:p>
        </w:tc>
        <w:tc>
          <w:tcPr>
            <w:tcW w:type="dxa" w:w="2736"/>
            <w:shd w:val="clear" w:color="auto" w:fill="EEF3F8"/>
          </w:tcPr>
          <w:p>
            <w:r/>
            <w:r>
              <w:rPr>
                <w:rFonts w:ascii="Calibri" w:hAnsi="Calibri"/>
                <w:b w:val="0"/>
                <w:sz w:val="19"/>
              </w:rPr>
              <w:t>Commodity trade-flow intelligence fused with vessel tracking; owns MarineTraffic &amp; Spire AIS</w:t>
            </w:r>
          </w:p>
        </w:tc>
      </w:tr>
      <w:tr>
        <w:tc>
          <w:tcPr>
            <w:tcW w:type="dxa" w:w="1872"/>
          </w:tcPr>
          <w:p>
            <w:r/>
            <w:r>
              <w:rPr>
                <w:rFonts w:ascii="Calibri" w:hAnsi="Calibri"/>
                <w:b w:val="0"/>
                <w:sz w:val="19"/>
              </w:rPr>
              <w:t>Windward</w:t>
            </w:r>
          </w:p>
        </w:tc>
        <w:tc>
          <w:tcPr>
            <w:tcW w:type="dxa" w:w="2448"/>
          </w:tcPr>
          <w:p>
            <w:r/>
            <w:r>
              <w:rPr>
                <w:rFonts w:ascii="Calibri" w:hAnsi="Calibri"/>
                <w:b w:val="0"/>
                <w:sz w:val="19"/>
              </w:rPr>
              <w:t>Maritime AI platform (Entity Management, screening, DSP detection)</w:t>
            </w:r>
          </w:p>
        </w:tc>
        <w:tc>
          <w:tcPr>
            <w:tcW w:type="dxa" w:w="1728"/>
          </w:tcPr>
          <w:p>
            <w:r/>
            <w:r>
              <w:rPr>
                <w:rFonts w:ascii="Calibri" w:hAnsi="Calibri"/>
                <w:b w:val="0"/>
                <w:sz w:val="19"/>
              </w:rPr>
              <w:t>Israel-HQ</w:t>
            </w:r>
          </w:p>
        </w:tc>
        <w:tc>
          <w:tcPr>
            <w:tcW w:type="dxa" w:w="2016"/>
          </w:tcPr>
          <w:p>
            <w:r/>
            <w:r>
              <w:rPr>
                <w:rFonts w:ascii="Calibri" w:hAnsi="Calibri"/>
                <w:b w:val="0"/>
                <w:sz w:val="19"/>
              </w:rPr>
              <w:t>Governments/regulators, FIs, energy, insurers, traders</w:t>
            </w:r>
          </w:p>
        </w:tc>
        <w:tc>
          <w:tcPr>
            <w:tcW w:type="dxa" w:w="2736"/>
          </w:tcPr>
          <w:p>
            <w:r/>
            <w:r>
              <w:rPr>
                <w:rFonts w:ascii="Calibri" w:hAnsi="Calibri"/>
                <w:b w:val="0"/>
                <w:sz w:val="19"/>
              </w:rPr>
              <w:t>Behavioral AI risk scoring; ~300 customers; flagged 100% of recently UK-designated vessels pre-designation</w:t>
            </w:r>
          </w:p>
        </w:tc>
      </w:tr>
    </w:tbl>
    <w:p/>
    <w:p>
      <w:pPr>
        <w:pStyle w:val="Heading1"/>
      </w:pPr>
      <w:r>
        <w:t>3.  Vendor popularity by geography (directional synthesis)</w:t>
      </w:r>
    </w:p>
    <w:p>
      <w:pPr>
        <w:spacing w:after="120"/>
      </w:pPr>
      <w:r>
        <w:rPr>
          <w:i/>
          <w:color w:val="555555"/>
          <w:sz w:val="21"/>
        </w:rPr>
        <w:t>Estimates below are qualitative. No vendor publishes audited regional share. “High / Medium / Low” indicates relative prominence in that geography for risk &amp; compliance use cases.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016"/>
            <w:shd w:val="clear" w:color="auto" w:fill="0B2E4F"/>
          </w:tcPr>
          <w:p>
            <w:r/>
            <w:r>
              <w:rPr>
                <w:rFonts w:ascii="Calibri" w:hAnsi="Calibri"/>
                <w:b/>
                <w:color w:val="FFFFFF"/>
                <w:sz w:val="19"/>
              </w:rPr>
              <w:t>Geography</w:t>
            </w:r>
          </w:p>
        </w:tc>
        <w:tc>
          <w:tcPr>
            <w:tcW w:type="dxa" w:w="3024"/>
            <w:shd w:val="clear" w:color="auto" w:fill="0B2E4F"/>
          </w:tcPr>
          <w:p>
            <w:r/>
            <w:r>
              <w:rPr>
                <w:rFonts w:ascii="Calibri" w:hAnsi="Calibri"/>
                <w:b/>
                <w:color w:val="FFFFFF"/>
                <w:sz w:val="19"/>
              </w:rPr>
              <w:t>High prominence</w:t>
            </w:r>
          </w:p>
        </w:tc>
        <w:tc>
          <w:tcPr>
            <w:tcW w:type="dxa" w:w="2448"/>
            <w:shd w:val="clear" w:color="auto" w:fill="0B2E4F"/>
          </w:tcPr>
          <w:p>
            <w:r/>
            <w:r>
              <w:rPr>
                <w:rFonts w:ascii="Calibri" w:hAnsi="Calibri"/>
                <w:b/>
                <w:color w:val="FFFFFF"/>
                <w:sz w:val="19"/>
              </w:rPr>
              <w:t>Medium prominence</w:t>
            </w:r>
          </w:p>
        </w:tc>
        <w:tc>
          <w:tcPr>
            <w:tcW w:type="dxa" w:w="3312"/>
            <w:shd w:val="clear" w:color="auto" w:fill="0B2E4F"/>
          </w:tcPr>
          <w:p>
            <w:r/>
            <w:r>
              <w:rPr>
                <w:rFonts w:ascii="Calibri" w:hAnsi="Calibri"/>
                <w:b/>
                <w:color w:val="FFFFFF"/>
                <w:sz w:val="19"/>
              </w:rPr>
              <w:t>Notes</w:t>
            </w:r>
          </w:p>
        </w:tc>
      </w:tr>
      <w:tr>
        <w:tc>
          <w:tcPr>
            <w:tcW w:type="dxa" w:w="2016"/>
          </w:tcPr>
          <w:p>
            <w:r/>
            <w:r>
              <w:rPr>
                <w:rFonts w:ascii="Calibri" w:hAnsi="Calibri"/>
                <w:b w:val="0"/>
                <w:sz w:val="19"/>
              </w:rPr>
              <w:t>Americas (US-centric)</w:t>
            </w:r>
          </w:p>
        </w:tc>
        <w:tc>
          <w:tcPr>
            <w:tcW w:type="dxa" w:w="3024"/>
          </w:tcPr>
          <w:p>
            <w:r/>
            <w:r>
              <w:rPr>
                <w:rFonts w:ascii="Calibri" w:hAnsi="Calibri"/>
                <w:b w:val="0"/>
                <w:sz w:val="19"/>
              </w:rPr>
              <w:t>Windward; S&amp;P/IHS; Kpler (traders)</w:t>
            </w:r>
          </w:p>
        </w:tc>
        <w:tc>
          <w:tcPr>
            <w:tcW w:type="dxa" w:w="2448"/>
          </w:tcPr>
          <w:p>
            <w:r/>
            <w:r>
              <w:rPr>
                <w:rFonts w:ascii="Calibri" w:hAnsi="Calibri"/>
                <w:b w:val="0"/>
                <w:sz w:val="19"/>
              </w:rPr>
              <w:t>Pole Star; Lloyd's List</w:t>
            </w:r>
          </w:p>
        </w:tc>
        <w:tc>
          <w:tcPr>
            <w:tcW w:type="dxa" w:w="3312"/>
          </w:tcPr>
          <w:p>
            <w:r/>
            <w:r>
              <w:rPr>
                <w:rFonts w:ascii="Calibri" w:hAnsi="Calibri"/>
                <w:b w:val="0"/>
                <w:sz w:val="19"/>
              </w:rPr>
              <w:t>US is the enforcement epicentre (OFAC); heaviest demand among banks, trade finance, energy and government.</w:t>
            </w:r>
          </w:p>
        </w:tc>
      </w:tr>
      <w:tr>
        <w:tc>
          <w:tcPr>
            <w:tcW w:type="dxa" w:w="2016"/>
            <w:shd w:val="clear" w:color="auto" w:fill="EEF3F8"/>
          </w:tcPr>
          <w:p>
            <w:r/>
            <w:r>
              <w:rPr>
                <w:rFonts w:ascii="Calibri" w:hAnsi="Calibri"/>
                <w:b w:val="0"/>
                <w:sz w:val="19"/>
              </w:rPr>
              <w:t>UK &amp; Western Europe</w:t>
            </w:r>
          </w:p>
        </w:tc>
        <w:tc>
          <w:tcPr>
            <w:tcW w:type="dxa" w:w="3024"/>
            <w:shd w:val="clear" w:color="auto" w:fill="EEF3F8"/>
          </w:tcPr>
          <w:p>
            <w:r/>
            <w:r>
              <w:rPr>
                <w:rFonts w:ascii="Calibri" w:hAnsi="Calibri"/>
                <w:b w:val="0"/>
                <w:sz w:val="19"/>
              </w:rPr>
              <w:t>Lloyd's List; Pole Star; Kpler</w:t>
            </w:r>
          </w:p>
        </w:tc>
        <w:tc>
          <w:tcPr>
            <w:tcW w:type="dxa" w:w="2448"/>
            <w:shd w:val="clear" w:color="auto" w:fill="EEF3F8"/>
          </w:tcPr>
          <w:p>
            <w:r/>
            <w:r>
              <w:rPr>
                <w:rFonts w:ascii="Calibri" w:hAnsi="Calibri"/>
                <w:b w:val="0"/>
                <w:sz w:val="19"/>
              </w:rPr>
              <w:t>Windward; S&amp;P Global</w:t>
            </w:r>
          </w:p>
        </w:tc>
        <w:tc>
          <w:tcPr>
            <w:tcW w:type="dxa" w:w="3312"/>
            <w:shd w:val="clear" w:color="auto" w:fill="EEF3F8"/>
          </w:tcPr>
          <w:p>
            <w:r/>
            <w:r>
              <w:rPr>
                <w:rFonts w:ascii="Calibri" w:hAnsi="Calibri"/>
                <w:b w:val="0"/>
                <w:sz w:val="19"/>
              </w:rPr>
              <w:t>Mature compliance market; London/Geneva trading &amp; insurance hubs; active EU + UK sanctions regimes.</w:t>
            </w:r>
          </w:p>
        </w:tc>
      </w:tr>
      <w:tr>
        <w:tc>
          <w:tcPr>
            <w:tcW w:type="dxa" w:w="2016"/>
          </w:tcPr>
          <w:p>
            <w:r/>
            <w:r>
              <w:rPr>
                <w:rFonts w:ascii="Calibri" w:hAnsi="Calibri"/>
                <w:b w:val="0"/>
                <w:sz w:val="19"/>
              </w:rPr>
              <w:t>Middle East</w:t>
            </w:r>
          </w:p>
        </w:tc>
        <w:tc>
          <w:tcPr>
            <w:tcW w:type="dxa" w:w="3024"/>
          </w:tcPr>
          <w:p>
            <w:r/>
            <w:r>
              <w:rPr>
                <w:rFonts w:ascii="Calibri" w:hAnsi="Calibri"/>
                <w:b w:val="0"/>
                <w:sz w:val="19"/>
              </w:rPr>
              <w:t>Kpler</w:t>
            </w:r>
          </w:p>
        </w:tc>
        <w:tc>
          <w:tcPr>
            <w:tcW w:type="dxa" w:w="2448"/>
          </w:tcPr>
          <w:p>
            <w:r/>
            <w:r>
              <w:rPr>
                <w:rFonts w:ascii="Calibri" w:hAnsi="Calibri"/>
                <w:b w:val="0"/>
                <w:sz w:val="19"/>
              </w:rPr>
              <w:t>S&amp;P Global; Lloyd's List; Windward; Pole Star</w:t>
            </w:r>
          </w:p>
        </w:tc>
        <w:tc>
          <w:tcPr>
            <w:tcW w:type="dxa" w:w="3312"/>
          </w:tcPr>
          <w:p>
            <w:r/>
            <w:r>
              <w:rPr>
                <w:rFonts w:ascii="Calibri" w:hAnsi="Calibri"/>
                <w:b w:val="0"/>
                <w:sz w:val="19"/>
              </w:rPr>
              <w:t>Crude/products trade, bunkering; high exposure to sanctioned-oil routing risk.</w:t>
            </w:r>
          </w:p>
        </w:tc>
      </w:tr>
      <w:tr>
        <w:tc>
          <w:tcPr>
            <w:tcW w:type="dxa" w:w="2016"/>
            <w:shd w:val="clear" w:color="auto" w:fill="EEF3F8"/>
          </w:tcPr>
          <w:p>
            <w:r/>
            <w:r>
              <w:rPr>
                <w:rFonts w:ascii="Calibri" w:hAnsi="Calibri"/>
                <w:b w:val="0"/>
                <w:sz w:val="19"/>
              </w:rPr>
              <w:t>Asia-Pacific</w:t>
            </w:r>
          </w:p>
        </w:tc>
        <w:tc>
          <w:tcPr>
            <w:tcW w:type="dxa" w:w="3024"/>
            <w:shd w:val="clear" w:color="auto" w:fill="EEF3F8"/>
          </w:tcPr>
          <w:p>
            <w:r/>
            <w:r>
              <w:rPr>
                <w:rFonts w:ascii="Calibri" w:hAnsi="Calibri"/>
                <w:b w:val="0"/>
                <w:sz w:val="19"/>
              </w:rPr>
              <w:t>S&amp;P / Sea-web; Lloyd's List; Kpler / MarineTraffic</w:t>
            </w:r>
          </w:p>
        </w:tc>
        <w:tc>
          <w:tcPr>
            <w:tcW w:type="dxa" w:w="2448"/>
            <w:shd w:val="clear" w:color="auto" w:fill="EEF3F8"/>
          </w:tcPr>
          <w:p>
            <w:r/>
            <w:r>
              <w:rPr>
                <w:rFonts w:ascii="Calibri" w:hAnsi="Calibri"/>
                <w:b w:val="0"/>
                <w:sz w:val="19"/>
              </w:rPr>
              <w:t>Windward; Pole Star</w:t>
            </w:r>
          </w:p>
        </w:tc>
        <w:tc>
          <w:tcPr>
            <w:tcW w:type="dxa" w:w="3312"/>
            <w:shd w:val="clear" w:color="auto" w:fill="EEF3F8"/>
          </w:tcPr>
          <w:p>
            <w:r/>
            <w:r>
              <w:rPr>
                <w:rFonts w:ascii="Calibri" w:hAnsi="Calibri"/>
                <w:b w:val="0"/>
                <w:sz w:val="19"/>
              </w:rPr>
              <w:t>Singapore trading/bunkering hub; large shipbuilding/registry/classification base in NE Asia.</w:t>
            </w:r>
          </w:p>
        </w:tc>
      </w:tr>
    </w:tbl>
    <w:p/>
    <w:p>
      <w:pPr>
        <w:pStyle w:val="Heading3"/>
      </w:pPr>
      <w:r>
        <w:t>Who's popular for what (segment view, cross-geo)</w:t>
      </w:r>
    </w:p>
    <w:p>
      <w:pPr>
        <w:pStyle w:val="ListBullet"/>
        <w:spacing w:after="120"/>
      </w:pPr>
      <w:r>
        <w:rPr>
          <w:b/>
          <w:i w:val="0"/>
          <w:sz w:val="21"/>
        </w:rPr>
        <w:t>Banks / trade finance / FIs:</w:t>
      </w:r>
      <w:r>
        <w:rPr>
          <w:b w:val="0"/>
          <w:i w:val="0"/>
          <w:sz w:val="21"/>
        </w:rPr>
        <w:t xml:space="preserve"> Pole Star (PurpleTRAC), Windward, Lloyd's List Advanced Compliance.</w:t>
      </w:r>
    </w:p>
    <w:p>
      <w:pPr>
        <w:pStyle w:val="ListBullet"/>
        <w:spacing w:after="120"/>
      </w:pPr>
      <w:r>
        <w:rPr>
          <w:b/>
          <w:i w:val="0"/>
          <w:sz w:val="21"/>
        </w:rPr>
        <w:t>Commodity &amp; energy traders:</w:t>
      </w:r>
      <w:r>
        <w:rPr>
          <w:b w:val="0"/>
          <w:i w:val="0"/>
          <w:sz w:val="21"/>
        </w:rPr>
        <w:t xml:space="preserve"> Kpler (first call), S&amp;P Global, Windward.</w:t>
      </w:r>
    </w:p>
    <w:p>
      <w:pPr>
        <w:pStyle w:val="ListBullet"/>
        <w:spacing w:after="120"/>
      </w:pPr>
      <w:r>
        <w:rPr>
          <w:b/>
          <w:i w:val="0"/>
          <w:sz w:val="21"/>
        </w:rPr>
        <w:t>Shipowners / operators / brokers / insurers / P&amp;I:</w:t>
      </w:r>
      <w:r>
        <w:rPr>
          <w:b w:val="0"/>
          <w:i w:val="0"/>
          <w:sz w:val="21"/>
        </w:rPr>
        <w:t xml:space="preserve"> Lloyd's List Intelligence, S&amp;P Sea-web, Windward.</w:t>
      </w:r>
    </w:p>
    <w:p>
      <w:pPr>
        <w:pStyle w:val="ListBullet"/>
        <w:spacing w:after="120"/>
      </w:pPr>
      <w:r>
        <w:rPr>
          <w:b/>
          <w:i w:val="0"/>
          <w:sz w:val="21"/>
        </w:rPr>
        <w:t>Governments / regulators / defence:</w:t>
      </w:r>
      <w:r>
        <w:rPr>
          <w:b w:val="0"/>
          <w:i w:val="0"/>
          <w:sz w:val="21"/>
        </w:rPr>
        <w:t xml:space="preserve"> Windward, Lloyd's List Intelligence.</w:t>
      </w:r>
    </w:p>
    <w:p>
      <w:pPr>
        <w:pStyle w:val="ListBullet"/>
        <w:spacing w:after="120"/>
      </w:pPr>
      <w:r>
        <w:rPr>
          <w:b/>
          <w:i w:val="0"/>
          <w:sz w:val="21"/>
        </w:rPr>
        <w:t>Classification / registry / technical / ownership reference:</w:t>
      </w:r>
      <w:r>
        <w:rPr>
          <w:b w:val="0"/>
          <w:i w:val="0"/>
          <w:sz w:val="21"/>
        </w:rPr>
        <w:t xml:space="preserve"> S&amp;P Global (IHS) Sea-web.</w:t>
      </w:r>
    </w:p>
    <w:p>
      <w:pPr>
        <w:pStyle w:val="Heading1"/>
      </w:pPr>
      <w:r>
        <w:t>4.  Knowledge / attention-filter questions — recommended vs wrong</w:t>
      </w:r>
    </w:p>
    <w:p>
      <w:pPr>
        <w:spacing w:after="120"/>
      </w:pPr>
      <w:r>
        <w:rPr>
          <w:i/>
          <w:color w:val="555555"/>
          <w:sz w:val="21"/>
        </w:rPr>
        <w:t>These are the only questions with objectively correct answers. Get these right.</w:t>
      </w:r>
    </w:p>
    <w:p>
      <w:pPr>
        <w:pStyle w:val="Heading3"/>
      </w:pPr>
      <w:r>
        <w:t>AF2 — Regulatory authority most associated with vessel-related sanctions enforcement</w:t>
      </w:r>
    </w:p>
    <w:p>
      <w:pPr>
        <w:spacing w:after="120"/>
      </w:pPr>
      <w:r>
        <w:rPr>
          <w:b/>
          <w:i w:val="0"/>
          <w:color w:val="1E7A3C"/>
          <w:sz w:val="21"/>
        </w:rPr>
        <w:t xml:space="preserve">✅  Recommended (correct):  </w:t>
      </w:r>
      <w:r>
        <w:rPr>
          <w:b/>
          <w:i w:val="0"/>
          <w:sz w:val="21"/>
        </w:rPr>
        <w:t>OFAC</w:t>
      </w:r>
      <w:r>
        <w:rPr>
          <w:b w:val="0"/>
          <w:i w:val="0"/>
          <w:sz w:val="21"/>
        </w:rPr>
        <w:t xml:space="preserve"> — the U.S. Treasury’s Office of Foreign Assets Control. It issues the maritime sanctions advisories and most vessel designations.</w:t>
      </w:r>
    </w:p>
    <w:p>
      <w:pPr>
        <w:spacing w:after="120"/>
      </w:pPr>
      <w:r>
        <w:rPr>
          <w:b/>
          <w:i w:val="0"/>
          <w:color w:val="B02A2A"/>
          <w:sz w:val="21"/>
        </w:rPr>
        <w:t xml:space="preserve">❌  Wrong distractors:  </w:t>
      </w:r>
      <w:r>
        <w:rPr>
          <w:b w:val="0"/>
          <w:i w:val="0"/>
          <w:sz w:val="21"/>
        </w:rPr>
        <w:t>IMO (safety/standards, not sanctions), IMF, WTO, ICC, WCO, or a flag-state registry. EU Council / UK OFSI are real sanctions bodies, but OFAC is the one “most associated” with vessel sanctions enforcement.</w:t>
      </w:r>
    </w:p>
    <w:p>
      <w:pPr>
        <w:pStyle w:val="Heading3"/>
      </w:pPr>
      <w:r>
        <w:t>AF3 — Example of a maritime sanctions-related deceptive shipping practice (DSP)</w:t>
      </w:r>
    </w:p>
    <w:p>
      <w:pPr>
        <w:spacing w:after="120"/>
      </w:pPr>
      <w:r>
        <w:rPr>
          <w:b/>
          <w:i w:val="0"/>
          <w:color w:val="1E7A3C"/>
          <w:sz w:val="21"/>
        </w:rPr>
        <w:t xml:space="preserve">✅  Recommended (any of these):  </w:t>
      </w:r>
      <w:r>
        <w:rPr>
          <w:b w:val="0"/>
          <w:i w:val="0"/>
          <w:sz w:val="21"/>
        </w:rPr>
        <w:t>Disabling or manipulating AIS (“going dark” / spoofing); falsifying cargo or vessel documents; ship-to-ship (STS) transfers to disguise origin; false flags / flag-hopping; physically altering vessel identity (IMO number / name); complex or opaque ownership structures.</w:t>
      </w:r>
    </w:p>
    <w:p>
      <w:pPr>
        <w:spacing w:after="120"/>
      </w:pPr>
      <w:r>
        <w:rPr>
          <w:b/>
          <w:i w:val="0"/>
          <w:color w:val="B02A2A"/>
          <w:sz w:val="21"/>
        </w:rPr>
        <w:t xml:space="preserve">❌  Wrong distractors:  </w:t>
      </w:r>
      <w:r>
        <w:rPr>
          <w:b w:val="0"/>
          <w:i w:val="0"/>
          <w:sz w:val="21"/>
        </w:rPr>
        <w:t>Lawful operations dressed up as suspicious — filing a port call notice, paying canal transit tolls, broadcasting AIS continuously, registering with a classification society, buying marine insurance.</w:t>
      </w:r>
    </w:p>
    <w:p>
      <w:pPr>
        <w:pStyle w:val="Heading3"/>
      </w:pPr>
      <w:r>
        <w:t>AF4 — What type of data does AIS transmit?</w:t>
      </w:r>
    </w:p>
    <w:p>
      <w:pPr>
        <w:spacing w:after="120"/>
      </w:pPr>
      <w:r>
        <w:rPr>
          <w:b/>
          <w:i w:val="0"/>
          <w:color w:val="1E7A3C"/>
          <w:sz w:val="21"/>
        </w:rPr>
        <w:t xml:space="preserve">✅  Recommended (correct):  </w:t>
      </w:r>
      <w:r>
        <w:rPr>
          <w:b w:val="0"/>
          <w:i w:val="0"/>
          <w:sz w:val="21"/>
        </w:rPr>
        <w:t>Vessel identification and position / navigation data — identity (MMSI / name / IMO / call sign), position, course, speed and navigational status, plus voyage fields such as draught and destination.</w:t>
      </w:r>
    </w:p>
    <w:p>
      <w:pPr>
        <w:spacing w:after="120"/>
      </w:pPr>
      <w:r>
        <w:rPr>
          <w:b/>
          <w:i w:val="0"/>
          <w:color w:val="B02A2A"/>
          <w:sz w:val="21"/>
        </w:rPr>
        <w:t xml:space="preserve">❌  Wrong distractors:  </w:t>
      </w:r>
      <w:r>
        <w:rPr>
          <w:b w:val="0"/>
          <w:i w:val="0"/>
          <w:sz w:val="21"/>
        </w:rPr>
        <w:t>Cargo manifests / bill-of-lading details, financial or payment data, crew personal records, weather forecasts, encrypted military communications. AIS does not carry these.</w:t>
      </w:r>
    </w:p>
    <w:p>
      <w:pPr>
        <w:pStyle w:val="Heading3"/>
      </w:pPr>
      <w:r>
        <w:t>AF1 — Vessel/entity checks per week</w:t>
      </w:r>
    </w:p>
    <w:p>
      <w:pPr>
        <w:spacing w:after="120"/>
      </w:pPr>
      <w:r>
        <w:rPr>
          <w:b w:val="0"/>
          <w:i/>
          <w:color w:val="555555"/>
          <w:sz w:val="21"/>
        </w:rPr>
        <w:t xml:space="preserve">No objective correct value; must reflect reality. </w:t>
      </w:r>
      <w:r>
        <w:rPr>
          <w:b w:val="0"/>
          <w:i w:val="0"/>
          <w:sz w:val="21"/>
        </w:rPr>
        <w:t>For calibration: a front-line analyst commonly runs from a handful to a few hundred checks/week; a centralised team or automated/API screening can be thousands. Avoid implausible extremes inconsistent with org size (Q5).</w:t>
      </w:r>
    </w:p>
    <w:p>
      <w:pPr>
        <w:pStyle w:val="Heading1"/>
      </w:pPr>
      <w:r>
        <w:t>5.  Question-by-question guidance</w:t>
      </w:r>
    </w:p>
    <w:tbl>
      <w:tblPr>
        <w:tblStyle w:val="TableGrid"/>
        <w:tblW w:type="auto" w:w="0"/>
        <w:jc w:val="center"/>
        <w:tblLayout w:type="autofit"/>
        <w:tblLook w:firstColumn="1" w:firstRow="1" w:lastColumn="0" w:lastRow="0" w:noHBand="0" w:noVBand="1" w:val="04A0"/>
      </w:tblPr>
      <w:tblGrid>
        <w:gridCol w:w="4320"/>
        <w:gridCol w:w="4320"/>
      </w:tblGrid>
      <w:tr>
        <w:tc>
          <w:tcPr>
            <w:tcW w:type="dxa" w:w="3456"/>
            <w:shd w:val="clear" w:color="auto" w:fill="0B2E4F"/>
          </w:tcPr>
          <w:p>
            <w:r/>
            <w:r>
              <w:rPr>
                <w:rFonts w:ascii="Calibri" w:hAnsi="Calibri"/>
                <w:b/>
                <w:color w:val="FFFFFF"/>
                <w:sz w:val="19"/>
              </w:rPr>
              <w:t>Question</w:t>
            </w:r>
          </w:p>
        </w:tc>
        <w:tc>
          <w:tcPr>
            <w:tcW w:type="dxa" w:w="7344"/>
            <w:shd w:val="clear" w:color="auto" w:fill="0B2E4F"/>
          </w:tcPr>
          <w:p>
            <w:r/>
            <w:r>
              <w:rPr>
                <w:rFonts w:ascii="Calibri" w:hAnsi="Calibri"/>
                <w:b/>
                <w:color w:val="FFFFFF"/>
                <w:sz w:val="19"/>
              </w:rPr>
              <w:t>Guidance</w:t>
            </w:r>
          </w:p>
        </w:tc>
      </w:tr>
      <w:tr>
        <w:tc>
          <w:tcPr>
            <w:tcW w:type="dxa" w:w="3456"/>
          </w:tcPr>
          <w:p>
            <w:r/>
            <w:r>
              <w:rPr>
                <w:rFonts w:ascii="Calibri" w:hAnsi="Calibri"/>
                <w:b w:val="0"/>
                <w:sz w:val="19"/>
              </w:rPr>
              <w:t>intro — Consent</w:t>
            </w:r>
          </w:p>
        </w:tc>
        <w:tc>
          <w:tcPr>
            <w:tcW w:type="dxa" w:w="7344"/>
          </w:tcPr>
          <w:p>
            <w:r/>
            <w:r>
              <w:rPr>
                <w:rFonts w:ascii="Calibri" w:hAnsi="Calibri"/>
                <w:b w:val="0"/>
                <w:sz w:val="19"/>
              </w:rPr>
              <w:t>Recommended: Yes / I agree (you cannot proceed otherwise). Not a data question.</w:t>
            </w:r>
          </w:p>
        </w:tc>
      </w:tr>
      <w:tr>
        <w:tc>
          <w:tcPr>
            <w:tcW w:type="dxa" w:w="3456"/>
            <w:shd w:val="clear" w:color="auto" w:fill="EEF3F8"/>
          </w:tcPr>
          <w:p>
            <w:r/>
            <w:r>
              <w:rPr>
                <w:rFonts w:ascii="Calibri" w:hAnsi="Calibri"/>
                <w:b w:val="0"/>
                <w:sz w:val="19"/>
              </w:rPr>
              <w:t>Q1 — Industry</w:t>
            </w:r>
          </w:p>
        </w:tc>
        <w:tc>
          <w:tcPr>
            <w:tcW w:type="dxa" w:w="7344"/>
            <w:shd w:val="clear" w:color="auto" w:fill="EEF3F8"/>
          </w:tcPr>
          <w:p>
            <w:r/>
            <w:r>
              <w:rPr>
                <w:rFonts w:ascii="Calibri" w:hAnsi="Calibri"/>
                <w:b w:val="0"/>
                <w:sz w:val="19"/>
              </w:rPr>
              <w:t>Profile; answer truthfully. Banking/FS; commodity trading; shipping owner-operator; insurance/P&amp;I; energy/oil &amp; gas; legal; government/regulator; logistics; classification society. No “advantaged” answer — an off-target industry may terminate or reroute you.</w:t>
            </w:r>
          </w:p>
        </w:tc>
      </w:tr>
      <w:tr>
        <w:tc>
          <w:tcPr>
            <w:tcW w:type="dxa" w:w="3456"/>
          </w:tcPr>
          <w:p>
            <w:r/>
            <w:r>
              <w:rPr>
                <w:rFonts w:ascii="Calibri" w:hAnsi="Calibri"/>
                <w:b w:val="0"/>
                <w:sz w:val="19"/>
              </w:rPr>
              <w:t>Q2 — Region primarily operate in</w:t>
            </w:r>
          </w:p>
        </w:tc>
        <w:tc>
          <w:tcPr>
            <w:tcW w:type="dxa" w:w="7344"/>
          </w:tcPr>
          <w:p>
            <w:r/>
            <w:r>
              <w:rPr>
                <w:rFonts w:ascii="Calibri" w:hAnsi="Calibri"/>
                <w:b w:val="0"/>
                <w:sz w:val="19"/>
              </w:rPr>
              <w:t>Profile; answer truthfully. Powers any geo cut of the data; choose the region of your actual role.</w:t>
            </w:r>
          </w:p>
        </w:tc>
      </w:tr>
      <w:tr>
        <w:tc>
          <w:tcPr>
            <w:tcW w:type="dxa" w:w="3456"/>
            <w:shd w:val="clear" w:color="auto" w:fill="EEF3F8"/>
          </w:tcPr>
          <w:p>
            <w:r/>
            <w:r>
              <w:rPr>
                <w:rFonts w:ascii="Calibri" w:hAnsi="Calibri"/>
                <w:b w:val="0"/>
                <w:sz w:val="19"/>
              </w:rPr>
              <w:t>Q3 — Role / function</w:t>
            </w:r>
          </w:p>
        </w:tc>
        <w:tc>
          <w:tcPr>
            <w:tcW w:type="dxa" w:w="7344"/>
            <w:shd w:val="clear" w:color="auto" w:fill="EEF3F8"/>
          </w:tcPr>
          <w:p>
            <w:r/>
            <w:r>
              <w:rPr>
                <w:rFonts w:ascii="Calibri" w:hAnsi="Calibri"/>
                <w:b w:val="0"/>
                <w:sz w:val="19"/>
              </w:rPr>
              <w:t>Profile. Compliance/sanctions, risk, operations, trading/chartering, legal, procurement, senior management, analyst. Compliance/risk/operations are the in-scope personas.</w:t>
            </w:r>
          </w:p>
        </w:tc>
      </w:tr>
      <w:tr>
        <w:tc>
          <w:tcPr>
            <w:tcW w:type="dxa" w:w="3456"/>
          </w:tcPr>
          <w:p>
            <w:r/>
            <w:r>
              <w:rPr>
                <w:rFonts w:ascii="Calibri" w:hAnsi="Calibri"/>
                <w:b w:val="0"/>
                <w:sz w:val="19"/>
              </w:rPr>
              <w:t>Q4 — Do you use maritime risk &amp; compliance solutions?</w:t>
            </w:r>
          </w:p>
        </w:tc>
        <w:tc>
          <w:tcPr>
            <w:tcW w:type="dxa" w:w="7344"/>
          </w:tcPr>
          <w:p>
            <w:r/>
            <w:r>
              <w:rPr>
                <w:rFonts w:ascii="Calibri" w:hAnsi="Calibri"/>
                <w:b w:val="0"/>
                <w:sz w:val="19"/>
              </w:rPr>
              <w:t>Screening gate. Honest Yes if you do; a No usually screens you out. Named examples define scope.</w:t>
            </w:r>
          </w:p>
        </w:tc>
      </w:tr>
      <w:tr>
        <w:tc>
          <w:tcPr>
            <w:tcW w:type="dxa" w:w="3456"/>
            <w:shd w:val="clear" w:color="auto" w:fill="EEF3F8"/>
          </w:tcPr>
          <w:p>
            <w:r/>
            <w:r>
              <w:rPr>
                <w:rFonts w:ascii="Calibri" w:hAnsi="Calibri"/>
                <w:b w:val="0"/>
                <w:sz w:val="19"/>
              </w:rPr>
              <w:t>Q5 / Q6 — Size of activity / Vessel type(s)</w:t>
            </w:r>
          </w:p>
        </w:tc>
        <w:tc>
          <w:tcPr>
            <w:tcW w:type="dxa" w:w="7344"/>
            <w:shd w:val="clear" w:color="auto" w:fill="EEF3F8"/>
          </w:tcPr>
          <w:p>
            <w:r/>
            <w:r>
              <w:rPr>
                <w:rFonts w:ascii="Calibri" w:hAnsi="Calibri"/>
                <w:b w:val="0"/>
                <w:sz w:val="19"/>
              </w:rPr>
              <w:t>Profile; keep consistent with AF1 and Q36. Q6 spans tankers (crude/product), dry bulk, container, gas (LNG/LPG), general cargo, offshore, passenger. Tankers and gas carriers are highest-sanctions-risk — select only if true.</w:t>
            </w:r>
          </w:p>
        </w:tc>
      </w:tr>
      <w:tr>
        <w:tc>
          <w:tcPr>
            <w:tcW w:type="dxa" w:w="3456"/>
          </w:tcPr>
          <w:p>
            <w:r/>
            <w:r>
              <w:rPr>
                <w:rFonts w:ascii="Calibri" w:hAnsi="Calibri"/>
                <w:b w:val="0"/>
                <w:sz w:val="19"/>
              </w:rPr>
              <w:t>Q7 / Q8 — Solutions org has access to / you personally use</w:t>
            </w:r>
          </w:p>
        </w:tc>
        <w:tc>
          <w:tcPr>
            <w:tcW w:type="dxa" w:w="7344"/>
          </w:tcPr>
          <w:p>
            <w:r/>
            <w:r>
              <w:rPr>
                <w:rFonts w:ascii="Calibri" w:hAnsi="Calibri"/>
                <w:b w:val="0"/>
                <w:sz w:val="19"/>
              </w:rPr>
              <w:t>Behavioural; answer truthfully. Multi-select of the five vendors + “Other” (pipes into Q24–Q26, Q33 as ${Q8.r98.open}). Only tick tools you genuinely have/use — these drive downstream loops.</w:t>
            </w:r>
          </w:p>
        </w:tc>
      </w:tr>
      <w:tr>
        <w:tc>
          <w:tcPr>
            <w:tcW w:type="dxa" w:w="3456"/>
            <w:shd w:val="clear" w:color="auto" w:fill="EEF3F8"/>
          </w:tcPr>
          <w:p>
            <w:r/>
            <w:r>
              <w:rPr>
                <w:rFonts w:ascii="Calibri" w:hAnsi="Calibri"/>
                <w:b w:val="0"/>
                <w:sz w:val="19"/>
              </w:rPr>
              <w:t>Q9 / Q10 / Q11 — Decision involvement / who leads / which teams</w:t>
            </w:r>
          </w:p>
        </w:tc>
        <w:tc>
          <w:tcPr>
            <w:tcW w:type="dxa" w:w="7344"/>
            <w:shd w:val="clear" w:color="auto" w:fill="EEF3F8"/>
          </w:tcPr>
          <w:p>
            <w:r/>
            <w:r>
              <w:rPr>
                <w:rFonts w:ascii="Calibri" w:hAnsi="Calibri"/>
                <w:b w:val="0"/>
                <w:sz w:val="19"/>
              </w:rPr>
              <w:t>Profile. Q10 commonly: Compliance, Risk, Procurement, IT, Operations, Senior leadership. Higher decision-involvement respondents are more valuable, but don’t overstate.</w:t>
            </w:r>
          </w:p>
        </w:tc>
      </w:tr>
      <w:tr>
        <w:tc>
          <w:tcPr>
            <w:tcW w:type="dxa" w:w="3456"/>
          </w:tcPr>
          <w:p>
            <w:r/>
            <w:r>
              <w:rPr>
                <w:rFonts w:ascii="Calibri" w:hAnsi="Calibri"/>
                <w:b w:val="0"/>
                <w:sz w:val="19"/>
              </w:rPr>
              <w:t>Q12 — Key use cases</w:t>
            </w:r>
          </w:p>
        </w:tc>
        <w:tc>
          <w:tcPr>
            <w:tcW w:type="dxa" w:w="7344"/>
          </w:tcPr>
          <w:p>
            <w:r/>
            <w:r>
              <w:rPr>
                <w:rFonts w:ascii="Calibri" w:hAnsi="Calibri"/>
                <w:b w:val="0"/>
                <w:sz w:val="19"/>
              </w:rPr>
              <w:t>Canonical set (mirrored in Q14/Q15): Vessel KYC &amp; due diligence; Counterparty risk/screening; Trade/cargo risk screening; Vessel tracking/continuous monitoring &amp; alerts; Fleet/voyage monitoring; Regulatory audit trail &amp; compliance documentation; + Other.</w:t>
            </w:r>
          </w:p>
        </w:tc>
      </w:tr>
      <w:tr>
        <w:tc>
          <w:tcPr>
            <w:tcW w:type="dxa" w:w="3456"/>
            <w:shd w:val="clear" w:color="auto" w:fill="EEF3F8"/>
          </w:tcPr>
          <w:p>
            <w:r/>
            <w:r>
              <w:rPr>
                <w:rFonts w:ascii="Calibri" w:hAnsi="Calibri"/>
                <w:b w:val="0"/>
                <w:sz w:val="19"/>
              </w:rPr>
              <w:t>Q13 / Q16 — Importance / criticality (1–5)</w:t>
            </w:r>
          </w:p>
        </w:tc>
        <w:tc>
          <w:tcPr>
            <w:tcW w:type="dxa" w:w="7344"/>
            <w:shd w:val="clear" w:color="auto" w:fill="EEF3F8"/>
          </w:tcPr>
          <w:p>
            <w:r/>
            <w:r>
              <w:rPr>
                <w:rFonts w:ascii="Calibri" w:hAnsi="Calibri"/>
                <w:b w:val="0"/>
                <w:sz w:val="19"/>
              </w:rPr>
              <w:t>Opinion. Sanctions screening, KYC/counterparty due diligence and continuous monitoring are typically mission-critical (4–5) for FIs and traders. Avoid clustering everything at 5.</w:t>
            </w:r>
          </w:p>
        </w:tc>
      </w:tr>
      <w:tr>
        <w:tc>
          <w:tcPr>
            <w:tcW w:type="dxa" w:w="3456"/>
          </w:tcPr>
          <w:p>
            <w:r/>
            <w:r>
              <w:rPr>
                <w:rFonts w:ascii="Calibri" w:hAnsi="Calibri"/>
                <w:b w:val="0"/>
                <w:sz w:val="19"/>
              </w:rPr>
              <w:t>Q14 — Primary &amp; secondary solution per use case</w:t>
            </w:r>
          </w:p>
        </w:tc>
        <w:tc>
          <w:tcPr>
            <w:tcW w:type="dxa" w:w="7344"/>
          </w:tcPr>
          <w:p>
            <w:r/>
            <w:r>
              <w:rPr>
                <w:rFonts w:ascii="Calibri" w:hAnsi="Calibri"/>
                <w:b w:val="0"/>
                <w:sz w:val="19"/>
              </w:rPr>
              <w:t>Behavioural. Sanity check: screening+audit → Pole Star, Windward, Lloyd's List; KYC/ownership → S&amp;P/IHS, Lloyd's List, Windward; trade/cargo → Kpler, Windward; tracking/monitoring → Lloyd's List, Kpler/MarineTraffic, Windward, S&amp;P AISLive; fleet/voyage → S&amp;P Sea-web, Lloyd's List, Kpler.</w:t>
            </w:r>
          </w:p>
        </w:tc>
      </w:tr>
      <w:tr>
        <w:tc>
          <w:tcPr>
            <w:tcW w:type="dxa" w:w="3456"/>
            <w:shd w:val="clear" w:color="auto" w:fill="EEF3F8"/>
          </w:tcPr>
          <w:p>
            <w:r/>
            <w:r>
              <w:rPr>
                <w:rFonts w:ascii="Calibri" w:hAnsi="Calibri"/>
                <w:b w:val="0"/>
                <w:sz w:val="19"/>
              </w:rPr>
              <w:t>Q15_Lr1…Lr7 — Why is [piped vendor] your primary?</w:t>
            </w:r>
          </w:p>
        </w:tc>
        <w:tc>
          <w:tcPr>
            <w:tcW w:type="dxa" w:w="7344"/>
            <w:shd w:val="clear" w:color="auto" w:fill="EEF3F8"/>
          </w:tcPr>
          <w:p>
            <w:r/>
            <w:r>
              <w:rPr>
                <w:rFonts w:ascii="Calibri" w:hAnsi="Calibri"/>
                <w:b w:val="0"/>
                <w:sz w:val="19"/>
              </w:rPr>
              <w:t>Open text about the tool named in Q14. On-message reasons: data quality/coverage, fewer false positives, workflow fit, auditability, integration/API, analyst trust, brand/regulator acceptance.</w:t>
            </w:r>
          </w:p>
        </w:tc>
      </w:tr>
      <w:tr>
        <w:tc>
          <w:tcPr>
            <w:tcW w:type="dxa" w:w="3456"/>
          </w:tcPr>
          <w:p>
            <w:r/>
            <w:r>
              <w:rPr>
                <w:rFonts w:ascii="Calibri" w:hAnsi="Calibri"/>
                <w:b w:val="0"/>
                <w:sz w:val="19"/>
              </w:rPr>
              <w:t>Q17 / Q18 — Use more than one? / why</w:t>
            </w:r>
          </w:p>
        </w:tc>
        <w:tc>
          <w:tcPr>
            <w:tcW w:type="dxa" w:w="7344"/>
          </w:tcPr>
          <w:p>
            <w:r/>
            <w:r>
              <w:rPr>
                <w:rFonts w:ascii="Calibri" w:hAnsi="Calibri"/>
                <w:b w:val="0"/>
                <w:sz w:val="19"/>
              </w:rPr>
              <w:t>Behavioural. Many teams run two (data/registry source + screening/AI layer). Reasons: corroboration, complementary data, coverage gaps, false-positive reduction, regulator expectations, redundancy.</w:t>
            </w:r>
          </w:p>
        </w:tc>
      </w:tr>
      <w:tr>
        <w:tc>
          <w:tcPr>
            <w:tcW w:type="dxa" w:w="3456"/>
            <w:shd w:val="clear" w:color="auto" w:fill="EEF3F8"/>
          </w:tcPr>
          <w:p>
            <w:r/>
            <w:r>
              <w:rPr>
                <w:rFonts w:ascii="Calibri" w:hAnsi="Calibri"/>
                <w:b w:val="0"/>
                <w:sz w:val="19"/>
              </w:rPr>
              <w:t>Q19 — One tool flagged a risk another missed</w:t>
            </w:r>
          </w:p>
        </w:tc>
        <w:tc>
          <w:tcPr>
            <w:tcW w:type="dxa" w:w="7344"/>
            <w:shd w:val="clear" w:color="auto" w:fill="EEF3F8"/>
          </w:tcPr>
          <w:p>
            <w:r/>
            <w:r>
              <w:rPr>
                <w:rFonts w:ascii="Calibri" w:hAnsi="Calibri"/>
                <w:b w:val="0"/>
                <w:sz w:val="19"/>
              </w:rPr>
              <w:t>Opinion/experience — the survey’s “why two tools matter” question. “Occasionally/sometimes” is the most common honest answer.</w:t>
            </w:r>
          </w:p>
        </w:tc>
      </w:tr>
      <w:tr>
        <w:tc>
          <w:tcPr>
            <w:tcW w:type="dxa" w:w="3456"/>
          </w:tcPr>
          <w:p>
            <w:r/>
            <w:r>
              <w:rPr>
                <w:rFonts w:ascii="Calibri" w:hAnsi="Calibri"/>
                <w:b w:val="0"/>
                <w:sz w:val="19"/>
              </w:rPr>
              <w:t>Q20 / Q21YES / Q21NO — Switch to one provider only?</w:t>
            </w:r>
          </w:p>
        </w:tc>
        <w:tc>
          <w:tcPr>
            <w:tcW w:type="dxa" w:w="7344"/>
          </w:tcPr>
          <w:p>
            <w:r/>
            <w:r>
              <w:rPr>
                <w:rFonts w:ascii="Calibri" w:hAnsi="Calibri"/>
                <w:b w:val="0"/>
                <w:sz w:val="19"/>
              </w:rPr>
              <w:t>Opinion. YES drivers: cost, simpler workflow, vendor consolidation. NO drivers: missed flags, coverage gaps, regulatory defensibility, internal embedding.</w:t>
            </w:r>
          </w:p>
        </w:tc>
      </w:tr>
      <w:tr>
        <w:tc>
          <w:tcPr>
            <w:tcW w:type="dxa" w:w="3456"/>
            <w:shd w:val="clear" w:color="auto" w:fill="EEF3F8"/>
          </w:tcPr>
          <w:p>
            <w:r/>
            <w:r>
              <w:rPr>
                <w:rFonts w:ascii="Calibri" w:hAnsi="Calibri"/>
                <w:b w:val="0"/>
                <w:sz w:val="19"/>
              </w:rPr>
              <w:t>Q22 — If forced to one provider, which?</w:t>
            </w:r>
          </w:p>
        </w:tc>
        <w:tc>
          <w:tcPr>
            <w:tcW w:type="dxa" w:w="7344"/>
            <w:shd w:val="clear" w:color="auto" w:fill="EEF3F8"/>
          </w:tcPr>
          <w:p>
            <w:r/>
            <w:r>
              <w:rPr>
                <w:rFonts w:ascii="Calibri" w:hAnsi="Calibri"/>
                <w:b w:val="0"/>
                <w:sz w:val="19"/>
              </w:rPr>
              <w:t>Opinion. Consolidation favours broadest-data players (Kpler, S&amp;P, Lloyd's List) or strongest workflow/AI (Windward, Pole Star), depending on data-vs-workflow priority.</w:t>
            </w:r>
          </w:p>
        </w:tc>
      </w:tr>
      <w:tr>
        <w:tc>
          <w:tcPr>
            <w:tcW w:type="dxa" w:w="3456"/>
          </w:tcPr>
          <w:p>
            <w:r/>
            <w:r>
              <w:rPr>
                <w:rFonts w:ascii="Calibri" w:hAnsi="Calibri"/>
                <w:b w:val="0"/>
                <w:sz w:val="19"/>
              </w:rPr>
              <w:t>Q23 — Importance of editorial commentary (1–5)</w:t>
            </w:r>
          </w:p>
        </w:tc>
        <w:tc>
          <w:tcPr>
            <w:tcW w:type="dxa" w:w="7344"/>
          </w:tcPr>
          <w:p>
            <w:r/>
            <w:r>
              <w:rPr>
                <w:rFonts w:ascii="Calibri" w:hAnsi="Calibri"/>
                <w:b w:val="0"/>
                <w:sz w:val="19"/>
              </w:rPr>
              <w:t>Opinion. Structurally favours Lloyd's List Intelligence (editorial heritage). Rate by how much you value news/analysis alongside data.</w:t>
            </w:r>
          </w:p>
        </w:tc>
      </w:tr>
      <w:tr>
        <w:tc>
          <w:tcPr>
            <w:tcW w:type="dxa" w:w="3456"/>
            <w:shd w:val="clear" w:color="auto" w:fill="EEF3F8"/>
          </w:tcPr>
          <w:p>
            <w:r/>
            <w:r>
              <w:rPr>
                <w:rFonts w:ascii="Calibri" w:hAnsi="Calibri"/>
                <w:b w:val="0"/>
                <w:sz w:val="19"/>
              </w:rPr>
              <w:t>Q24–Q26 (per vendor) — frequency / interaction / tenure</w:t>
            </w:r>
          </w:p>
        </w:tc>
        <w:tc>
          <w:tcPr>
            <w:tcW w:type="dxa" w:w="7344"/>
            <w:shd w:val="clear" w:color="auto" w:fill="EEF3F8"/>
          </w:tcPr>
          <w:p>
            <w:r/>
            <w:r>
              <w:rPr>
                <w:rFonts w:ascii="Calibri" w:hAnsi="Calibri"/>
                <w:b w:val="0"/>
                <w:sz w:val="19"/>
              </w:rPr>
              <w:t>Behavioural; answer per tool truthfully. Lr6 / ${Q8.r98.open} only appears if you entered an “Other” vendor at Q8.</w:t>
            </w:r>
          </w:p>
        </w:tc>
      </w:tr>
      <w:tr>
        <w:tc>
          <w:tcPr>
            <w:tcW w:type="dxa" w:w="3456"/>
          </w:tcPr>
          <w:p>
            <w:r/>
            <w:r>
              <w:rPr>
                <w:rFonts w:ascii="Calibri" w:hAnsi="Calibri"/>
                <w:b w:val="0"/>
                <w:sz w:val="19"/>
              </w:rPr>
              <w:t>Q27 — How handled before adoption</w:t>
            </w:r>
          </w:p>
        </w:tc>
        <w:tc>
          <w:tcPr>
            <w:tcW w:type="dxa" w:w="7344"/>
          </w:tcPr>
          <w:p>
            <w:r/>
            <w:r>
              <w:rPr>
                <w:rFonts w:ascii="Calibri" w:hAnsi="Calibri"/>
                <w:b w:val="0"/>
                <w:sz w:val="19"/>
              </w:rPr>
              <w:t>Manual checks, spreadsheets, in-house lists, generic AIS, broker/agent calls, non-maritime sanctions screening.</w:t>
            </w:r>
          </w:p>
        </w:tc>
      </w:tr>
      <w:tr>
        <w:tc>
          <w:tcPr>
            <w:tcW w:type="dxa" w:w="3456"/>
            <w:shd w:val="clear" w:color="auto" w:fill="EEF3F8"/>
          </w:tcPr>
          <w:p>
            <w:r/>
            <w:r>
              <w:rPr>
                <w:rFonts w:ascii="Calibri" w:hAnsi="Calibri"/>
                <w:b w:val="0"/>
                <w:sz w:val="19"/>
              </w:rPr>
              <w:t>Q28 / Q29 — Why adopted / main benefits</w:t>
            </w:r>
          </w:p>
        </w:tc>
        <w:tc>
          <w:tcPr>
            <w:tcW w:type="dxa" w:w="7344"/>
            <w:shd w:val="clear" w:color="auto" w:fill="EEF3F8"/>
          </w:tcPr>
          <w:p>
            <w:r/>
            <w:r>
              <w:rPr>
                <w:rFonts w:ascii="Calibri" w:hAnsi="Calibri"/>
                <w:b w:val="0"/>
                <w:sz w:val="19"/>
              </w:rPr>
              <w:t>Tightening regulation, dark-fleet/evasion complexity, audit/defensibility, efficiency/time saved, fewer false positives, broader coverage.</w:t>
            </w:r>
          </w:p>
        </w:tc>
      </w:tr>
      <w:tr>
        <w:tc>
          <w:tcPr>
            <w:tcW w:type="dxa" w:w="3456"/>
          </w:tcPr>
          <w:p>
            <w:r/>
            <w:r>
              <w:rPr>
                <w:rFonts w:ascii="Calibri" w:hAnsi="Calibri"/>
                <w:b w:val="0"/>
                <w:sz w:val="19"/>
              </w:rPr>
              <w:t>Q30 / Q31 — Difficulty of switching (1–5) / reasons</w:t>
            </w:r>
          </w:p>
        </w:tc>
        <w:tc>
          <w:tcPr>
            <w:tcW w:type="dxa" w:w="7344"/>
          </w:tcPr>
          <w:p>
            <w:r/>
            <w:r>
              <w:rPr>
                <w:rFonts w:ascii="Calibri" w:hAnsi="Calibri"/>
                <w:b w:val="0"/>
                <w:sz w:val="19"/>
              </w:rPr>
              <w:t>Opinion. Embedded APIs, trained staff, historical audit records, workflow dependence and data continuity make switching “fairly hard” (3–4) for core screening tools.</w:t>
            </w:r>
          </w:p>
        </w:tc>
      </w:tr>
      <w:tr>
        <w:tc>
          <w:tcPr>
            <w:tcW w:type="dxa" w:w="3456"/>
            <w:shd w:val="clear" w:color="auto" w:fill="EEF3F8"/>
          </w:tcPr>
          <w:p>
            <w:r/>
            <w:r>
              <w:rPr>
                <w:rFonts w:ascii="Calibri" w:hAnsi="Calibri"/>
                <w:b w:val="0"/>
                <w:sz w:val="19"/>
              </w:rPr>
              <w:t>Q32 — Top-3 selection criteria</w:t>
            </w:r>
          </w:p>
        </w:tc>
        <w:tc>
          <w:tcPr>
            <w:tcW w:type="dxa" w:w="7344"/>
            <w:shd w:val="clear" w:color="auto" w:fill="EEF3F8"/>
          </w:tcPr>
          <w:p>
            <w:r/>
            <w:r>
              <w:rPr>
                <w:rFonts w:ascii="Calibri" w:hAnsi="Calibri"/>
                <w:b w:val="0"/>
                <w:sz w:val="19"/>
              </w:rPr>
              <w:t>Quality of data; breadth of coverage; ease of use/delivery; reputation/brand; industry-specific workflow; ease of integration; customer support; + Other (${Q32.r98.open}). Most common deciders market-wide: data quality, coverage, workflow/integration.</w:t>
            </w:r>
          </w:p>
        </w:tc>
      </w:tr>
      <w:tr>
        <w:tc>
          <w:tcPr>
            <w:tcW w:type="dxa" w:w="3456"/>
          </w:tcPr>
          <w:p>
            <w:r/>
            <w:r>
              <w:rPr>
                <w:rFonts w:ascii="Calibri" w:hAnsi="Calibri"/>
                <w:b w:val="0"/>
                <w:sz w:val="19"/>
              </w:rPr>
              <w:t>Q33KPC1–8 × Lr1–6 — Rate each vendor 1–5 per criterion</w:t>
            </w:r>
          </w:p>
        </w:tc>
        <w:tc>
          <w:tcPr>
            <w:tcW w:type="dxa" w:w="7344"/>
          </w:tcPr>
          <w:p>
            <w:r/>
            <w:r>
              <w:rPr>
                <w:rFonts w:ascii="Calibri" w:hAnsi="Calibri"/>
                <w:b w:val="0"/>
                <w:sz w:val="19"/>
              </w:rPr>
              <w:t>Opinion; rate only what you’ve used. Tendencies: data quality/coverage → S&amp;P/IHS, Lloyd's List (registry/ownership), Kpler (commodity+AIS), Windward (behavioral); workflow/audit → Pole Star, Windward; integration/API → Kpler, Windward, S&amp;P; brand → Lloyd's List, S&amp;P; support → varies, no clear public leader.</w:t>
            </w:r>
          </w:p>
        </w:tc>
      </w:tr>
      <w:tr>
        <w:tc>
          <w:tcPr>
            <w:tcW w:type="dxa" w:w="3456"/>
            <w:shd w:val="clear" w:color="auto" w:fill="EEF3F8"/>
          </w:tcPr>
          <w:p>
            <w:r/>
            <w:r>
              <w:rPr>
                <w:rFonts w:ascii="Calibri" w:hAnsi="Calibri"/>
                <w:b w:val="0"/>
                <w:sz w:val="19"/>
              </w:rPr>
              <w:t>Q34 / Q35 — NPS (0–10) / primary reason</w:t>
            </w:r>
          </w:p>
        </w:tc>
        <w:tc>
          <w:tcPr>
            <w:tcW w:type="dxa" w:w="7344"/>
            <w:shd w:val="clear" w:color="auto" w:fill="EEF3F8"/>
          </w:tcPr>
          <w:p>
            <w:r/>
            <w:r>
              <w:rPr>
                <w:rFonts w:ascii="Calibri" w:hAnsi="Calibri"/>
                <w:b w:val="0"/>
                <w:sz w:val="19"/>
              </w:rPr>
              <w:t>Opinion. Score from genuine satisfaction; Q35 should explain it in terms of the Q32/Q33 criteria.</w:t>
            </w:r>
          </w:p>
        </w:tc>
      </w:tr>
      <w:tr>
        <w:tc>
          <w:tcPr>
            <w:tcW w:type="dxa" w:w="3456"/>
          </w:tcPr>
          <w:p>
            <w:r/>
            <w:r>
              <w:rPr>
                <w:rFonts w:ascii="Calibri" w:hAnsi="Calibri"/>
                <w:b w:val="0"/>
                <w:sz w:val="19"/>
              </w:rPr>
              <w:t>Q36 / Q37 / Q38 — Annual spend / extra before switching / number of internal teams</w:t>
            </w:r>
          </w:p>
        </w:tc>
        <w:tc>
          <w:tcPr>
            <w:tcW w:type="dxa" w:w="7344"/>
          </w:tcPr>
          <w:p>
            <w:r/>
            <w:r>
              <w:rPr>
                <w:rFonts w:ascii="Calibri" w:hAnsi="Calibri"/>
                <w:b w:val="0"/>
                <w:sz w:val="19"/>
              </w:rPr>
              <w:t>Profile/financial; keep consistent with Q5/Q6/AF1. Q37 captures price elasticity — embedded primary tools usually tolerate a meaningful increase before switching.</w:t>
            </w:r>
          </w:p>
        </w:tc>
      </w:tr>
      <w:tr>
        <w:tc>
          <w:tcPr>
            <w:tcW w:type="dxa" w:w="3456"/>
            <w:shd w:val="clear" w:color="auto" w:fill="EEF3F8"/>
          </w:tcPr>
          <w:p>
            <w:r/>
            <w:r>
              <w:rPr>
                <w:rFonts w:ascii="Calibri" w:hAnsi="Calibri"/>
                <w:b w:val="0"/>
                <w:sz w:val="19"/>
              </w:rPr>
              <w:t>Q39 / Q40INC / Q40DEC — 3-year spend change &amp; drivers</w:t>
            </w:r>
          </w:p>
        </w:tc>
        <w:tc>
          <w:tcPr>
            <w:tcW w:type="dxa" w:w="7344"/>
            <w:shd w:val="clear" w:color="auto" w:fill="EEF3F8"/>
          </w:tcPr>
          <w:p>
            <w:r/>
            <w:r>
              <w:rPr>
                <w:rFonts w:ascii="Calibri" w:hAnsi="Calibri"/>
                <w:b w:val="0"/>
                <w:sz w:val="19"/>
              </w:rPr>
              <w:t>Market reality skews to Increased (sanctions pressure, dark-fleet complexity). Increase drivers: more regulation/enforcement, more vessels/counterparties, new use cases, headcount/licences, added data. Decrease drivers: consolidation, cost-cutting, in-house, reduced activity.</w:t>
            </w:r>
          </w:p>
        </w:tc>
      </w:tr>
      <w:tr>
        <w:tc>
          <w:tcPr>
            <w:tcW w:type="dxa" w:w="3456"/>
          </w:tcPr>
          <w:p>
            <w:r/>
            <w:r>
              <w:rPr>
                <w:rFonts w:ascii="Calibri" w:hAnsi="Calibri"/>
                <w:b w:val="0"/>
                <w:sz w:val="19"/>
              </w:rPr>
              <w:t>Q41 / Q42 — Other maritime intelligence purchased / spend</w:t>
            </w:r>
          </w:p>
        </w:tc>
        <w:tc>
          <w:tcPr>
            <w:tcW w:type="dxa" w:w="7344"/>
          </w:tcPr>
          <w:p>
            <w:r/>
            <w:r>
              <w:rPr>
                <w:rFonts w:ascii="Calibri" w:hAnsi="Calibri"/>
                <w:b w:val="0"/>
                <w:sz w:val="19"/>
              </w:rPr>
              <w:t>Market/freight analytics, AIS/satellite feeds, port/congestion data, weather routing, emissions/ETS compliance, credit/counterparty data, valuation/S&amp;P data. Q42 financial — keep consistent with Q36.</w:t>
            </w:r>
          </w:p>
        </w:tc>
      </w:tr>
    </w:tbl>
    <w:p/>
    <w:p>
      <w:pPr>
        <w:pStyle w:val="Heading1"/>
      </w:pPr>
      <w:r>
        <w:t>6.  Bottom line</w:t>
      </w:r>
    </w:p>
    <w:p>
      <w:pPr>
        <w:pStyle w:val="ListBullet"/>
        <w:spacing w:after="120"/>
      </w:pPr>
      <w:r>
        <w:rPr>
          <w:b/>
          <w:i w:val="0"/>
          <w:sz w:val="21"/>
        </w:rPr>
        <w:t xml:space="preserve">Only AF2, AF3 and AF4 have objectively “right” and “wrong” answers </w:t>
      </w:r>
      <w:r>
        <w:rPr>
          <w:b w:val="0"/>
          <w:i w:val="0"/>
          <w:sz w:val="21"/>
        </w:rPr>
        <w:t>— OFAC; an actual deceptive practice (AIS manipulation / STS / false docs / flag-hopping); and AIS = identity + position/navigation data. Everything else is profile, behaviour or opinion, where the only correct answer is the truthful one.</w:t>
      </w:r>
    </w:p>
    <w:p>
      <w:pPr>
        <w:pStyle w:val="ListBullet"/>
        <w:spacing w:after="120"/>
      </w:pPr>
      <w:r>
        <w:rPr>
          <w:b/>
          <w:i w:val="0"/>
          <w:sz w:val="21"/>
        </w:rPr>
        <w:t xml:space="preserve">No vendor publishes audited geographic market share. </w:t>
      </w:r>
      <w:r>
        <w:rPr>
          <w:b w:val="0"/>
          <w:i w:val="0"/>
          <w:sz w:val="21"/>
        </w:rPr>
        <w:t>The geo/segment view is directional: S&amp;P/IHS and Lloyd's List dominate legacy vessel/ownership reference (strong in Europe and APAC); Kpler leads commodity/energy-trade intelligence and now owns major AIS assets (MarineTraffic, Spire); Pole Star leads bank/trade-finance screening workflow; Windward leads behavioral-AI risk and government/regulator use (strong in the US, UK, EU).</w:t>
      </w:r>
    </w:p>
    <w:p>
      <w:pPr>
        <w:pStyle w:val="ListBullet"/>
        <w:spacing w:after="120"/>
      </w:pPr>
      <w:r>
        <w:rPr>
          <w:b/>
          <w:i w:val="0"/>
          <w:sz w:val="21"/>
        </w:rPr>
        <w:t xml:space="preserve">If this is an incentivised research panel, </w:t>
      </w:r>
      <w:r>
        <w:rPr>
          <w:b w:val="0"/>
          <w:i w:val="0"/>
          <w:sz w:val="21"/>
        </w:rPr>
        <w:t>answering profile/financial questions untruthfully to “pass” is survey fraud and risks disqualification. The value here is getting the knowledge questions right and sanity-checking opinion ratings against how the market actually perceives each vendor.</w:t>
      </w:r>
    </w:p>
    <w:p>
      <w:pPr>
        <w:pStyle w:val="Heading1"/>
      </w:pPr>
      <w:r>
        <w:t>7.  Sources</w:t>
      </w:r>
    </w:p>
    <w:p>
      <w:pPr>
        <w:spacing w:after="120"/>
      </w:pPr>
      <w:r>
        <w:rPr>
          <w:i/>
          <w:color w:val="555555"/>
          <w:sz w:val="18"/>
        </w:rPr>
        <w:t>Content from third-party sources was rephrased for compliance with licensing restrictions.</w:t>
      </w:r>
    </w:p>
    <w:p>
      <w:pPr>
        <w:pStyle w:val="ListBullet"/>
        <w:spacing w:after="120"/>
      </w:pPr>
      <w:r>
        <w:rPr>
          <w:b w:val="0"/>
          <w:i w:val="0"/>
          <w:sz w:val="19"/>
        </w:rPr>
        <w:t>Market size: MarkWide Research – Global Maritime Information Market; SkyQuest – Maritime Information Market; Mordor Intelligence – Maritime Security Market.</w:t>
      </w:r>
    </w:p>
    <w:p>
      <w:pPr>
        <w:pStyle w:val="ListBullet"/>
        <w:spacing w:after="120"/>
      </w:pPr>
      <w:r>
        <w:rPr>
          <w:b w:val="0"/>
          <w:i w:val="0"/>
          <w:sz w:val="19"/>
        </w:rPr>
        <w:t>OFAC maritime advisory (deceptive shipping practices): ofac.treasury.gov/recent-actions/20200514; Crowell &amp; Moring client alert on the OFAC advisory.</w:t>
      </w:r>
    </w:p>
    <w:p>
      <w:pPr>
        <w:pStyle w:val="ListBullet"/>
        <w:spacing w:after="120"/>
      </w:pPr>
      <w:r>
        <w:rPr>
          <w:b w:val="0"/>
          <w:i w:val="0"/>
          <w:sz w:val="19"/>
        </w:rPr>
        <w:t>AIS data: Nautical Institute (how AIS works); Wikipedia – Automatic Identification System; MarineTraffic support (what AIS transmits).</w:t>
      </w:r>
    </w:p>
    <w:p>
      <w:pPr>
        <w:pStyle w:val="ListBullet"/>
        <w:spacing w:after="120"/>
      </w:pPr>
      <w:r>
        <w:rPr>
          <w:b w:val="0"/>
          <w:i w:val="0"/>
          <w:sz w:val="19"/>
        </w:rPr>
        <w:t>Vendors: spglobal.com (Maritime Intelligence Risk Suite, Ship Compliance, shadow-fleet research); lloydslistintelligence.com (Seasearcher, Advanced Risk &amp; Compliance); polestarglobal.com (PurpleTRAC, sanctions screening); kpler.com (Risk &amp; Compliance, MarineTraffic); windward.ai (Maritime AI, sanctions insights).</w:t>
      </w:r>
    </w:p>
    <w:p>
      <w:pPr>
        <w:pStyle w:val="ListBullet"/>
        <w:spacing w:after="120"/>
      </w:pPr>
      <w:r>
        <w:rPr>
          <w:b w:val="0"/>
          <w:i w:val="0"/>
          <w:sz w:val="19"/>
        </w:rPr>
        <w:t>Kpler/Spire deal: Spire Global investor relations (sale of maritime business to Kpler, ~USD 233.5M + services, closed Apr 2025); Ship Technology; UK CMA merger inquiry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Maritime Risk &amp; Compliance Survey — Secondary Research &amp; Answer Guide  |  Prepared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B2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