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105" w:line="450" w:lineRule="exact"/>
        <w:keepLines/>
      </w:pPr>
      <w:r>
        <w:rPr>
          <w:rFonts w:ascii="Calibri" w:hAnsi="Calibri" w:eastAsia="Noto Sans CJK SC"/>
          <w:sz w:val="36"/>
          <w:szCs w:val="36"/>
          <w:color w:val="18384E"/>
          <w:b/>
        </w:rPr>
        <w:t xml:space="preserve">胥成金</w:t>
      </w:r>
    </w:p>
    <w:p>
      <w:pPr>
        <w:spacing w:before="0" w:after="70" w:line="300" w:lineRule="exact"/>
        <w:keepLines/>
      </w:pPr>
      <w:r>
        <w:rPr>
          <w:rFonts w:ascii="Calibri" w:hAnsi="Calibri" w:eastAsia="Noto Sans CJK SC"/>
          <w:sz w:val="22"/>
          <w:szCs w:val="22"/>
          <w:color w:val="202B36"/>
          <w:b/>
        </w:rPr>
        <w:t xml:space="preserve">求职方向：人形机器人运动控制 / 模仿学习算法</w:t>
      </w:r>
    </w:p>
    <w:p>
      <w:pPr>
        <w:spacing w:before="0" w:after="20" w:line="270" w:lineRule="exact"/>
        <w:keepLines/>
      </w:pPr>
      <w:r>
        <w:rPr>
          <w:rFonts w:ascii="Calibri" w:hAnsi="Calibri" w:eastAsia="Noto Sans CJK SC"/>
          <w:sz w:val="19"/>
          <w:szCs w:val="19"/>
          <w:color w:val="202B36"/>
        </w:rPr>
        <w:t xml:space="preserve">13981189109  |  2570974270@qq.com  |  中共党员</w:t>
      </w:r>
    </w:p>
    <w:p>
      <w:pPr>
        <w:spacing w:before="105" w:after="90" w:line="300" w:lineRule="exact"/>
        <w:keepLines/>
        <w:keepNext/>
        <w:pBdr>
          <w:bottom w:val="single" w:sz="7" w:color="294B64" w:space="3"/>
        </w:pBdr>
      </w:pPr>
      <w:r>
        <w:rPr>
          <w:rFonts w:ascii="Calibri" w:hAnsi="Calibri" w:eastAsia="Noto Sans CJK SC"/>
          <w:sz w:val="23"/>
          <w:szCs w:val="23"/>
          <w:color w:val="294B64"/>
          <w:b/>
        </w:rPr>
        <w:t xml:space="preserve">教育背景</w:t>
      </w:r>
    </w:p>
    <w:p>
      <w:pPr>
        <w:spacing w:before="0" w:after="45" w:line="280" w:lineRule="exact"/>
        <w:keepLines/>
        <w:tabs>
          <w:tab w:val="right" w:pos="10326"/>
        </w:tabs>
      </w:pPr>
      <w:r>
        <w:rPr>
          <w:rFonts w:ascii="Calibri" w:hAnsi="Calibri" w:eastAsia="Noto Sans CJK SC"/>
          <w:sz w:val="20"/>
          <w:szCs w:val="20"/>
          <w:color w:val="202B36"/>
        </w:rPr>
        <w:t xml:space="preserve">北京工业大学  |  控制科学与工程 · 硕士</w:t>
        <w:tab/>
        <w:t xml:space="preserve">2024.09—至今</w:t>
      </w:r>
    </w:p>
    <w:p>
      <w:pPr>
        <w:spacing w:before="0" w:after="45" w:line="280" w:lineRule="exact"/>
        <w:keepLines/>
        <w:tabs>
          <w:tab w:val="right" w:pos="10326"/>
        </w:tabs>
      </w:pPr>
      <w:r>
        <w:rPr>
          <w:rFonts w:ascii="Calibri" w:hAnsi="Calibri" w:eastAsia="Noto Sans CJK SC"/>
          <w:sz w:val="20"/>
          <w:szCs w:val="20"/>
          <w:color w:val="202B36"/>
        </w:rPr>
        <w:t xml:space="preserve">北方工业大学  |  自动化（创新实验班）· 学士</w:t>
        <w:tab/>
        <w:t xml:space="preserve">2020.09—2024.06</w:t>
      </w:r>
    </w:p>
    <w:p>
      <w:pPr>
        <w:spacing w:before="105" w:after="90" w:line="300" w:lineRule="exact"/>
        <w:keepLines/>
        <w:keepNext/>
        <w:pBdr>
          <w:bottom w:val="single" w:sz="7" w:color="294B64" w:space="3"/>
        </w:pBdr>
      </w:pPr>
      <w:r>
        <w:rPr>
          <w:rFonts w:ascii="Calibri" w:hAnsi="Calibri" w:eastAsia="Noto Sans CJK SC"/>
          <w:sz w:val="23"/>
          <w:szCs w:val="23"/>
          <w:color w:val="294B64"/>
          <w:b/>
        </w:rPr>
        <w:t xml:space="preserve">实习经历</w:t>
      </w:r>
    </w:p>
    <w:p>
      <w:pPr>
        <w:spacing w:before="40" w:after="35" w:line="290" w:lineRule="exact"/>
        <w:keepLines/>
        <w:tabs>
          <w:tab w:val="right" w:pos="10326"/>
        </w:tabs>
      </w:pPr>
      <w:r>
        <w:rPr>
          <w:rFonts w:ascii="Calibri" w:hAnsi="Calibri" w:eastAsia="Noto Sans CJK SC"/>
          <w:sz w:val="20"/>
          <w:szCs w:val="20"/>
          <w:color w:val="202B36"/>
          <w:b/>
        </w:rPr>
        <w:t xml:space="preserve">松延动力  |  运控算法实习生（职责拟写）</w:t>
        <w:tab/>
        <w:t xml:space="preserve">2026.06.09—至今</w:t>
      </w:r>
    </w:p>
    <w:p>
      <w:pPr>
        <w:spacing w:before="0" w:after="40" w:line="290" w:lineRule="exact"/>
        <w:keepLines/>
      </w:pPr>
      <w:r>
        <w:rPr>
          <w:rFonts w:ascii="Calibri" w:hAnsi="Calibri" w:eastAsia="Noto Sans CJK SC"/>
          <w:sz w:val="20"/>
          <w:szCs w:val="20"/>
          <w:color w:val="202B36"/>
        </w:rPr>
        <w:t xml:space="preserve">• 数据规模与来源：团队拥有 2000+ 小时动作数据，来源包括 SONIC、诺伊藤、青桐及团队自主捕捉与积累，面向大规模人形机器人动作学习。</w:t>
      </w:r>
    </w:p>
    <w:p>
      <w:pPr>
        <w:spacing w:before="0" w:after="40" w:line="290" w:lineRule="exact"/>
        <w:keepLines/>
      </w:pPr>
      <w:r>
        <w:rPr>
          <w:rFonts w:ascii="Calibri" w:hAnsi="Calibri" w:eastAsia="Noto Sans CJK SC"/>
          <w:sz w:val="20"/>
          <w:szCs w:val="20"/>
          <w:color w:val="202B36"/>
        </w:rPr>
        <w:t xml:space="preserve">• 数据处理与批量重定向：统一多源动作的骨架、坐标系与采样率，筛选异常及低质量片段；结合机器人关节限位与形态约束开展批量重定向，并通过轨迹回放检查质量。</w:t>
      </w:r>
    </w:p>
    <w:p>
      <w:pPr>
        <w:spacing w:before="0" w:after="40" w:line="290" w:lineRule="exact"/>
        <w:keepLines/>
      </w:pPr>
      <w:r>
        <w:rPr>
          <w:rFonts w:ascii="Calibri" w:hAnsi="Calibri" w:eastAsia="Noto Sans CJK SC"/>
          <w:sz w:val="20"/>
          <w:szCs w:val="20"/>
          <w:color w:val="202B36"/>
        </w:rPr>
        <w:t xml:space="preserve">• 全身动作跟踪：参考 SONIC 的规模化动作学习路线，开展多动作统一策略训练，围绕数据混合、采样分布及难动作跟踪分析训练问题，评估跟踪误差与稳定性。</w:t>
      </w:r>
    </w:p>
    <w:p>
      <w:pPr>
        <w:spacing w:before="0" w:after="40" w:line="290" w:lineRule="exact"/>
        <w:keepLines/>
      </w:pPr>
      <w:r>
        <w:rPr>
          <w:rFonts w:ascii="Calibri" w:hAnsi="Calibri" w:eastAsia="Noto Sans CJK SC"/>
          <w:sz w:val="20"/>
          <w:szCs w:val="20"/>
          <w:color w:val="202B36"/>
        </w:rPr>
        <w:t xml:space="preserve">• 动作表征与压缩：围绕 SONIC 的共享潜在表征，探索参考动作编码与紧凑表示，关注动作重建质量、跟踪性能及泛化表现。</w:t>
      </w:r>
    </w:p>
    <w:p>
      <w:pPr>
        <w:spacing w:before="40" w:after="35" w:line="290" w:lineRule="exact"/>
        <w:keepLines/>
        <w:tabs>
          <w:tab w:val="right" w:pos="10326"/>
        </w:tabs>
      </w:pPr>
      <w:r>
        <w:rPr>
          <w:rFonts w:ascii="Calibri" w:hAnsi="Calibri" w:eastAsia="Noto Sans CJK SC"/>
          <w:sz w:val="20"/>
          <w:szCs w:val="20"/>
          <w:color w:val="202B36"/>
          <w:b/>
        </w:rPr>
        <w:t xml:space="preserve">荣耀终端股份有限公司  |  运控实习生</w:t>
        <w:tab/>
        <w:t xml:space="preserve">2025.10—2026.01</w:t>
      </w:r>
    </w:p>
    <w:p>
      <w:pPr>
        <w:spacing w:before="0" w:after="40" w:line="290" w:lineRule="exact"/>
        <w:keepLines/>
      </w:pPr>
      <w:r>
        <w:rPr>
          <w:rFonts w:ascii="Calibri" w:hAnsi="Calibri" w:eastAsia="Noto Sans CJK SC"/>
          <w:sz w:val="20"/>
          <w:szCs w:val="20"/>
          <w:color w:val="202B36"/>
        </w:rPr>
        <w:t xml:space="preserve">• 数据获取与处理：使用 GVHMR 重建真实视频中的人体三维姿态与运动轨迹，完成动作片段筛选、异常帧处理和格式转换，生成训练参考数据。</w:t>
      </w:r>
    </w:p>
    <w:p>
      <w:pPr>
        <w:spacing w:before="0" w:after="40" w:line="290" w:lineRule="exact"/>
        <w:keepLines/>
      </w:pPr>
      <w:r>
        <w:rPr>
          <w:rFonts w:ascii="Calibri" w:hAnsi="Calibri" w:eastAsia="Noto Sans CJK SC"/>
          <w:sz w:val="20"/>
          <w:szCs w:val="20"/>
          <w:color w:val="202B36"/>
        </w:rPr>
        <w:t xml:space="preserve">• 动作重定向：结合机器人关节结构与自由度约束，将人体动作适配至机器人模型，通过仿真回放验证参考轨迹的训练可用性。</w:t>
      </w:r>
    </w:p>
    <w:p>
      <w:pPr>
        <w:spacing w:before="0" w:after="40" w:line="290" w:lineRule="exact"/>
        <w:keepLines/>
      </w:pPr>
      <w:r>
        <w:rPr>
          <w:rFonts w:ascii="Calibri" w:hAnsi="Calibri" w:eastAsia="Noto Sans CJK SC"/>
          <w:sz w:val="20"/>
          <w:szCs w:val="20"/>
          <w:color w:val="202B36"/>
        </w:rPr>
        <w:t xml:space="preserve">• 策略训练：基于 BeyondMimic 开展行走、跳跃等动作跟踪训练；使用 holomotion 训练通用轨迹跟踪策略，对比不同方案的跟踪表现。</w:t>
      </w:r>
    </w:p>
    <w:p>
      <w:pPr>
        <w:spacing w:before="0" w:after="40" w:line="290" w:lineRule="exact"/>
        <w:keepLines/>
      </w:pPr>
      <w:r>
        <w:rPr>
          <w:rFonts w:ascii="Calibri" w:hAnsi="Calibri" w:eastAsia="Noto Sans CJK SC"/>
          <w:sz w:val="20"/>
          <w:szCs w:val="20"/>
          <w:color w:val="202B36"/>
        </w:rPr>
        <w:t xml:space="preserve">• 实验优化：围绕策略蒸馏、参考数据质量及未来帧输入开展对比实验，分析动作跟踪误差与姿态稳定性，调整训练参数和奖励权重。</w:t>
      </w:r>
    </w:p>
    <w:p>
      <w:pPr>
        <w:spacing w:before="105" w:after="90" w:line="300" w:lineRule="exact"/>
        <w:keepLines/>
        <w:keepNext/>
        <w:pBdr>
          <w:bottom w:val="single" w:sz="7" w:color="294B64" w:space="3"/>
        </w:pBdr>
      </w:pPr>
      <w:r>
        <w:rPr>
          <w:rFonts w:ascii="Calibri" w:hAnsi="Calibri" w:eastAsia="Noto Sans CJK SC"/>
          <w:sz w:val="23"/>
          <w:szCs w:val="23"/>
          <w:color w:val="294B64"/>
          <w:b/>
        </w:rPr>
        <w:t xml:space="preserve">项目经历</w:t>
      </w:r>
    </w:p>
    <w:p>
      <w:pPr>
        <w:spacing w:before="40" w:after="35" w:line="290" w:lineRule="exact"/>
        <w:keepLines/>
        <w:tabs>
          <w:tab w:val="right" w:pos="10326"/>
        </w:tabs>
      </w:pPr>
      <w:r>
        <w:rPr>
          <w:rFonts w:ascii="Calibri" w:hAnsi="Calibri" w:eastAsia="Noto Sans CJK SC"/>
          <w:sz w:val="20"/>
          <w:szCs w:val="20"/>
          <w:color w:val="202B36"/>
          <w:b/>
        </w:rPr>
        <w:t xml:space="preserve">Unitree G1 机器人二次开发  |  研发成员</w:t>
        <w:tab/>
        <w:t xml:space="preserve">2025.06</w:t>
      </w:r>
    </w:p>
    <w:p>
      <w:pPr>
        <w:spacing w:before="0" w:after="40" w:line="290" w:lineRule="exact"/>
        <w:keepLines/>
      </w:pPr>
      <w:r>
        <w:rPr>
          <w:rFonts w:ascii="Calibri" w:hAnsi="Calibri" w:eastAsia="Noto Sans CJK SC"/>
          <w:sz w:val="20"/>
          <w:szCs w:val="20"/>
          <w:color w:val="202B36"/>
        </w:rPr>
        <w:t xml:space="preserve">• 基于 AMP 开展人形机器人运动控制训练，使用参考动作构建运动先验，以判别器提供风格奖励，结合任务奖励优化不同速度指令下的行走与步态。</w:t>
      </w:r>
    </w:p>
    <w:p>
      <w:pPr>
        <w:spacing w:before="0" w:after="40" w:line="290" w:lineRule="exact"/>
        <w:keepLines/>
      </w:pPr>
      <w:r>
        <w:rPr>
          <w:rFonts w:ascii="Calibri" w:hAnsi="Calibri" w:eastAsia="Noto Sans CJK SC"/>
          <w:sz w:val="20"/>
          <w:szCs w:val="20"/>
          <w:color w:val="202B36"/>
        </w:rPr>
        <w:t xml:space="preserve">• 针对动作抖动、姿态偏移与足端打滑，调整奖励权重、状态输入和训练参数，改善策略收敛及运动表现。</w:t>
      </w:r>
    </w:p>
    <w:p>
      <w:pPr>
        <w:spacing w:before="40" w:after="35" w:line="290" w:lineRule="exact"/>
        <w:keepLines/>
        <w:tabs>
          <w:tab w:val="right" w:pos="10326"/>
        </w:tabs>
      </w:pPr>
      <w:r>
        <w:rPr>
          <w:rFonts w:ascii="Calibri" w:hAnsi="Calibri" w:eastAsia="Noto Sans CJK SC"/>
          <w:sz w:val="20"/>
          <w:szCs w:val="20"/>
          <w:color w:val="202B36"/>
          <w:b/>
        </w:rPr>
        <w:t xml:space="preserve">基于强化学习的人形机器人运动控制研究  |  研发成员</w:t>
        <w:tab/>
        <w:t xml:space="preserve">2023.06—至今</w:t>
      </w:r>
    </w:p>
    <w:p>
      <w:pPr>
        <w:spacing w:before="0" w:after="40" w:line="290" w:lineRule="exact"/>
        <w:keepLines/>
      </w:pPr>
      <w:r>
        <w:rPr>
          <w:rFonts w:ascii="Calibri" w:hAnsi="Calibri" w:eastAsia="Noto Sans CJK SC"/>
          <w:sz w:val="20"/>
          <w:szCs w:val="20"/>
          <w:color w:val="202B36"/>
        </w:rPr>
        <w:t xml:space="preserve">• 以 Cassie 和星动纪元 X-bot 为平台，开展行走、奔跑、跳跃等运动模态的控制研究；在 Isaac Gym 中搭建训练场景，设计奖励函数并调试控制策略。</w:t>
      </w:r>
    </w:p>
    <w:p>
      <w:pPr>
        <w:spacing w:before="0" w:after="40" w:line="290" w:lineRule="exact"/>
        <w:keepLines/>
      </w:pPr>
      <w:r>
        <w:rPr>
          <w:rFonts w:ascii="Calibri" w:hAnsi="Calibri" w:eastAsia="Noto Sans CJK SC"/>
          <w:sz w:val="20"/>
          <w:szCs w:val="20"/>
          <w:color w:val="202B36"/>
        </w:rPr>
        <w:t xml:space="preserve">• 通过域随机化与策略微调开展 Sim-to-Real 迁移，在仿真及实际机器人平台上验证策略。</w:t>
      </w:r>
    </w:p>
    <w:p>
      <w:pPr>
        <w:spacing w:before="105" w:after="90" w:line="300" w:lineRule="exact"/>
        <w:keepLines/>
        <w:keepNext/>
        <w:pBdr>
          <w:bottom w:val="single" w:sz="7" w:color="294B64" w:space="3"/>
        </w:pBdr>
      </w:pPr>
      <w:r>
        <w:rPr>
          <w:rFonts w:ascii="Calibri" w:hAnsi="Calibri" w:eastAsia="Noto Sans CJK SC"/>
          <w:sz w:val="23"/>
          <w:szCs w:val="23"/>
          <w:color w:val="294B64"/>
          <w:b/>
        </w:rPr>
        <w:t xml:space="preserve">专业技能</w:t>
      </w:r>
    </w:p>
    <w:p>
      <w:pPr>
        <w:spacing w:before="0" w:after="40" w:line="290" w:lineRule="exact"/>
        <w:keepLines/>
      </w:pPr>
      <w:r>
        <w:rPr>
          <w:rFonts w:ascii="Calibri" w:hAnsi="Calibri" w:eastAsia="Noto Sans CJK SC"/>
          <w:sz w:val="20"/>
          <w:szCs w:val="20"/>
          <w:color w:val="202B36"/>
        </w:rPr>
        <w:t xml:space="preserve">• 算法与框架：熟悉强化学习运动控制、动作模仿及 AMP；熟悉 legged_gym、BeyondMimic、holomotion、GVHMR、GMR 等项目框架。</w:t>
      </w:r>
    </w:p>
    <w:p>
      <w:pPr>
        <w:spacing w:before="0" w:after="40" w:line="290" w:lineRule="exact"/>
        <w:keepLines/>
      </w:pPr>
      <w:r>
        <w:rPr>
          <w:rFonts w:ascii="Calibri" w:hAnsi="Calibri" w:eastAsia="Noto Sans CJK SC"/>
          <w:sz w:val="20"/>
          <w:szCs w:val="20"/>
          <w:color w:val="202B36"/>
        </w:rPr>
        <w:t xml:space="preserve">• 开发与仿真：熟练使用 Python / C++，熟悉 ROS、Isaac Gym；具备 CUDA 编程及 NVIDIA Jetson、NPU 模型部署与优化经验。</w:t>
      </w:r>
    </w:p>
    <w:p>
      <w:pPr>
        <w:spacing w:before="0" w:after="40" w:line="290" w:lineRule="exact"/>
        <w:keepLines/>
      </w:pPr>
      <w:r>
        <w:rPr>
          <w:rFonts w:ascii="Calibri" w:hAnsi="Calibri" w:eastAsia="Noto Sans CJK SC"/>
          <w:sz w:val="20"/>
          <w:szCs w:val="20"/>
          <w:color w:val="202B36"/>
        </w:rPr>
        <w:t xml:space="preserve">• 工程协作：熟悉 GitHub 代码协作，能够阅读英文论文与项目文档，具备机器人硬件调试经验。</w:t>
      </w:r>
    </w:p>
    <w:p>
      <w:pPr>
        <w:spacing w:before="65" w:after="45" w:line="220" w:lineRule="exact"/>
        <w:keepLines/>
      </w:pPr>
      <w:r>
        <w:rPr>
          <w:rFonts w:ascii="Calibri" w:hAnsi="Calibri" w:eastAsia="Noto Sans CJK SC"/>
          <w:sz w:val="16"/>
          <w:szCs w:val="16"/>
          <w:color w:val="95611C"/>
        </w:rPr>
        <w:t xml:space="preserve">核对提示：松延动力岗位名及技术职责为方向性拟写；2000+ 小时为团队数据规模。</w:t>
      </w:r>
    </w:p>
    <w:sectPr>
      <w:pgSz w:w="11906" w:h="16838"/>
      <w:pgMar w:top="650" w:right="790" w:bottom="620" w:left="790" w:header="0" w:footer="0"/>
    </w:sectPr>
  </w:body>
</w:document>
</file>