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 w:asciiTheme="minorEastAsia" w:hAnsiTheme="minorEastAsia" w:cstheme="minorEastAsia"/>
          <w:b/>
          <w:bCs/>
          <w:sz w:val="84"/>
          <w:szCs w:val="8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  <w:t>查重</w:t>
      </w:r>
      <w:r>
        <w:rPr>
          <w:rFonts w:hint="eastAsia" w:asciiTheme="minorEastAsia" w:hAnsiTheme="minorEastAsia" w:eastAsiaTheme="minorEastAsia" w:cstheme="minorEastAsia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  <w:t>标准流程文</w:t>
      </w: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文件版本历史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52"/>
        <w:gridCol w:w="1288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文件版本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552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288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批准人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20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2022/05/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552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Miang、Chen</w:t>
            </w:r>
          </w:p>
        </w:tc>
        <w:tc>
          <w:tcPr>
            <w:tcW w:w="1288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20" w:type="dxa"/>
            <w:vAlign w:val="top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V2.0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2024/10/22</w:t>
            </w:r>
          </w:p>
        </w:tc>
        <w:tc>
          <w:tcPr>
            <w:tcW w:w="1552" w:type="dxa"/>
            <w:vAlign w:val="top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Lennon、Nolan</w:t>
            </w:r>
          </w:p>
        </w:tc>
        <w:tc>
          <w:tcPr>
            <w:tcW w:w="1288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z w:val="84"/>
          <w:szCs w:val="8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8" w:name="_GoBack"/>
      <w:bookmarkEnd w:id="18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3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_Toc19957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 核心词汇注释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_Toc19957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_Toc26149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1.1. OE号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_Toc26149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_Toc11160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1.2. SKU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_Toc11160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_Toc7974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1.3. Order Template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_Toc7974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_Toc28406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eastAsia="zh-CN"/>
            </w:rPr>
            <w:t>2. 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_Toc28406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_Toc23949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eastAsia="zh-CN"/>
            </w:rPr>
            <w:t xml:space="preserve">2.1. 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eastAsia="zh-CN"/>
            </w:rPr>
            <w:t>介绍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_Toc23949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_Toc8036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eastAsia="zh-CN"/>
            </w:rPr>
            <w:t xml:space="preserve">2.1.1. 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查重目的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eastAsia="zh-CN"/>
            </w:rPr>
            <w:t>背景及组成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_Toc8036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_Toc31222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2.1.2. 查重流程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_Toc31222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_Toc28458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2.1.3. 查重工具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_Toc28458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_Toc4420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2.2. 新品目录查重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_Toc4420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_Toc13449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 xml:space="preserve">2.2.1. </w:t>
          </w:r>
          <w:r>
            <w:rPr>
              <w:rFonts w:hint="eastAsia" w:asciiTheme="majorEastAsia" w:hAnsiTheme="majorEastAsia" w:eastAsiaTheme="majorEastAsia" w:cstheme="majorEastAsia"/>
              <w:bCs w:val="0"/>
              <w:kern w:val="2"/>
              <w:sz w:val="21"/>
              <w:szCs w:val="21"/>
            </w:rPr>
            <w:t>Excel查重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_Toc13449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_Toc16878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2.2.2. Python查重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_Toc16878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_Toc14421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2.3. Order Template查重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_Toc14421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_Toc11470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2.3.1. Excel查重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_Toc11470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11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_Toc28169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2.3.2. Python查重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_Toc28169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_Toc7506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3. 《已查重》文档规范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_Toc7506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12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_Toc2487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3.1. 已查重文档内容规范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_Toc2487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firstLine="420" w:firstLineChars="200"/>
            <w:textAlignment w:val="auto"/>
          </w:pP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instrText xml:space="preserve"> HYPERLINK \l _Toc7226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t>3.2. 已查重文档格式规范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instrText xml:space="preserve"> PAGEREF _Toc7226 \h </w:instrTex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t>13</w:t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1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Toc1995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核心词汇注释</w:t>
      </w:r>
      <w:bookmarkEnd w:id="0"/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" w:name="_Toc26149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OE号</w:t>
      </w:r>
      <w:bookmarkEnd w:id="1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OE号是指汽车生产厂为方便对配件进行管理而采用的编号。OE在汽车制造业发达的国家，每个汽车生产厂为方便对零部件进行管理，对每种车型的每个零部件都采用不同的编号来区别分类，这个编号就是OE编号。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每个OE厂商都有不同的编号规则。比如：F1DU-10300-AD是FORD福特的编号，0-124-325-003是BOSCH博世的编号，10479923是DELCO德科雷米的编号。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OE编号对应唯一的产品，但同一个产品，因为装配在不同的车型上，从而有可能有几个不同的OE编号，通过OE编号可以查询出该产品的类型（发电机、起动机还是电机的零配件），具体的性能和详细参数，也可以知道该电机应用的具体汽车品牌、车型系列、出厂年代，以及对应的发动机的具体型号。</w:t>
      </w:r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2" w:name="_Toc11160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SKU</w:t>
      </w:r>
      <w:bookmarkEnd w:id="2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SKU全称为Stock Keeping Unit（库存量单位），即库存进出计量的基本单元，可以是以件，盒，托盘等为单位。当下已经被我们引申为产品统一编号的简称，每种产品均对应有唯一的SKU号。</w:t>
      </w:r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3" w:name="_Toc7974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Order Template</w:t>
      </w:r>
      <w:bookmarkEnd w:id="3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OT的全称为Order Template，实际含义为订单模板；在订单模板中，我司加入风险控制因素，市场分析因素，构成通用的模板；因此我司称OT为可行性分析，可行性分析是要求以全面、系统的分析为主要方法，经济效益为核心，围绕影响项目的各种因素，运用大量的数据资料论证拟建项目是否可行。对整个可行性研究提出综合分析评价，指出优缺点和建议。为了结论的需要，往往还需要加上一些附件，如市场链接、OE信息等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bookmarkStart w:id="4" w:name="_Toc2840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查重</w:t>
      </w:r>
      <w:bookmarkEnd w:id="4"/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bookmarkStart w:id="5" w:name="_Toc23949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查重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介绍</w:t>
      </w:r>
      <w:bookmarkEnd w:id="5"/>
    </w:p>
    <w:p>
      <w:pPr>
        <w:pStyle w:val="4"/>
        <w:numPr>
          <w:ilvl w:val="2"/>
          <w:numId w:val="1"/>
        </w:numPr>
        <w:bidi w:val="0"/>
        <w:spacing w:line="240" w:lineRule="auto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bookmarkStart w:id="6" w:name="_Toc8036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查重目的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背景及组成</w:t>
      </w:r>
      <w:bookmarkEnd w:id="6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为避免产品重复开发，需要对产品进行查重检验，过滤掉已开发的产品，从而减少后期不必要的人力及费用产生，目前查重主要分为两个部分：①前期工厂目录初步查重；②完成OT阶段后二次查重。</w:t>
      </w:r>
    </w:p>
    <w:p>
      <w:pPr>
        <w:pStyle w:val="4"/>
        <w:numPr>
          <w:ilvl w:val="2"/>
          <w:numId w:val="1"/>
        </w:numPr>
        <w:bidi w:val="0"/>
        <w:spacing w:line="240" w:lineRule="auto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7" w:name="_Toc31222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查重流程</w:t>
      </w:r>
      <w:bookmarkEnd w:id="7"/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4829810" cy="5768340"/>
            <wp:effectExtent l="0" t="0" r="0" b="0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spacing w:line="240" w:lineRule="auto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8" w:name="_Toc28458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查重工具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当前运用的查重工具主要是：Excel、Python</w:t>
      </w:r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9" w:name="_Toc4420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新品目录查重</w:t>
      </w:r>
      <w:bookmarkEnd w:id="9"/>
    </w:p>
    <w:p>
      <w:pPr>
        <w:pStyle w:val="4"/>
        <w:widowControl/>
        <w:numPr>
          <w:ilvl w:val="2"/>
          <w:numId w:val="1"/>
        </w:numPr>
        <w:bidi w:val="0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0" w:name="_Toc13449"/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21"/>
          <w:szCs w:val="21"/>
        </w:rPr>
        <w:t>Excel查重</w:t>
      </w:r>
      <w:bookmarkEnd w:id="10"/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总体流程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244090" cy="5400040"/>
            <wp:effectExtent l="0" t="0" r="0" b="0"/>
            <wp:docPr id="4" name="图片 4" descr="未命名文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1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操作流程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规范工厂目录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规范标准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OE号间需由英文分号分隔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“;”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，不得有句号、空格、换行符、逗号、中文分号、斜杠号...等进行分隔。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OE号中不得带有品牌字样、中文字样，以及各种特殊符号。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目录OE规范步骤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提取主要字段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系统导出来的数据字段较多，一部分字段我们并不需要用到，为了使数据源看起来更加简洁美观，对我们来说只需要提取如下字段的基本信息，其中OEM.列就是我们需要规范的OE号。</w:t>
      </w:r>
    </w:p>
    <w:tbl>
      <w:tblPr>
        <w:tblStyle w:val="17"/>
        <w:tblW w:w="88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1333"/>
        <w:gridCol w:w="1184"/>
        <w:gridCol w:w="1386"/>
        <w:gridCol w:w="1197"/>
        <w:gridCol w:w="1484"/>
        <w:gridCol w:w="1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SKU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商品配货名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是否采购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eBay关键字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供应商编号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OEM.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替换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若OE中含有换行符、句号、空格、逗号、中文分号、斜杠号等，均替换为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652"/>
        <w:gridCol w:w="2168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2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替换前</w:t>
            </w:r>
          </w:p>
        </w:tc>
        <w:tc>
          <w:tcPr>
            <w:tcW w:w="165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替换后</w:t>
            </w:r>
          </w:p>
        </w:tc>
        <w:tc>
          <w:tcPr>
            <w:tcW w:w="216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替换操作步骤</w:t>
            </w:r>
          </w:p>
        </w:tc>
        <w:tc>
          <w:tcPr>
            <w:tcW w:w="247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换行符（^l）</w:t>
            </w:r>
          </w:p>
        </w:tc>
        <w:tc>
          <w:tcPr>
            <w:tcW w:w="1652" w:type="dxa"/>
            <w:vMerge w:val="restart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2168" w:type="dxa"/>
            <w:vMerge w:val="restart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Ctrl+F，弹出小窗口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↓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输入被替换的字符串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↓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输入英文分号";"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↓</w:t>
            </w:r>
          </w:p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点击全部替换</w:t>
            </w:r>
          </w:p>
        </w:tc>
        <w:tc>
          <w:tcPr>
            <w:tcW w:w="2477" w:type="dxa"/>
            <w:vMerge w:val="restart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将换行间隔替换为“;”</w:t>
            </w: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1315720" cy="520065"/>
                  <wp:effectExtent l="0" t="0" r="17780" b="13335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3736" r="43462" b="1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Tips：换行符可由Ctrl+F→替换→特殊内容→换行符直接找到,如下：</w:t>
            </w:r>
          </w:p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1342390" cy="502285"/>
                  <wp:effectExtent l="0" t="0" r="1016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句号（。）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空格（ 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逗号（，）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中文分号（；）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双分号（;;）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顿号（、）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斜杠号（/）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双斜杠号（//）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...</w:t>
            </w:r>
          </w:p>
        </w:tc>
        <w:tc>
          <w:tcPr>
            <w:tcW w:w="1652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8" w:type="dxa"/>
            <w:vMerge w:val="continue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77" w:type="dxa"/>
            <w:vMerge w:val="continue"/>
          </w:tcPr>
          <w:p>
            <w:pPr>
              <w:pStyle w:val="20"/>
              <w:numPr>
                <w:ilvl w:val="0"/>
                <w:numId w:val="0"/>
              </w:numPr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若OE号中带有品牌，例如WAI等，或夹杂中文，需要手动删除。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若OE号中含有特殊字符，例如星号*等，需要去市场查一下，是否属于该品牌的OE书写规范，若不属于，需手动删除。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若OE号中有带“-”号的，属于不同品牌的OE号书写规范，可以先保留一列，在后面追加一列不带“-”的。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分列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先复制一列最终规范后的OE，再对复制的那列进行分列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点击工具栏数据框，点击分列，弹出窗口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选择分隔符号，点击下一步。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1227455</wp:posOffset>
            </wp:positionH>
            <wp:positionV relativeFrom="paragraph">
              <wp:posOffset>27305</wp:posOffset>
            </wp:positionV>
            <wp:extent cx="3143250" cy="2236470"/>
            <wp:effectExtent l="0" t="0" r="0" b="1143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选中其他，并输入分号“;”，点击下一步。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233045</wp:posOffset>
            </wp:positionV>
            <wp:extent cx="3328035" cy="2978785"/>
            <wp:effectExtent l="0" t="0" r="5715" b="1206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选择常规/文本（分列字段格式需和下一步骤数据库分列字段格式一致)，点击完成。</w:t>
      </w:r>
    </w:p>
    <w:p>
      <w:pPr>
        <w:pStyle w:val="20"/>
        <w:numPr>
          <w:ilvl w:val="0"/>
          <w:numId w:val="0"/>
        </w:numPr>
        <w:spacing w:line="240" w:lineRule="auto"/>
        <w:ind w:leftChars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3306445" cy="2915920"/>
            <wp:effectExtent l="0" t="0" r="8255" b="177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分列后，再次检查每一列OE是否都规范完成。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输出规范后OE结果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工厂目录OE规范完成后，输出如下图结果：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4310" cy="56705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目录规范后标准格式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Title需包含：序号、工厂、工厂号、是否采购、对应OE、查找结果、查找值、OEM.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部分工厂可能未提供工厂号情况，可空缺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对应OE需填入工厂所提供的完整OE字段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OEM.为工厂所提供分裂后OE字段，根据OE个数进行调整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文档格式如下图：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drawing>
          <wp:inline distT="0" distB="0" distL="114300" distR="114300">
            <wp:extent cx="5267325" cy="972820"/>
            <wp:effectExtent l="0" t="0" r="9525" b="177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更新并规范数据库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规范目的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数据库是整个查重的判断基础，完整的数据库对于查重的有效率有着重要作用，能大大降低二次作业以及时间成本。因此，对于系统导出的OE号，也需要进行规范处理，其OE需同工厂一样将OE规范为标准格式。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规范步骤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OE处理参考2.2.1.2.1.2.目录OE规范步骤。</w:t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最终输出呈现</w:t>
      </w:r>
    </w:p>
    <w:p>
      <w:pPr>
        <w:pStyle w:val="1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系统导出来的OE规范完成后，会输出一份大致如下图的框架：</w:t>
      </w:r>
    </w:p>
    <w:p>
      <w:pPr>
        <w:pStyle w:val="20"/>
        <w:numPr>
          <w:ilvl w:val="0"/>
          <w:numId w:val="0"/>
        </w:num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230" cy="619760"/>
            <wp:effectExtent l="0" t="0" r="762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  <w:t>将上图分列后的横向OE，调整为如下图所示纵向OE格式：</w:t>
      </w:r>
    </w:p>
    <w:p>
      <w:pPr>
        <w:pStyle w:val="16"/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drawing>
          <wp:inline distT="0" distB="0" distL="114300" distR="114300">
            <wp:extent cx="1381125" cy="39909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5"/>
          <w:numId w:val="1"/>
        </w:numPr>
        <w:bidi w:val="0"/>
        <w:ind w:left="1134" w:leftChars="0" w:hanging="1134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注意事项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分品类建立数据库，防止数据混乱。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数据库保持更新，只要前期先处理一次系统导出来的OE，后期只要把新开发的OE更新到后面，不需要每次查重都处理一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所有的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OE在进行分列后，部分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“0”开头的OE号可能会被省略“0”，以及OE号中间带“E”的会变成科学计数法，两者均不影响最终的查重结果。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整合数据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新建Excel文档，并命名为【新品目录】-已查重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将2.2.1.2.1.4.目录规范后标准格式数据贴入Sheet1，重命名为“新品目录”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将2.2.1.2.2.3.最终输出呈现数据贴入Sheet2，重命名为“数据源”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在新品目录表“查找结果“列输入公式”=Vlookup（查找值，数据源表，2，0）“并下拉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将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OEM1.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数据复制到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查找值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，筛选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#N/A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项，将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OEM.2”数据复制到“查找值”，粘贴值到可见单元格，若有“OEM3.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OEM4.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...等数据，重复上述操作，直至全部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OEMn.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筛选“查找值”中“#N/A”项，在“是否采购”中填入“否”，然后清除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查重值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中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#N/A”项，将“是否采购”的空白项填为“是”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全选表格，将表格中的数据全部粘贴为值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1" w:name="_Toc16878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Python查重</w:t>
      </w:r>
      <w:bookmarkEnd w:id="11"/>
    </w:p>
    <w:p>
      <w:pPr>
        <w:pStyle w:val="5"/>
        <w:numPr>
          <w:ilvl w:val="3"/>
          <w:numId w:val="1"/>
        </w:numPr>
        <w:bidi w:val="0"/>
        <w:spacing w:line="240" w:lineRule="auto"/>
        <w:ind w:left="850" w:leftChars="0" w:hanging="850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现实意义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当数据体量较大时，excel人工处理的步骤较多，在规范OE的过程中可能会存在一些操作漏洞，而python的逻辑编写可以涵盖目前可能遇到的所有OE规范情况，通过Python程序更好的实现办公自动化，减少人工操作的疏忽，提高查重的准确性。</w:t>
      </w:r>
    </w:p>
    <w:p>
      <w:pPr>
        <w:pStyle w:val="5"/>
        <w:numPr>
          <w:ilvl w:val="3"/>
          <w:numId w:val="1"/>
        </w:numPr>
        <w:bidi w:val="0"/>
        <w:spacing w:line="240" w:lineRule="auto"/>
        <w:ind w:left="850" w:leftChars="0" w:hanging="850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操作流程</w:t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工厂目录统一模板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不同工厂提供的目录格式可能不唯一，首先要把各式各样的目录转化为我们如下唯一固定的模板，并将文件命名为《工厂新品目录模板》。</w:t>
      </w:r>
    </w:p>
    <w:tbl>
      <w:tblPr>
        <w:tblStyle w:val="17"/>
        <w:tblW w:w="90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576"/>
        <w:gridCol w:w="990"/>
        <w:gridCol w:w="1358"/>
        <w:gridCol w:w="1080"/>
        <w:gridCol w:w="1080"/>
        <w:gridCol w:w="112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5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工厂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工厂号</w:t>
            </w:r>
          </w:p>
        </w:tc>
        <w:tc>
          <w:tcPr>
            <w:tcW w:w="136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完整OE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是否采购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QTY</w:t>
            </w:r>
          </w:p>
        </w:tc>
        <w:tc>
          <w:tcPr>
            <w:tcW w:w="112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含税价格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新建输出文件夹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新建一个文件夹，命名《生成表》，专门用于存放程序输出的文件。（程序将会输出两个文件，即《工厂新品目录》、《重复OE的号》）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7960" cy="732155"/>
            <wp:effectExtent l="0" t="0" r="889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上传程序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将写好的python程序上传到Anaconda Navigator上：打开Anaconda Navigator→点击Update，找到已编写完成的程序，点击打开，程序上传完毕，如下图。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6055" cy="989965"/>
            <wp:effectExtent l="0" t="0" r="1079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更改路径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每台电脑存放文件的路径都不唯一，因此程序里的文件路径不适用于每个人，所以拿到程序后，需要把程序里涉及到的文件路径都改成个人相对应存放的文件路径。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打开程序，更改第一个路径：《新品工厂目录模板》的保存路径；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4785" cy="1876425"/>
            <wp:effectExtent l="0" t="0" r="1206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更第二个路径，即输出文件《工厂新品目录》；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4150" cy="2266315"/>
            <wp:effectExtent l="0" t="0" r="1270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更第三个路径，《新品工厂目录模板》的保存路径；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6690" cy="1482090"/>
            <wp:effectExtent l="0" t="0" r="1016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更改最后一个路径，第二个输出文件《重复的OE号》；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71135" cy="943610"/>
            <wp:effectExtent l="0" t="0" r="571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4"/>
          <w:numId w:val="1"/>
        </w:numPr>
        <w:bidi w:val="0"/>
        <w:ind w:left="991" w:leftChars="0" w:hanging="991" w:firstLine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建议专门建一个文件夹用于存放查重相关的文件，便于文件归类。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程序里文件路径的组成：文件地址\文件名称。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73675" cy="897890"/>
            <wp:effectExtent l="0" t="0" r="3175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复制文件地址的方法：找到需要的文件→点击上方长条框最后一个文件夹→点击鼠标右键→点击“将地址复制为文本”。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9865" cy="1513840"/>
            <wp:effectExtent l="0" t="0" r="6985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2" w:name="_Toc14421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Order Template查重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工厂所提供的OE会存在遗漏或者有误情况，因此，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在做OT时，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会进行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产品OE号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的补充。新品目录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查重，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只能排除大部分重复的概率，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可能会漏掉某些OE。所以在完成OT后需要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二次查重，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减少重复的概率。</w:t>
      </w:r>
    </w:p>
    <w:p>
      <w:pPr>
        <w:pStyle w:val="4"/>
        <w:widowControl/>
        <w:numPr>
          <w:ilvl w:val="2"/>
          <w:numId w:val="1"/>
        </w:numPr>
        <w:bidi w:val="0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3" w:name="_Toc11470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Excel查重</w:t>
      </w:r>
      <w:bookmarkEnd w:id="13"/>
    </w:p>
    <w:p>
      <w:pPr>
        <w:pStyle w:val="5"/>
        <w:numPr>
          <w:ilvl w:val="3"/>
          <w:numId w:val="1"/>
        </w:numPr>
        <w:bidi w:val="0"/>
        <w:spacing w:line="240" w:lineRule="auto"/>
        <w:ind w:left="850" w:leftChars="0" w:hanging="850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操作步骤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新建EXCEL文档，命名为：【Order Template】-工厂品名-年月日-已查重。根据Order Template文件：【Order Template】-工厂品名-年月日，提取工厂号、Ref No.#，如下图所示。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drawing>
          <wp:inline distT="0" distB="0" distL="114300" distR="114300">
            <wp:extent cx="5261610" cy="2130425"/>
            <wp:effectExtent l="0" t="0" r="152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根据2.2.1.2.1.2.目录OE规范步骤，将Order Template数据进行处理，得到如下图格式数据。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drawing>
          <wp:inline distT="0" distB="0" distL="114300" distR="114300">
            <wp:extent cx="5267960" cy="1414780"/>
            <wp:effectExtent l="0" t="0" r="8890" b="139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进行2.2.1.2.3.整合数据</w:t>
      </w:r>
    </w:p>
    <w:p>
      <w:pPr>
        <w:pStyle w:val="4"/>
        <w:widowControl/>
        <w:numPr>
          <w:ilvl w:val="2"/>
          <w:numId w:val="1"/>
        </w:numPr>
        <w:bidi w:val="0"/>
        <w:ind w:left="709" w:leftChars="0" w:hanging="709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4" w:name="_Toc28169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Python查重</w:t>
      </w:r>
      <w:bookmarkEnd w:id="14"/>
    </w:p>
    <w:p>
      <w:pPr>
        <w:pStyle w:val="5"/>
        <w:numPr>
          <w:ilvl w:val="3"/>
          <w:numId w:val="1"/>
        </w:numPr>
        <w:bidi w:val="0"/>
        <w:spacing w:line="240" w:lineRule="auto"/>
        <w:ind w:left="850" w:leftChars="0" w:hanging="850" w:firstLineChars="0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操作步骤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根据Order Template文件：【Order Template】-工厂品名-年月日，参照2.2.3.2.2.新建输出文件夹、2.2.3.2.3.上传程序、2.2.3.2.4.更改路径、2.2.3.2.5.注意事项四个步骤，进行相对应的修改调整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15" w:name="_Toc750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《已查重》文档规范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根据查重结果需要以规范形式输出《已查重》文档，供新品开发以及Order Template流程的数据确认。文档的规范主要包含内容规范与格式规范。</w:t>
      </w:r>
    </w:p>
    <w:p>
      <w:pPr>
        <w:pStyle w:val="3"/>
        <w:numPr>
          <w:ilvl w:val="1"/>
          <w:numId w:val="1"/>
        </w:numPr>
        <w:bidi w:val="0"/>
        <w:spacing w:line="240" w:lineRule="auto"/>
        <w:ind w:left="567" w:leftChars="0" w:hanging="567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6" w:name="_Toc2487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已查重文档内容规范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已查重文档一般需包含以下信息：NO（即序号）、工厂、工厂号、完整OE、是否采购、重复OE、备注。具体内容规范如下：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780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378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规范要求</w:t>
            </w:r>
          </w:p>
        </w:tc>
        <w:tc>
          <w:tcPr>
            <w:tcW w:w="190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NO（即序号）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标题、内容居中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标题、内容居中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工厂号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标题、内容居中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完整OE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标题居中、内容左对齐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是否采购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标题、内容居中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重复OE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标题居中、内容左对齐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378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标题居中、内容左对齐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2" w:leftChars="0" w:hanging="422" w:hangingChars="20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bookmarkStart w:id="17" w:name="_Toc7226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已查重文档格式规范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已查重文档格式规范包括所用字体，行高、文档命名等要求，具体如下：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3225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322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规范要求</w:t>
            </w:r>
          </w:p>
        </w:tc>
        <w:tc>
          <w:tcPr>
            <w:tcW w:w="31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字体</w:t>
            </w:r>
          </w:p>
        </w:tc>
        <w:tc>
          <w:tcPr>
            <w:tcW w:w="3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1.首行：等线，10号加粗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2.其他行：等线，9号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字体颜色</w:t>
            </w:r>
          </w:p>
        </w:tc>
        <w:tc>
          <w:tcPr>
            <w:tcW w:w="32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1.首行：白色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2.其他行：黑色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单元格颜色填充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首行：红色填充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其他行：无填充色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行高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1.首行：20磅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2.其他行：16.5磅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边框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12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外边框加粗</w:t>
            </w:r>
          </w:p>
          <w:p>
            <w:pPr>
              <w:numPr>
                <w:ilvl w:val="0"/>
                <w:numId w:val="12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添加内边框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网格线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网格线-不显示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文档命名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【新品目录】-已查重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【Order Template】-工厂品名-年月日-已查重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Order Template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】-福州扬腾撑杆-20220501-已查重</w:t>
            </w:r>
          </w:p>
        </w:tc>
      </w:tr>
    </w:tbl>
    <w:p>
      <w:pPr>
        <w:numPr>
          <w:ilvl w:val="0"/>
          <w:numId w:val="0"/>
        </w:numPr>
        <w:bidi w:val="0"/>
        <w:ind w:leftChars="0"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right"/>
      <w:rPr>
        <w:rFonts w:hint="default" w:asciiTheme="minorEastAsia" w:hAnsiTheme="minorEastAsia" w:eastAsiaTheme="minorEastAsia" w:cstheme="minorEastAsia"/>
        <w:b/>
        <w:bCs/>
        <w:sz w:val="28"/>
        <w:szCs w:val="28"/>
        <w:lang w:val="en-US" w:eastAsia="zh-CN"/>
      </w:rPr>
    </w:pPr>
    <w:r>
      <w:rPr>
        <w:sz w:val="18"/>
      </w:rPr>
      <w:pict>
        <v:shape id="PowerPlusWaterMarkObject71292" o:spid="_x0000_s2049" o:spt="136" type="#_x0000_t136" style="position:absolute;left:0pt;height:50.1pt;width:537.1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16384f" focussize="0,0"/>
          <v:stroke on="f"/>
          <v:imagedata o:title=""/>
          <o:lock v:ext="edit" aspectratio="t"/>
          <v:textpath on="t" fitshape="t" fitpath="t" trim="t" xscale="f" string="福建扬腾创新信息科技有限公司" style="font-family:微软雅黑;font-size:36pt;v-same-letter-heights:f;v-text-align:center;"/>
        </v:shape>
      </w:pict>
    </w:r>
    <w:r>
      <w:rPr>
        <w:rFonts w:hint="eastAsia" w:asciiTheme="minorEastAsia" w:hAnsiTheme="minorEastAsia" w:cstheme="minorEastAsia"/>
        <w:b/>
        <w:bCs/>
        <w:sz w:val="28"/>
        <w:szCs w:val="28"/>
        <w:lang w:val="en-US" w:eastAsia="zh-CN"/>
      </w:rPr>
      <w:t xml:space="preserve">        查重</w:t>
    </w:r>
    <w:r>
      <w:rPr>
        <w:rFonts w:hint="eastAsia" w:asciiTheme="minorEastAsia" w:hAnsiTheme="minorEastAsia" w:eastAsiaTheme="minorEastAsia" w:cstheme="minorEastAsia"/>
        <w:b/>
        <w:bCs/>
        <w:sz w:val="28"/>
        <w:szCs w:val="28"/>
        <w:lang w:val="en-US" w:eastAsia="zh-CN"/>
      </w:rPr>
      <w:t>标准作业</w:t>
    </w:r>
    <w:r>
      <w:rPr>
        <w:rFonts w:hint="eastAsia" w:asciiTheme="minorEastAsia" w:hAnsiTheme="minorEastAsia" w:cstheme="minorEastAsia"/>
        <w:b/>
        <w:bCs/>
        <w:sz w:val="28"/>
        <w:szCs w:val="28"/>
        <w:lang w:val="en-US" w:eastAsia="zh-CN"/>
      </w:rPr>
      <w:t xml:space="preserve">程序         </w:t>
    </w:r>
    <w:r>
      <w:rPr>
        <w:rFonts w:hint="default" w:asciiTheme="minorEastAsia" w:hAnsiTheme="minorEastAsia" w:eastAsiaTheme="minorEastAsia" w:cstheme="minorEastAsia"/>
        <w:b/>
        <w:bCs/>
        <w:sz w:val="28"/>
        <w:szCs w:val="28"/>
        <w:lang w:val="en-US" w:eastAsia="zh-CN"/>
      </w:rPr>
      <w:drawing>
        <wp:inline distT="0" distB="0" distL="114300" distR="114300">
          <wp:extent cx="1252855" cy="145415"/>
          <wp:effectExtent l="0" t="0" r="4445" b="6985"/>
          <wp:docPr id="14" name="图片 14" descr="logo（彩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（彩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2855" cy="145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1A78E"/>
    <w:multiLevelType w:val="singleLevel"/>
    <w:tmpl w:val="8E61A7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3E41092"/>
    <w:multiLevelType w:val="singleLevel"/>
    <w:tmpl w:val="A3E410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080DD"/>
    <w:multiLevelType w:val="singleLevel"/>
    <w:tmpl w:val="B9C080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77C0F98"/>
    <w:multiLevelType w:val="singleLevel"/>
    <w:tmpl w:val="C77C0F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9AF9DC5"/>
    <w:multiLevelType w:val="singleLevel"/>
    <w:tmpl w:val="E9AF9D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F39FEF5"/>
    <w:multiLevelType w:val="singleLevel"/>
    <w:tmpl w:val="FF39FEF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FAEACF"/>
    <w:multiLevelType w:val="singleLevel"/>
    <w:tmpl w:val="FFFAEA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6CC4073"/>
    <w:multiLevelType w:val="singleLevel"/>
    <w:tmpl w:val="26CC40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C6E891"/>
    <w:multiLevelType w:val="multilevel"/>
    <w:tmpl w:val="30C6E8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3FD60E8F"/>
    <w:multiLevelType w:val="singleLevel"/>
    <w:tmpl w:val="3FD60E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4EBB3BC"/>
    <w:multiLevelType w:val="singleLevel"/>
    <w:tmpl w:val="44EBB3B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7DF80DE"/>
    <w:multiLevelType w:val="singleLevel"/>
    <w:tmpl w:val="57DF80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OTFkNjBmNWFmMTRmNjcwNjNkZjdjZDZiYmRkYTkifQ=="/>
    <w:docVar w:name="KSO_WPS_MARK_KEY" w:val="77ab64d2-b807-4c6a-88fb-b23060ad247b"/>
  </w:docVars>
  <w:rsids>
    <w:rsidRoot w:val="372D2FAE"/>
    <w:rsid w:val="05180DCE"/>
    <w:rsid w:val="07BE26A3"/>
    <w:rsid w:val="0AA01CBB"/>
    <w:rsid w:val="0FD53800"/>
    <w:rsid w:val="11452630"/>
    <w:rsid w:val="141F6347"/>
    <w:rsid w:val="148A1DB1"/>
    <w:rsid w:val="14F72FBC"/>
    <w:rsid w:val="20F93349"/>
    <w:rsid w:val="214954B9"/>
    <w:rsid w:val="233C2BB1"/>
    <w:rsid w:val="25673D5B"/>
    <w:rsid w:val="28077E06"/>
    <w:rsid w:val="2C355CED"/>
    <w:rsid w:val="2FB9D8AA"/>
    <w:rsid w:val="2FDDC0B9"/>
    <w:rsid w:val="30D526A6"/>
    <w:rsid w:val="32CE688B"/>
    <w:rsid w:val="372D2FAE"/>
    <w:rsid w:val="3DFDA89A"/>
    <w:rsid w:val="428209BB"/>
    <w:rsid w:val="435FB6FF"/>
    <w:rsid w:val="46491864"/>
    <w:rsid w:val="485E77DD"/>
    <w:rsid w:val="4B42202A"/>
    <w:rsid w:val="4BC60D0F"/>
    <w:rsid w:val="4C7E2F03"/>
    <w:rsid w:val="4DB84690"/>
    <w:rsid w:val="4EF57FBE"/>
    <w:rsid w:val="502C39B1"/>
    <w:rsid w:val="553C1B33"/>
    <w:rsid w:val="554D0C16"/>
    <w:rsid w:val="57D22053"/>
    <w:rsid w:val="57F75AC6"/>
    <w:rsid w:val="57FD852F"/>
    <w:rsid w:val="5ADDE2B3"/>
    <w:rsid w:val="5DB270C7"/>
    <w:rsid w:val="5DF31074"/>
    <w:rsid w:val="5E2D4D32"/>
    <w:rsid w:val="5EDFB949"/>
    <w:rsid w:val="5F033238"/>
    <w:rsid w:val="5FDFB015"/>
    <w:rsid w:val="62AC2EF3"/>
    <w:rsid w:val="67A1796C"/>
    <w:rsid w:val="681F5DA8"/>
    <w:rsid w:val="6B07ED60"/>
    <w:rsid w:val="6B6BDFD0"/>
    <w:rsid w:val="6BBD8430"/>
    <w:rsid w:val="6BBF7B5F"/>
    <w:rsid w:val="6C1D3613"/>
    <w:rsid w:val="6D5B2AF4"/>
    <w:rsid w:val="6FB77691"/>
    <w:rsid w:val="6FDF066A"/>
    <w:rsid w:val="6FE55491"/>
    <w:rsid w:val="6FE732BB"/>
    <w:rsid w:val="74E6271C"/>
    <w:rsid w:val="75E20AB9"/>
    <w:rsid w:val="7679EEA5"/>
    <w:rsid w:val="76F70661"/>
    <w:rsid w:val="775D5404"/>
    <w:rsid w:val="777B97AF"/>
    <w:rsid w:val="7AE50448"/>
    <w:rsid w:val="7AFB3249"/>
    <w:rsid w:val="7B3BC1FA"/>
    <w:rsid w:val="7BEAF6D8"/>
    <w:rsid w:val="7BFE08D3"/>
    <w:rsid w:val="7BFF91AB"/>
    <w:rsid w:val="7CFF749A"/>
    <w:rsid w:val="7D6F861C"/>
    <w:rsid w:val="7DEE15DA"/>
    <w:rsid w:val="7EB7DA2F"/>
    <w:rsid w:val="7EBF4E6A"/>
    <w:rsid w:val="7F01339C"/>
    <w:rsid w:val="7F7D66F9"/>
    <w:rsid w:val="7F7F01B2"/>
    <w:rsid w:val="7FEBF65D"/>
    <w:rsid w:val="7FF766B8"/>
    <w:rsid w:val="7FFB8C1C"/>
    <w:rsid w:val="7FFEF04B"/>
    <w:rsid w:val="7FFF71A1"/>
    <w:rsid w:val="97EF23E5"/>
    <w:rsid w:val="A6EFFAAC"/>
    <w:rsid w:val="A6FFBDF7"/>
    <w:rsid w:val="ABD1C7FD"/>
    <w:rsid w:val="ADFF258E"/>
    <w:rsid w:val="AFEED9F6"/>
    <w:rsid w:val="B1FA6FF4"/>
    <w:rsid w:val="B5F91061"/>
    <w:rsid w:val="BBDCD2A1"/>
    <w:rsid w:val="BBF3FAF5"/>
    <w:rsid w:val="BF9F9FE2"/>
    <w:rsid w:val="BFB703B3"/>
    <w:rsid w:val="BFBD6C71"/>
    <w:rsid w:val="BFBF8AD1"/>
    <w:rsid w:val="BFDF127D"/>
    <w:rsid w:val="BFE91BB0"/>
    <w:rsid w:val="CD3F4B9B"/>
    <w:rsid w:val="D97F0DB9"/>
    <w:rsid w:val="DF372EE7"/>
    <w:rsid w:val="DF3DA3F9"/>
    <w:rsid w:val="DF7CE383"/>
    <w:rsid w:val="DFAB173A"/>
    <w:rsid w:val="DFBF5859"/>
    <w:rsid w:val="DFFF5A5E"/>
    <w:rsid w:val="E5FF4E95"/>
    <w:rsid w:val="E75F43AC"/>
    <w:rsid w:val="E9FEDDFC"/>
    <w:rsid w:val="ED567D0D"/>
    <w:rsid w:val="EF9CEB83"/>
    <w:rsid w:val="F32FE8B9"/>
    <w:rsid w:val="F3FC1DEC"/>
    <w:rsid w:val="F7FFE4A7"/>
    <w:rsid w:val="F96611B2"/>
    <w:rsid w:val="F9EECA42"/>
    <w:rsid w:val="FBBFD718"/>
    <w:rsid w:val="FBFEFC2B"/>
    <w:rsid w:val="FBFF395F"/>
    <w:rsid w:val="FCCA3BA5"/>
    <w:rsid w:val="FDE89A8A"/>
    <w:rsid w:val="FDF72B29"/>
    <w:rsid w:val="FDFBB603"/>
    <w:rsid w:val="FE398FF6"/>
    <w:rsid w:val="FE7D2540"/>
    <w:rsid w:val="FEE3E5EB"/>
    <w:rsid w:val="FEFF1F16"/>
    <w:rsid w:val="FF799FDF"/>
    <w:rsid w:val="FF9DCC67"/>
    <w:rsid w:val="FFCE35E0"/>
    <w:rsid w:val="FFDD95B6"/>
    <w:rsid w:val="FFDE77BF"/>
    <w:rsid w:val="FFDECFFE"/>
    <w:rsid w:val="FFEF9F71"/>
    <w:rsid w:val="FFFC6B82"/>
    <w:rsid w:val="FFFF6274"/>
    <w:rsid w:val="FFFF8DCE"/>
    <w:rsid w:val="FFFF9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Normal (Web)"/>
    <w:basedOn w:val="1"/>
    <w:qFormat/>
    <w:uiPriority w:val="0"/>
    <w:rPr>
      <w:sz w:val="24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3507</Words>
  <Characters>4206</Characters>
  <Lines>1</Lines>
  <Paragraphs>1</Paragraphs>
  <TotalTime>96</TotalTime>
  <ScaleCrop>false</ScaleCrop>
  <LinksUpToDate>false</LinksUpToDate>
  <CharactersWithSpaces>4323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2022-05-25T09:52:00Z</dcterms:created>
  <dc:creator>米昂</dc:creator>
  <cp:lastModifiedBy>wo</cp:lastModifiedBy>
  <dcterms:modified xsi:type="dcterms:W3CDTF">2024-10-22T05:50:33Z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B22FE7145CD1446F902D338BADC28A41</vt:lpwstr>
  </property>
</Properties>
</file>