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default" w:asciiTheme="minorEastAsia" w:hAnsiTheme="minorEastAsia" w:cstheme="minorEastAsia"/>
          <w:b/>
          <w:bCs/>
          <w:sz w:val="84"/>
          <w:szCs w:val="84"/>
          <w:lang w:val="en-US" w:eastAsia="zh-CN"/>
        </w:rPr>
        <w:sectPr>
          <w:head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Theme="minorEastAsia" w:hAnsiTheme="minorEastAsia" w:cstheme="minorEastAsia"/>
          <w:b/>
          <w:bCs/>
          <w:sz w:val="84"/>
          <w:szCs w:val="84"/>
          <w:lang w:val="en-US" w:eastAsia="zh-CN"/>
        </w:rPr>
        <w:t>查重</w:t>
      </w:r>
      <w:r>
        <w:rPr>
          <w:rFonts w:hint="eastAsia" w:asciiTheme="minorEastAsia" w:hAnsiTheme="minorEastAsia" w:eastAsiaTheme="minorEastAsia" w:cstheme="minorEastAsia"/>
          <w:b/>
          <w:bCs/>
          <w:sz w:val="84"/>
          <w:szCs w:val="84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b/>
          <w:bCs/>
          <w:sz w:val="84"/>
          <w:szCs w:val="84"/>
          <w:lang w:val="en-US" w:eastAsia="zh-CN"/>
        </w:rPr>
        <w:t>标准流程文</w:t>
      </w:r>
    </w:p>
    <w:p>
      <w:pPr>
        <w:bidi w:val="0"/>
        <w:jc w:val="center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文件版本历史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552"/>
        <w:gridCol w:w="1288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  <w:jc w:val="center"/>
        </w:trPr>
        <w:tc>
          <w:tcPr>
            <w:tcW w:w="1420" w:type="dxa"/>
            <w:shd w:val="clear" w:color="auto" w:fill="D7D7D7" w:themeFill="background1" w:themeFillShade="D8"/>
            <w:vAlign w:val="top"/>
          </w:tcPr>
          <w:p>
            <w:pPr>
              <w:bidi w:val="0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文件版本</w:t>
            </w:r>
          </w:p>
        </w:tc>
        <w:tc>
          <w:tcPr>
            <w:tcW w:w="1420" w:type="dxa"/>
            <w:shd w:val="clear" w:color="auto" w:fill="D7D7D7" w:themeFill="background1" w:themeFillShade="D8"/>
            <w:vAlign w:val="top"/>
          </w:tcPr>
          <w:p>
            <w:pPr>
              <w:bidi w:val="0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修订日期</w:t>
            </w:r>
          </w:p>
        </w:tc>
        <w:tc>
          <w:tcPr>
            <w:tcW w:w="1552" w:type="dxa"/>
            <w:shd w:val="clear" w:color="auto" w:fill="D7D7D7" w:themeFill="background1" w:themeFillShade="D8"/>
            <w:vAlign w:val="top"/>
          </w:tcPr>
          <w:p>
            <w:pPr>
              <w:bidi w:val="0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修订人</w:t>
            </w:r>
          </w:p>
        </w:tc>
        <w:tc>
          <w:tcPr>
            <w:tcW w:w="1288" w:type="dxa"/>
            <w:shd w:val="clear" w:color="auto" w:fill="D7D7D7" w:themeFill="background1" w:themeFillShade="D8"/>
            <w:vAlign w:val="top"/>
          </w:tcPr>
          <w:p>
            <w:pPr>
              <w:bidi w:val="0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审核人</w:t>
            </w:r>
          </w:p>
        </w:tc>
        <w:tc>
          <w:tcPr>
            <w:tcW w:w="1421" w:type="dxa"/>
            <w:shd w:val="clear" w:color="auto" w:fill="D7D7D7" w:themeFill="background1" w:themeFillShade="D8"/>
            <w:vAlign w:val="top"/>
          </w:tcPr>
          <w:p>
            <w:pPr>
              <w:bidi w:val="0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批准人</w:t>
            </w:r>
          </w:p>
        </w:tc>
        <w:tc>
          <w:tcPr>
            <w:tcW w:w="1421" w:type="dxa"/>
            <w:shd w:val="clear" w:color="auto" w:fill="D7D7D7" w:themeFill="background1" w:themeFillShade="D8"/>
            <w:vAlign w:val="top"/>
          </w:tcPr>
          <w:p>
            <w:pPr>
              <w:bidi w:val="0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修订说明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420" w:type="dxa"/>
            <w:vAlign w:val="top"/>
          </w:tcPr>
          <w:p>
            <w:pPr>
              <w:bidi w:val="0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V1.0</w:t>
            </w:r>
          </w:p>
        </w:tc>
        <w:tc>
          <w:tcPr>
            <w:tcW w:w="1420" w:type="dxa"/>
            <w:vAlign w:val="top"/>
          </w:tcPr>
          <w:p>
            <w:pPr>
              <w:bidi w:val="0"/>
              <w:ind w:left="0" w:leftChars="0" w:firstLine="0" w:firstLineChars="0"/>
              <w:jc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2022/05/</w:t>
            </w: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31</w:t>
            </w:r>
          </w:p>
        </w:tc>
        <w:tc>
          <w:tcPr>
            <w:tcW w:w="1552" w:type="dxa"/>
            <w:vAlign w:val="top"/>
          </w:tcPr>
          <w:p>
            <w:pPr>
              <w:bidi w:val="0"/>
              <w:ind w:left="0" w:leftChars="0" w:firstLine="0" w:firstLineChars="0"/>
              <w:jc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Miang、Chen</w:t>
            </w:r>
          </w:p>
        </w:tc>
        <w:tc>
          <w:tcPr>
            <w:tcW w:w="1288" w:type="dxa"/>
            <w:vAlign w:val="top"/>
          </w:tcPr>
          <w:p>
            <w:pPr>
              <w:bidi w:val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  <w:vAlign w:val="top"/>
          </w:tcPr>
          <w:p>
            <w:pPr>
              <w:bidi w:val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  <w:vAlign w:val="top"/>
          </w:tcPr>
          <w:p>
            <w:pPr>
              <w:bidi w:val="0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初版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420" w:type="dxa"/>
            <w:vAlign w:val="top"/>
          </w:tcPr>
          <w:p>
            <w:pPr>
              <w:bidi w:val="0"/>
              <w:jc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V2.0</w:t>
            </w:r>
          </w:p>
        </w:tc>
        <w:tc>
          <w:tcPr>
            <w:tcW w:w="1420" w:type="dxa"/>
            <w:vAlign w:val="top"/>
          </w:tcPr>
          <w:p>
            <w:pPr>
              <w:bidi w:val="0"/>
              <w:jc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2024/10/22</w:t>
            </w:r>
          </w:p>
        </w:tc>
        <w:tc>
          <w:tcPr>
            <w:tcW w:w="1552" w:type="dxa"/>
            <w:vAlign w:val="top"/>
          </w:tcPr>
          <w:p>
            <w:pPr>
              <w:bidi w:val="0"/>
              <w:jc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Nolan</w:t>
            </w:r>
          </w:p>
        </w:tc>
        <w:tc>
          <w:tcPr>
            <w:tcW w:w="1288" w:type="dxa"/>
            <w:vAlign w:val="top"/>
          </w:tcPr>
          <w:p>
            <w:pPr>
              <w:bidi w:val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  <w:vAlign w:val="top"/>
          </w:tcPr>
          <w:p>
            <w:pPr>
              <w:bidi w:val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  <w:vAlign w:val="top"/>
          </w:tcPr>
          <w:p>
            <w:pPr>
              <w:bidi w:val="0"/>
              <w:jc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2024-10修订</w:t>
            </w:r>
          </w:p>
        </w:tc>
      </w:tr>
    </w:tbl>
    <w:p>
      <w:pPr>
        <w:ind w:left="0" w:leftChars="0" w:firstLine="0" w:firstLineChars="0"/>
        <w:jc w:val="both"/>
        <w:rPr>
          <w:rFonts w:hint="default" w:asciiTheme="minorEastAsia" w:hAnsiTheme="minorEastAsia" w:cstheme="minorEastAsia"/>
          <w:b/>
          <w:bCs/>
          <w:sz w:val="84"/>
          <w:szCs w:val="84"/>
          <w:lang w:val="en-US" w:eastAsia="zh-CN"/>
        </w:rPr>
        <w:sectPr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75377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32"/>
              <w:szCs w:val="32"/>
            </w:rPr>
          </w:pPr>
          <w:r>
            <w:rPr>
              <w:rFonts w:ascii="宋体" w:hAnsi="宋体" w:eastAsia="宋体"/>
              <w:sz w:val="32"/>
              <w:szCs w:val="32"/>
            </w:rPr>
            <w:t>目录</w:t>
          </w:r>
        </w:p>
        <w:p>
          <w:pPr>
            <w:pStyle w:val="13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ind w:firstLine="420" w:firstLineChars="200"/>
            <w:textAlignment w:val="auto"/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instrText xml:space="preserve"> HYPERLINK \l _Toc19957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t>1. 核心词汇注释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instrText xml:space="preserve"> PAGEREF _Toc19957 \h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>1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ind w:firstLine="420" w:firstLineChars="200"/>
            <w:textAlignment w:val="auto"/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</w:pP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instrText xml:space="preserve"> HYPERLINK \l _Toc26149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t>1.1. OE号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instrText xml:space="preserve"> PAGEREF _Toc26149 \h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>1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ind w:firstLine="420" w:firstLineChars="200"/>
            <w:textAlignment w:val="auto"/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</w:pP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instrText xml:space="preserve"> HYPERLINK \l _Toc11160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t>1.2. SKU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instrText xml:space="preserve"> PAGEREF _Toc11160 \h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>1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ind w:firstLine="420" w:firstLineChars="200"/>
            <w:textAlignment w:val="auto"/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</w:pP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instrText xml:space="preserve"> HYPERLINK \l _Toc7974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t>1.3. Order Template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instrText xml:space="preserve"> PAGEREF _Toc7974 \h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>1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ind w:firstLine="420" w:firstLineChars="200"/>
            <w:textAlignment w:val="auto"/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</w:pP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instrText xml:space="preserve"> HYPERLINK \l _Toc28406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eastAsia="zh-CN"/>
            </w:rPr>
            <w:t>2. 查重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instrText xml:space="preserve"> PAGEREF _Toc28406 \h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>2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ind w:firstLine="420" w:firstLineChars="200"/>
            <w:textAlignment w:val="auto"/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</w:pP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instrText xml:space="preserve"> HYPERLINK \l _Toc23949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eastAsia="zh-CN"/>
            </w:rPr>
            <w:t xml:space="preserve">2.1. 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t>查重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eastAsia="zh-CN"/>
            </w:rPr>
            <w:t>介绍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instrText xml:space="preserve"> PAGEREF _Toc23949 \h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>2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ind w:firstLine="420" w:firstLineChars="200"/>
            <w:textAlignment w:val="auto"/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</w:pP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instrText xml:space="preserve"> HYPERLINK \l _Toc8036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eastAsia="zh-CN"/>
            </w:rPr>
            <w:t xml:space="preserve">2.1.1. 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t>查重目的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eastAsia="zh-CN"/>
            </w:rPr>
            <w:t>背景及组成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instrText xml:space="preserve"> PAGEREF _Toc8036 \h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>2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ind w:firstLine="420" w:firstLineChars="200"/>
            <w:textAlignment w:val="auto"/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</w:pP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instrText xml:space="preserve"> HYPERLINK \l _Toc31222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t>2.1.2. 查重流程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instrText xml:space="preserve"> PAGEREF _Toc31222 \h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>2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ind w:firstLine="420" w:firstLineChars="200"/>
            <w:textAlignment w:val="auto"/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</w:pP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instrText xml:space="preserve"> HYPERLINK \l _Toc28458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t>2.1.3. 查重工具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instrText xml:space="preserve"> PAGEREF _Toc28458 \h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>3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ind w:firstLine="420" w:firstLineChars="200"/>
            <w:textAlignment w:val="auto"/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</w:pP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instrText xml:space="preserve"> HYPERLINK \l _Toc4420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t>2.2. 新品目录查重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instrText xml:space="preserve"> PAGEREF _Toc4420 \h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>3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ind w:firstLine="420" w:firstLineChars="200"/>
            <w:textAlignment w:val="auto"/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</w:pP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instrText xml:space="preserve"> HYPERLINK \l _Toc13449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t xml:space="preserve">2.2.1. </w:t>
          </w:r>
          <w:r>
            <w:rPr>
              <w:rFonts w:hint="eastAsia" w:asciiTheme="majorEastAsia" w:hAnsiTheme="majorEastAsia" w:eastAsiaTheme="majorEastAsia" w:cstheme="majorEastAsia"/>
              <w:bCs w:val="0"/>
              <w:kern w:val="2"/>
              <w:sz w:val="21"/>
              <w:szCs w:val="21"/>
            </w:rPr>
            <w:t>Excel查重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instrText xml:space="preserve"> PAGEREF _Toc13449 \h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>3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ind w:firstLine="420" w:firstLineChars="200"/>
            <w:textAlignment w:val="auto"/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</w:pP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instrText xml:space="preserve"> HYPERLINK \l _Toc16878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t>2.2.2. Python查重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instrText xml:space="preserve"> PAGEREF _Toc16878 \h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>8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ind w:firstLine="420" w:firstLineChars="200"/>
            <w:textAlignment w:val="auto"/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</w:pP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instrText xml:space="preserve"> HYPERLINK \l _Toc14421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t>2.3. Order Template查重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instrText xml:space="preserve"> PAGEREF _Toc14421 \h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>11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ind w:firstLine="420" w:firstLineChars="200"/>
            <w:textAlignment w:val="auto"/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</w:pP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instrText xml:space="preserve"> HYPERLINK \l _Toc11470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t>2.3.1. Excel查重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instrText xml:space="preserve"> PAGEREF _Toc11470 \h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>11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ind w:firstLine="420" w:firstLineChars="200"/>
            <w:textAlignment w:val="auto"/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</w:pP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instrText xml:space="preserve"> HYPERLINK \l _Toc28169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t>2.3.2. Python查重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instrText xml:space="preserve"> PAGEREF _Toc28169 \h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>12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ind w:firstLine="420" w:firstLineChars="200"/>
            <w:textAlignment w:val="auto"/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</w:pP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instrText xml:space="preserve"> HYPERLINK \l _Toc7506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t>3. 《已查重》文档规范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instrText xml:space="preserve"> PAGEREF _Toc7506 \h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>12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ind w:firstLine="420" w:firstLineChars="200"/>
            <w:textAlignment w:val="auto"/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</w:pP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instrText xml:space="preserve"> HYPERLINK \l _Toc2487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t>3.1. 已查重文档内容规范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instrText xml:space="preserve"> PAGEREF _Toc2487 \h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>13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pStyle w:val="15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ind w:firstLine="420" w:firstLineChars="200"/>
            <w:textAlignment w:val="auto"/>
          </w:pP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instrText xml:space="preserve"> HYPERLINK \l _Toc7226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t>3.2. 已查重文档格式规范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ab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instrText xml:space="preserve"> PAGEREF _Toc7226 \h </w:instrTex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t>13</w:t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</w:rP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 w:val="21"/>
              <w:szCs w:val="21"/>
              <w:lang w:val="en-US" w:eastAsia="zh-CN"/>
            </w:rPr>
            <w:fldChar w:fldCharType="end"/>
          </w:r>
        </w:p>
        <w:p>
          <w:pPr>
            <w:rPr>
              <w:rFonts w:hint="eastAsia"/>
              <w:lang w:val="en-US" w:eastAsia="zh-CN"/>
            </w:rPr>
            <w:sectPr>
              <w:footerReference r:id="rId5" w:type="default"/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2"/>
        <w:numPr>
          <w:ilvl w:val="0"/>
          <w:numId w:val="1"/>
        </w:numPr>
        <w:bidi w:val="0"/>
        <w:spacing w:line="240" w:lineRule="auto"/>
        <w:ind w:left="0" w:leftChars="0" w:firstLine="0" w:firstLineChars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0" w:name="_Toc19957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核心词汇注释</w:t>
      </w:r>
      <w:bookmarkEnd w:id="0"/>
    </w:p>
    <w:p>
      <w:pPr>
        <w:pStyle w:val="3"/>
        <w:numPr>
          <w:ilvl w:val="1"/>
          <w:numId w:val="1"/>
        </w:numPr>
        <w:bidi w:val="0"/>
        <w:spacing w:line="240" w:lineRule="auto"/>
        <w:ind w:left="567" w:leftChars="0" w:hanging="567" w:firstLineChars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1" w:name="_Toc26149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OE号</w:t>
      </w:r>
      <w:bookmarkEnd w:id="1"/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OE号是指汽车生产厂为方便对配件进行管理而采用的编号。OE在汽车制造业发达的国家，每个汽车生产厂为方便对零部件进行管理，对每种车型的每个零部件都采用不同的编号来区别分类，这个编号就是OE编号。</w:t>
      </w:r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每个OE厂商都有不同的编号规则。比如：F1DU-10300-AD是FORD福特的编号，0-124-325-003是BOSCH博世的编号，10479923是DELCO德科雷米的编号。</w:t>
      </w:r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每个OE编号对应唯一的产品，但同一个产品，因为装配在不同的车型上，从而有可能有几个不同的OE编号，通过OE编号可以查询出该产品的类型（发电机、起动机还是电机的零配件），具体的性能和详细参数，也可以知道该电机应用的具体汽车品牌、车型系列、出厂年代，以及对应的发动机的具体型号。</w:t>
      </w:r>
    </w:p>
    <w:p>
      <w:pPr>
        <w:pStyle w:val="3"/>
        <w:numPr>
          <w:ilvl w:val="1"/>
          <w:numId w:val="1"/>
        </w:numPr>
        <w:bidi w:val="0"/>
        <w:spacing w:line="240" w:lineRule="auto"/>
        <w:ind w:left="567" w:leftChars="0" w:hanging="567" w:firstLineChars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2" w:name="_Toc11160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SKU</w:t>
      </w:r>
      <w:bookmarkEnd w:id="2"/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SKU全称为Stock Keeping Unit（库存量单位），即库存进出计量的基本单元，可以是以件，盒，托盘等为单位。当下已经被我们引申为产品统一编号的简称，每种产品均对应有唯一的SKU号。</w:t>
      </w:r>
    </w:p>
    <w:p>
      <w:pPr>
        <w:pStyle w:val="3"/>
        <w:numPr>
          <w:ilvl w:val="1"/>
          <w:numId w:val="1"/>
        </w:numPr>
        <w:bidi w:val="0"/>
        <w:spacing w:line="240" w:lineRule="auto"/>
        <w:ind w:left="567" w:leftChars="0" w:hanging="567" w:firstLineChars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3" w:name="_Toc7974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Order Template</w:t>
      </w:r>
      <w:bookmarkEnd w:id="3"/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OT的全称为Order Template，实际含义为订单模板；在订单模板中，我司加入风险控制因素，市场分析因素，构成通用的模板；因此我司称OT为可行性分析，可行性分析是要求以全面、系统的分析为主要方法，经济效益为核心，围绕影响项目的各种因素，运用大量的数据资料论证拟建项目是否可行。对整个可行性研究提出综合分析评价，指出优缺点和建议。为了结论的需要，往往还需要加上一些附件，如市场链接、OE信息等。</w:t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 w:asciiTheme="majorEastAsia" w:hAnsiTheme="majorEastAsia" w:eastAsiaTheme="majorEastAsia" w:cstheme="majorEastAsia"/>
          <w:sz w:val="28"/>
          <w:szCs w:val="28"/>
          <w:lang w:eastAsia="zh-CN"/>
        </w:rPr>
      </w:pPr>
      <w:bookmarkStart w:id="4" w:name="_Toc28406"/>
      <w:r>
        <w:rPr>
          <w:rFonts w:hint="eastAsia" w:asciiTheme="majorEastAsia" w:hAnsiTheme="majorEastAsia" w:eastAsiaTheme="majorEastAsia" w:cstheme="majorEastAsia"/>
          <w:sz w:val="28"/>
          <w:szCs w:val="28"/>
          <w:lang w:eastAsia="zh-CN"/>
        </w:rPr>
        <w:t>查重</w:t>
      </w:r>
      <w:bookmarkEnd w:id="4"/>
    </w:p>
    <w:p>
      <w:pPr>
        <w:pStyle w:val="3"/>
        <w:numPr>
          <w:ilvl w:val="1"/>
          <w:numId w:val="1"/>
        </w:numPr>
        <w:bidi w:val="0"/>
        <w:spacing w:line="240" w:lineRule="auto"/>
        <w:ind w:left="567" w:leftChars="0" w:hanging="567" w:firstLineChars="0"/>
        <w:rPr>
          <w:rFonts w:hint="eastAsia" w:asciiTheme="majorEastAsia" w:hAnsiTheme="majorEastAsia" w:eastAsiaTheme="majorEastAsia" w:cstheme="majorEastAsia"/>
          <w:sz w:val="21"/>
          <w:szCs w:val="21"/>
          <w:lang w:eastAsia="zh-CN"/>
        </w:rPr>
      </w:pPr>
      <w:bookmarkStart w:id="5" w:name="_Toc23949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查重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CN"/>
        </w:rPr>
        <w:t>介绍</w:t>
      </w:r>
      <w:bookmarkEnd w:id="5"/>
    </w:p>
    <w:p>
      <w:pPr>
        <w:pStyle w:val="4"/>
        <w:numPr>
          <w:ilvl w:val="2"/>
          <w:numId w:val="1"/>
        </w:numPr>
        <w:bidi w:val="0"/>
        <w:spacing w:line="240" w:lineRule="auto"/>
        <w:ind w:left="709" w:leftChars="0" w:hanging="709" w:firstLineChars="0"/>
        <w:rPr>
          <w:rFonts w:hint="eastAsia" w:asciiTheme="majorEastAsia" w:hAnsiTheme="majorEastAsia" w:eastAsiaTheme="majorEastAsia" w:cstheme="majorEastAsia"/>
          <w:sz w:val="21"/>
          <w:szCs w:val="21"/>
          <w:lang w:eastAsia="zh-CN"/>
        </w:rPr>
      </w:pPr>
      <w:bookmarkStart w:id="6" w:name="_Toc8036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查重目的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CN"/>
        </w:rPr>
        <w:t>背景及组成</w:t>
      </w:r>
      <w:bookmarkEnd w:id="6"/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为避免产品重复开发，需要对产品进行查重检验，过滤掉已开发的产品，从而减少后期不必要的人力及费用产生，目前查重主要分为两个部分：①前期工厂目录初步查重；②完成OT阶段后二次查重。</w:t>
      </w:r>
    </w:p>
    <w:p>
      <w:pPr>
        <w:pStyle w:val="4"/>
        <w:numPr>
          <w:ilvl w:val="2"/>
          <w:numId w:val="1"/>
        </w:numPr>
        <w:bidi w:val="0"/>
        <w:spacing w:line="240" w:lineRule="auto"/>
        <w:ind w:left="709" w:leftChars="0" w:hanging="709" w:firstLineChars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7" w:name="_Toc31222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查重流程</w:t>
      </w:r>
      <w:bookmarkEnd w:id="7"/>
    </w:p>
    <w:p>
      <w:pPr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drawing>
          <wp:inline distT="0" distB="0" distL="114300" distR="114300">
            <wp:extent cx="4829810" cy="5768340"/>
            <wp:effectExtent l="0" t="0" r="0" b="0"/>
            <wp:docPr id="5" name="图片 5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未命名文件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AFAFA">
                            <a:alpha val="100000"/>
                          </a:srgbClr>
                        </a:clrFrom>
                        <a:clrTo>
                          <a:srgbClr val="FAFAFA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spacing w:line="240" w:lineRule="auto"/>
        <w:ind w:left="709" w:leftChars="0" w:hanging="709" w:firstLineChars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8" w:name="_Toc28458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查重工具</w:t>
      </w:r>
      <w:bookmarkEnd w:id="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当前运用的查重工具主要是：Excel、Python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、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exe查重工具</w:t>
      </w:r>
    </w:p>
    <w:p>
      <w:pPr>
        <w:pStyle w:val="3"/>
        <w:numPr>
          <w:ilvl w:val="1"/>
          <w:numId w:val="1"/>
        </w:numPr>
        <w:bidi w:val="0"/>
        <w:spacing w:line="240" w:lineRule="auto"/>
        <w:ind w:left="567" w:leftChars="0" w:hanging="567" w:firstLineChars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9" w:name="_Toc4420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新品目录查重</w:t>
      </w:r>
      <w:bookmarkEnd w:id="9"/>
    </w:p>
    <w:p>
      <w:pPr>
        <w:pStyle w:val="4"/>
        <w:widowControl/>
        <w:numPr>
          <w:ilvl w:val="2"/>
          <w:numId w:val="1"/>
        </w:numPr>
        <w:bidi w:val="0"/>
        <w:ind w:left="709" w:leftChars="0" w:hanging="709" w:firstLineChars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10" w:name="_Toc13449"/>
      <w:r>
        <w:rPr>
          <w:rFonts w:hint="eastAsia" w:asciiTheme="majorEastAsia" w:hAnsiTheme="majorEastAsia" w:eastAsiaTheme="majorEastAsia" w:cstheme="majorEastAsia"/>
          <w:b/>
          <w:bCs w:val="0"/>
          <w:kern w:val="2"/>
          <w:sz w:val="21"/>
          <w:szCs w:val="21"/>
        </w:rPr>
        <w:t>Excel查重</w:t>
      </w:r>
      <w:bookmarkEnd w:id="10"/>
    </w:p>
    <w:p>
      <w:pPr>
        <w:pStyle w:val="5"/>
        <w:numPr>
          <w:ilvl w:val="3"/>
          <w:numId w:val="1"/>
        </w:numPr>
        <w:bidi w:val="0"/>
        <w:ind w:left="850" w:leftChars="0" w:hanging="850" w:firstLineChars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总体流程</w:t>
      </w:r>
    </w:p>
    <w:p>
      <w:pPr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drawing>
          <wp:inline distT="0" distB="0" distL="114300" distR="114300">
            <wp:extent cx="2244090" cy="5400040"/>
            <wp:effectExtent l="0" t="0" r="0" b="0"/>
            <wp:docPr id="4" name="图片 4" descr="未命名文件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未命名文件1"/>
                    <pic:cNvPicPr>
                      <a:picLocks noChangeAspect="1"/>
                    </pic:cNvPicPr>
                  </pic:nvPicPr>
                  <pic:blipFill>
                    <a:blip r:embed="rId9">
                      <a:clrChange>
                        <a:clrFrom>
                          <a:srgbClr val="FAFAFA">
                            <a:alpha val="100000"/>
                          </a:srgbClr>
                        </a:clrFrom>
                        <a:clrTo>
                          <a:srgbClr val="FAFAFA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bidi w:val="0"/>
        <w:ind w:left="850" w:leftChars="0" w:hanging="850" w:firstLineChars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操作流程</w:t>
      </w:r>
    </w:p>
    <w:p>
      <w:pPr>
        <w:pStyle w:val="6"/>
        <w:numPr>
          <w:ilvl w:val="4"/>
          <w:numId w:val="1"/>
        </w:numPr>
        <w:bidi w:val="0"/>
        <w:ind w:left="991" w:leftChars="0" w:hanging="991" w:firstLineChars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规范工厂目录</w:t>
      </w:r>
    </w:p>
    <w:p>
      <w:pPr>
        <w:pStyle w:val="7"/>
        <w:numPr>
          <w:ilvl w:val="5"/>
          <w:numId w:val="1"/>
        </w:numPr>
        <w:bidi w:val="0"/>
        <w:ind w:left="1134" w:leftChars="0" w:hanging="1134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规范标准</w:t>
      </w:r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OE号间需由英文分号分隔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“;”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，不得有句号、空格、换行符、逗号、中文分号、斜杠号...等进行分隔。</w:t>
      </w:r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OE号中不得带有品牌字样、中文字样，以及各种特殊符号。</w:t>
      </w:r>
    </w:p>
    <w:p>
      <w:pPr>
        <w:pStyle w:val="7"/>
        <w:numPr>
          <w:ilvl w:val="5"/>
          <w:numId w:val="1"/>
        </w:numPr>
        <w:bidi w:val="0"/>
        <w:ind w:left="1134" w:leftChars="0" w:hanging="1134" w:firstLineChars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目录OE规范步骤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提取主要字段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 xml:space="preserve">    系统导出来的数据字段较多，一部分字段我们并不需要用到，为了使数据源看起来更加简洁美观，对我们来说只需要提取如下字段的基本信息，其中OEM.列就是我们需要规范的OE号。</w:t>
      </w:r>
    </w:p>
    <w:tbl>
      <w:tblPr>
        <w:tblStyle w:val="17"/>
        <w:tblW w:w="885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75"/>
        <w:gridCol w:w="1333"/>
        <w:gridCol w:w="1184"/>
        <w:gridCol w:w="1386"/>
        <w:gridCol w:w="1197"/>
        <w:gridCol w:w="1484"/>
        <w:gridCol w:w="109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1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305496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kern w:val="0"/>
                <w:sz w:val="21"/>
                <w:szCs w:val="21"/>
                <w:u w:val="none"/>
                <w:lang w:val="en-US" w:eastAsia="zh-CN" w:bidi="ar"/>
              </w:rPr>
              <w:t>SKU</w:t>
            </w:r>
          </w:p>
        </w:tc>
        <w:tc>
          <w:tcPr>
            <w:tcW w:w="13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305496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kern w:val="0"/>
                <w:sz w:val="21"/>
                <w:szCs w:val="21"/>
                <w:u w:val="none"/>
                <w:lang w:val="en-US" w:eastAsia="zh-CN" w:bidi="ar"/>
              </w:rPr>
              <w:t>商品配货名</w:t>
            </w: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305496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kern w:val="0"/>
                <w:sz w:val="21"/>
                <w:szCs w:val="21"/>
                <w:u w:val="none"/>
                <w:lang w:val="en-US" w:eastAsia="zh-CN" w:bidi="ar"/>
              </w:rPr>
              <w:t>是否采购</w:t>
            </w:r>
          </w:p>
        </w:tc>
        <w:tc>
          <w:tcPr>
            <w:tcW w:w="13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305496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kern w:val="0"/>
                <w:sz w:val="21"/>
                <w:szCs w:val="21"/>
                <w:u w:val="none"/>
                <w:lang w:val="en-US" w:eastAsia="zh-CN" w:bidi="ar"/>
              </w:rPr>
              <w:t>eBay关键字</w:t>
            </w:r>
          </w:p>
        </w:tc>
        <w:tc>
          <w:tcPr>
            <w:tcW w:w="11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305496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  <w:tc>
          <w:tcPr>
            <w:tcW w:w="14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305496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kern w:val="0"/>
                <w:sz w:val="21"/>
                <w:szCs w:val="21"/>
                <w:u w:val="none"/>
                <w:lang w:val="en-US" w:eastAsia="zh-CN" w:bidi="ar"/>
              </w:rPr>
              <w:t>供应商编号</w:t>
            </w:r>
          </w:p>
        </w:tc>
        <w:tc>
          <w:tcPr>
            <w:tcW w:w="10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305496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kern w:val="0"/>
                <w:sz w:val="21"/>
                <w:szCs w:val="21"/>
                <w:u w:val="none"/>
                <w:lang w:val="en-US" w:eastAsia="zh-CN" w:bidi="ar"/>
              </w:rPr>
              <w:t>OEM.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</w:trPr>
        <w:tc>
          <w:tcPr>
            <w:tcW w:w="1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3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3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1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4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替换</w:t>
      </w:r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若OE中含有换行符、句号、空格、逗号、中文分号、斜杠号等，均替换为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“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;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”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。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5"/>
        <w:gridCol w:w="1652"/>
        <w:gridCol w:w="2168"/>
        <w:gridCol w:w="24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2225" w:type="dxa"/>
            <w:shd w:val="clear" w:color="auto" w:fill="D7D7D7" w:themeFill="background1" w:themeFillShade="D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替换前</w:t>
            </w:r>
          </w:p>
        </w:tc>
        <w:tc>
          <w:tcPr>
            <w:tcW w:w="1652" w:type="dxa"/>
            <w:shd w:val="clear" w:color="auto" w:fill="D7D7D7" w:themeFill="background1" w:themeFillShade="D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替换后</w:t>
            </w:r>
          </w:p>
        </w:tc>
        <w:tc>
          <w:tcPr>
            <w:tcW w:w="2168" w:type="dxa"/>
            <w:shd w:val="clear" w:color="auto" w:fill="D7D7D7" w:themeFill="background1" w:themeFillShade="D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替换操作步骤</w:t>
            </w:r>
          </w:p>
        </w:tc>
        <w:tc>
          <w:tcPr>
            <w:tcW w:w="2477" w:type="dxa"/>
            <w:shd w:val="clear" w:color="auto" w:fill="D7D7D7" w:themeFill="background1" w:themeFillShade="D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案例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换行符（^l）</w:t>
            </w:r>
          </w:p>
        </w:tc>
        <w:tc>
          <w:tcPr>
            <w:tcW w:w="1652" w:type="dxa"/>
            <w:vMerge w:val="restart"/>
          </w:tcPr>
          <w:p>
            <w:pPr>
              <w:pStyle w:val="2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;</w:t>
            </w:r>
          </w:p>
        </w:tc>
        <w:tc>
          <w:tcPr>
            <w:tcW w:w="2168" w:type="dxa"/>
            <w:vMerge w:val="restart"/>
          </w:tcPr>
          <w:p>
            <w:pPr>
              <w:bidi w:val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</w:p>
          <w:p>
            <w:pPr>
              <w:bidi w:val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Ctrl+F，弹出小窗口</w:t>
            </w:r>
          </w:p>
          <w:p>
            <w:pPr>
              <w:bidi w:val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↓</w:t>
            </w:r>
          </w:p>
          <w:p>
            <w:pPr>
              <w:bidi w:val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输入被替换的字符串</w:t>
            </w:r>
          </w:p>
          <w:p>
            <w:pPr>
              <w:bidi w:val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↓</w:t>
            </w:r>
          </w:p>
          <w:p>
            <w:pPr>
              <w:bidi w:val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输入英文分号";"</w:t>
            </w:r>
          </w:p>
          <w:p>
            <w:pPr>
              <w:bidi w:val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↓</w:t>
            </w:r>
          </w:p>
          <w:p>
            <w:pPr>
              <w:bidi w:val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点击全部替换</w:t>
            </w:r>
          </w:p>
        </w:tc>
        <w:tc>
          <w:tcPr>
            <w:tcW w:w="2477" w:type="dxa"/>
            <w:vMerge w:val="restart"/>
          </w:tcPr>
          <w:p>
            <w:pPr>
              <w:pStyle w:val="20"/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将换行间隔替换为“;”</w:t>
            </w:r>
          </w:p>
          <w:p>
            <w:pPr>
              <w:pStyle w:val="20"/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drawing>
                <wp:inline distT="0" distB="0" distL="114300" distR="114300">
                  <wp:extent cx="1315720" cy="520065"/>
                  <wp:effectExtent l="0" t="0" r="17780" b="13335"/>
                  <wp:docPr id="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t="3736" r="43462" b="16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720" cy="52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0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eastAsia" w:asciiTheme="minorEastAsia" w:hAnsiTheme="minorEastAsia" w:eastAsiaTheme="minorEastAsia" w:cstheme="minorEastAsia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FF0000"/>
                <w:sz w:val="21"/>
                <w:szCs w:val="21"/>
                <w:lang w:val="en-US" w:eastAsia="zh-CN"/>
              </w:rPr>
              <w:t>Tips：换行符可由Ctrl+F→替换→特殊内容→换行符直接找到,如下：</w:t>
            </w:r>
          </w:p>
          <w:p>
            <w:pPr>
              <w:pStyle w:val="20"/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drawing>
                <wp:inline distT="0" distB="0" distL="114300" distR="114300">
                  <wp:extent cx="1342390" cy="502285"/>
                  <wp:effectExtent l="0" t="0" r="10160" b="1206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90" cy="502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句号（。）</w:t>
            </w:r>
          </w:p>
        </w:tc>
        <w:tc>
          <w:tcPr>
            <w:tcW w:w="1652" w:type="dxa"/>
            <w:vMerge w:val="continue"/>
          </w:tcPr>
          <w:p>
            <w:pPr>
              <w:pStyle w:val="20"/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168" w:type="dxa"/>
            <w:vMerge w:val="continue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477" w:type="dxa"/>
            <w:vMerge w:val="continue"/>
          </w:tcPr>
          <w:p>
            <w:pPr>
              <w:pStyle w:val="20"/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空格（ ）</w:t>
            </w:r>
          </w:p>
        </w:tc>
        <w:tc>
          <w:tcPr>
            <w:tcW w:w="1652" w:type="dxa"/>
            <w:vMerge w:val="continue"/>
          </w:tcPr>
          <w:p>
            <w:pPr>
              <w:pStyle w:val="20"/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168" w:type="dxa"/>
            <w:vMerge w:val="continue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477" w:type="dxa"/>
            <w:vMerge w:val="continue"/>
          </w:tcPr>
          <w:p>
            <w:pPr>
              <w:pStyle w:val="20"/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逗号（，）</w:t>
            </w:r>
          </w:p>
        </w:tc>
        <w:tc>
          <w:tcPr>
            <w:tcW w:w="1652" w:type="dxa"/>
            <w:vMerge w:val="continue"/>
          </w:tcPr>
          <w:p>
            <w:pPr>
              <w:pStyle w:val="20"/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168" w:type="dxa"/>
            <w:vMerge w:val="continue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477" w:type="dxa"/>
            <w:vMerge w:val="continue"/>
          </w:tcPr>
          <w:p>
            <w:pPr>
              <w:pStyle w:val="20"/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中文分号（；）</w:t>
            </w:r>
          </w:p>
        </w:tc>
        <w:tc>
          <w:tcPr>
            <w:tcW w:w="1652" w:type="dxa"/>
            <w:vMerge w:val="continue"/>
          </w:tcPr>
          <w:p>
            <w:pPr>
              <w:pStyle w:val="20"/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168" w:type="dxa"/>
            <w:vMerge w:val="continue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477" w:type="dxa"/>
            <w:vMerge w:val="continue"/>
          </w:tcPr>
          <w:p>
            <w:pPr>
              <w:pStyle w:val="20"/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双分号（;;）</w:t>
            </w:r>
          </w:p>
        </w:tc>
        <w:tc>
          <w:tcPr>
            <w:tcW w:w="1652" w:type="dxa"/>
            <w:vMerge w:val="continue"/>
          </w:tcPr>
          <w:p>
            <w:pPr>
              <w:pStyle w:val="20"/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168" w:type="dxa"/>
            <w:vMerge w:val="continue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477" w:type="dxa"/>
            <w:vMerge w:val="continue"/>
          </w:tcPr>
          <w:p>
            <w:pPr>
              <w:pStyle w:val="20"/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顿号（、）</w:t>
            </w:r>
          </w:p>
        </w:tc>
        <w:tc>
          <w:tcPr>
            <w:tcW w:w="1652" w:type="dxa"/>
            <w:vMerge w:val="continue"/>
          </w:tcPr>
          <w:p>
            <w:pPr>
              <w:pStyle w:val="20"/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168" w:type="dxa"/>
            <w:vMerge w:val="continue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477" w:type="dxa"/>
            <w:vMerge w:val="continue"/>
          </w:tcPr>
          <w:p>
            <w:pPr>
              <w:pStyle w:val="20"/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斜杠号（/）</w:t>
            </w:r>
          </w:p>
        </w:tc>
        <w:tc>
          <w:tcPr>
            <w:tcW w:w="1652" w:type="dxa"/>
            <w:vMerge w:val="continue"/>
          </w:tcPr>
          <w:p>
            <w:pPr>
              <w:pStyle w:val="20"/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168" w:type="dxa"/>
            <w:vMerge w:val="continue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477" w:type="dxa"/>
            <w:vMerge w:val="continue"/>
          </w:tcPr>
          <w:p>
            <w:pPr>
              <w:pStyle w:val="20"/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22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双斜杠号（//）</w:t>
            </w:r>
          </w:p>
        </w:tc>
        <w:tc>
          <w:tcPr>
            <w:tcW w:w="1652" w:type="dxa"/>
            <w:vMerge w:val="continue"/>
          </w:tcPr>
          <w:p>
            <w:pPr>
              <w:pStyle w:val="20"/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168" w:type="dxa"/>
            <w:vMerge w:val="continue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477" w:type="dxa"/>
            <w:vMerge w:val="continue"/>
          </w:tcPr>
          <w:p>
            <w:pPr>
              <w:pStyle w:val="20"/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22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...</w:t>
            </w:r>
          </w:p>
        </w:tc>
        <w:tc>
          <w:tcPr>
            <w:tcW w:w="1652" w:type="dxa"/>
            <w:vMerge w:val="continue"/>
          </w:tcPr>
          <w:p>
            <w:pPr>
              <w:pStyle w:val="20"/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168" w:type="dxa"/>
            <w:vMerge w:val="continue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477" w:type="dxa"/>
            <w:vMerge w:val="continue"/>
          </w:tcPr>
          <w:p>
            <w:pPr>
              <w:pStyle w:val="20"/>
              <w:numPr>
                <w:ilvl w:val="0"/>
                <w:numId w:val="0"/>
              </w:numPr>
              <w:spacing w:line="24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若OE号中带有品牌，例如WAI等，或夹杂中文，需要手动删除。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若OE号中含有特殊字符，例如星号*等，需要去市场查一下，是否属于该品牌的OE书写规范，若不属于，需手动删除。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若OE号中有带“-”号的，属于不同品牌的OE号书写规范，可以先保留一列，在后面追加一列不带“-”的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，也可只保留一列不带“-”号的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分列</w:t>
      </w:r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先复制一列最终规范后的OE，再对复制的那列进行分列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；</w:t>
      </w:r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点击工具栏数据框，点击分列，弹出窗口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；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选择分隔符号，点击下一步。</w:t>
      </w:r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1227455</wp:posOffset>
            </wp:positionH>
            <wp:positionV relativeFrom="paragraph">
              <wp:posOffset>27305</wp:posOffset>
            </wp:positionV>
            <wp:extent cx="3143250" cy="2236470"/>
            <wp:effectExtent l="0" t="0" r="0" b="1143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选中其他，并输入分号“;”，点击下一步。</w:t>
      </w:r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1155065</wp:posOffset>
            </wp:positionH>
            <wp:positionV relativeFrom="paragraph">
              <wp:posOffset>233045</wp:posOffset>
            </wp:positionV>
            <wp:extent cx="3328035" cy="2978785"/>
            <wp:effectExtent l="0" t="0" r="5715" b="12065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选择常规/文本（分列字段格式需和下一步骤数据库分列字段格式一致)，点击完成。</w:t>
      </w:r>
    </w:p>
    <w:p>
      <w:pPr>
        <w:pStyle w:val="20"/>
        <w:numPr>
          <w:ilvl w:val="0"/>
          <w:numId w:val="0"/>
        </w:numPr>
        <w:spacing w:line="240" w:lineRule="auto"/>
        <w:ind w:leftChars="0"/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drawing>
          <wp:inline distT="0" distB="0" distL="114300" distR="114300">
            <wp:extent cx="3306445" cy="2915920"/>
            <wp:effectExtent l="0" t="0" r="8255" b="177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分列后，再次检查每一列OE是否都规范完成。</w:t>
      </w:r>
    </w:p>
    <w:p>
      <w:pPr>
        <w:pStyle w:val="7"/>
        <w:numPr>
          <w:ilvl w:val="5"/>
          <w:numId w:val="1"/>
        </w:numPr>
        <w:bidi w:val="0"/>
        <w:ind w:left="1134" w:leftChars="0" w:hanging="1134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输出规范后OE结果</w:t>
      </w:r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工厂目录OE规范完成后，输出如下图结果：</w:t>
      </w:r>
    </w:p>
    <w:p>
      <w:pPr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74310" cy="5670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5"/>
          <w:numId w:val="1"/>
        </w:numPr>
        <w:bidi w:val="0"/>
        <w:ind w:left="1134" w:leftChars="0" w:hanging="1134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目录规范后标准格式</w:t>
      </w:r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200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Title需包含：序号、工厂、工厂号、是否采购、对应OE、查找结果、查找值、OEM.</w:t>
      </w:r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200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部分工厂可能未提供工厂号情况，可空缺</w:t>
      </w:r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200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对应OE需填入工厂所提供的完整OE字段</w:t>
      </w:r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200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OEM.为工厂所提供分裂后OE字段，根据OE个数进行调整</w:t>
      </w:r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文档格式如下图：</w:t>
      </w:r>
    </w:p>
    <w:p>
      <w:pPr>
        <w:jc w:val="center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lang w:eastAsia="zh-CN"/>
        </w:rPr>
        <w:drawing>
          <wp:inline distT="0" distB="0" distL="114300" distR="114300">
            <wp:extent cx="5267325" cy="972820"/>
            <wp:effectExtent l="0" t="0" r="9525" b="177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bidi w:val="0"/>
        <w:ind w:left="991" w:leftChars="0" w:hanging="991" w:firstLineChars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更新并规范数据库</w:t>
      </w:r>
    </w:p>
    <w:p>
      <w:pPr>
        <w:pStyle w:val="7"/>
        <w:numPr>
          <w:ilvl w:val="5"/>
          <w:numId w:val="1"/>
        </w:numPr>
        <w:bidi w:val="0"/>
        <w:ind w:left="1134" w:leftChars="0" w:hanging="1134" w:firstLineChars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规范目的</w:t>
      </w:r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数据库是整个查重的判断基础，完整的数据库对于查重的有效率有着重要作用，能大大降低二次作业以及时间成本。因此，对于系统导出的OE号，也需要进行规范处理，其OE需同工厂一样将OE规范为标准格式。</w:t>
      </w:r>
    </w:p>
    <w:p>
      <w:pPr>
        <w:pStyle w:val="7"/>
        <w:numPr>
          <w:ilvl w:val="5"/>
          <w:numId w:val="1"/>
        </w:numPr>
        <w:bidi w:val="0"/>
        <w:ind w:left="1134" w:leftChars="0" w:hanging="1134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规范步骤</w:t>
      </w:r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OE处理参考2.2.1.2.1.2.目录OE规范步骤。</w:t>
      </w:r>
    </w:p>
    <w:p>
      <w:pPr>
        <w:pStyle w:val="7"/>
        <w:numPr>
          <w:ilvl w:val="5"/>
          <w:numId w:val="1"/>
        </w:numPr>
        <w:bidi w:val="0"/>
        <w:ind w:left="1134" w:leftChars="0" w:hanging="1134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最终输出呈现</w:t>
      </w:r>
    </w:p>
    <w:p>
      <w:pPr>
        <w:pStyle w:val="16"/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firstLine="42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"/>
        </w:rPr>
        <w:t>系统导出来的OE规范完成后，会输出一份大致如下图的框架：</w:t>
      </w:r>
    </w:p>
    <w:p>
      <w:pPr>
        <w:pStyle w:val="20"/>
        <w:numPr>
          <w:ilvl w:val="0"/>
          <w:numId w:val="0"/>
        </w:numPr>
        <w:spacing w:line="240" w:lineRule="auto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69230" cy="619760"/>
            <wp:effectExtent l="0" t="0" r="762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firstLine="420" w:firstLineChars="200"/>
        <w:jc w:val="both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"/>
        </w:rPr>
        <w:t>将上图分列后的横向OE，调整为如下图所示纵向OE格式：</w:t>
      </w:r>
    </w:p>
    <w:p>
      <w:pPr>
        <w:pStyle w:val="16"/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firstLine="420" w:firstLineChars="200"/>
        <w:jc w:val="center"/>
        <w:textAlignment w:val="auto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"/>
        </w:rPr>
      </w:pPr>
      <w:r>
        <w:rPr>
          <w:rFonts w:hint="default" w:ascii="微软雅黑" w:hAnsi="微软雅黑" w:eastAsia="微软雅黑" w:cs="微软雅黑"/>
          <w:kern w:val="2"/>
          <w:sz w:val="21"/>
          <w:szCs w:val="21"/>
          <w:lang w:eastAsia="zh-CN" w:bidi="ar"/>
        </w:rPr>
        <w:drawing>
          <wp:inline distT="0" distB="0" distL="114300" distR="114300">
            <wp:extent cx="1381125" cy="39909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5"/>
          <w:numId w:val="1"/>
        </w:numPr>
        <w:bidi w:val="0"/>
        <w:ind w:left="1134" w:leftChars="0" w:hanging="1134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注意事项</w:t>
      </w:r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分品类建立数据库，防止数据混乱。</w:t>
      </w:r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数据库保持更新，只要前期先处理一次系统导出来的OE，后期只要把新开发的OE更新到后面，不需要每次查重都处理一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遍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所有的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OE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。</w:t>
      </w:r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OE在进行分列后，部分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以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“0”开头的OE号可能会被省略“0”，以及OE号中间带“E”的会变成科学计数法，两者均不影响最终的查重结果。</w:t>
      </w:r>
    </w:p>
    <w:p>
      <w:pPr>
        <w:pStyle w:val="6"/>
        <w:numPr>
          <w:ilvl w:val="4"/>
          <w:numId w:val="1"/>
        </w:numPr>
        <w:bidi w:val="0"/>
        <w:ind w:left="991" w:leftChars="0" w:hanging="991" w:firstLineChars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整合数据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新建Excel文档，并命名为【新品目录】-已查重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将2.2.1.2.1.4.目录规范后标准格式数据贴入Sheet1，重命名为“新品目录”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将2.2.1.2.2.3.最终输出呈现数据贴入Sheet2，重命名为“数据源”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在新品目录表“查找结果</w:t>
      </w: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>”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列输入公式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“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=Vlookup（查找值，数据源表，2，0）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”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并下拉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将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“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OEM1.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”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数据复制到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“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查找值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”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，筛选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“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#N/A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”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项，将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“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OEM.2”数据复制到“查找值”，粘贴值到可见单元格，若有“OEM3.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”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、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“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OEM4.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”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...等数据，重复上述操作，直至全部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“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OEMn.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筛选“查找值”中“#N/A”项，在“是否采购”中填入“否”，然后清除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“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查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重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值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”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中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“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#N/A”项，将“是否采购”的空白项填为“是”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。（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过滤已开发的SKU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420" w:firstLineChars="20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全选表格，将表格中的数据全部粘贴为值</w:t>
      </w:r>
    </w:p>
    <w:p>
      <w:pPr>
        <w:pStyle w:val="4"/>
        <w:numPr>
          <w:ilvl w:val="2"/>
          <w:numId w:val="1"/>
        </w:numPr>
        <w:bidi w:val="0"/>
        <w:ind w:left="709" w:leftChars="0" w:hanging="709" w:firstLineChars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11" w:name="_Toc16878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Python查重</w:t>
      </w:r>
      <w:bookmarkEnd w:id="11"/>
    </w:p>
    <w:p>
      <w:pPr>
        <w:pStyle w:val="5"/>
        <w:numPr>
          <w:ilvl w:val="3"/>
          <w:numId w:val="1"/>
        </w:numPr>
        <w:bidi w:val="0"/>
        <w:spacing w:line="240" w:lineRule="auto"/>
        <w:ind w:left="850" w:leftChars="0" w:hanging="85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现实意义</w:t>
      </w:r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outlineLvl w:val="9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 xml:space="preserve">    当数据体量较大时，excel人工处理的步骤较多，在规范OE的过程中可能会存在一些操作漏洞，而python的逻辑编写可以涵盖目前可能遇到的所有OE规范情况，通过Python程序更好的实现办公自动化，减少人工操作的疏忽，提高查重的准确性。</w:t>
      </w:r>
    </w:p>
    <w:p>
      <w:pPr>
        <w:pStyle w:val="5"/>
        <w:numPr>
          <w:ilvl w:val="3"/>
          <w:numId w:val="1"/>
        </w:numPr>
        <w:bidi w:val="0"/>
        <w:spacing w:line="240" w:lineRule="auto"/>
        <w:ind w:left="850" w:leftChars="0" w:hanging="85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操作流程</w:t>
      </w:r>
    </w:p>
    <w:p>
      <w:pPr>
        <w:pStyle w:val="6"/>
        <w:numPr>
          <w:ilvl w:val="4"/>
          <w:numId w:val="1"/>
        </w:numPr>
        <w:bidi w:val="0"/>
        <w:ind w:left="991" w:leftChars="0" w:hanging="991" w:firstLineChars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CN"/>
        </w:rPr>
        <w:t>工厂目录统一模板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  不同工厂提供的目录格式可能不唯一，首先要把各式各样的目录转化为我们如下唯一固定的模板，并将文件命名为《工厂新品目录模板》。</w:t>
      </w:r>
    </w:p>
    <w:tbl>
      <w:tblPr>
        <w:tblStyle w:val="17"/>
        <w:tblW w:w="909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00"/>
        <w:gridCol w:w="1576"/>
        <w:gridCol w:w="990"/>
        <w:gridCol w:w="1358"/>
        <w:gridCol w:w="1080"/>
        <w:gridCol w:w="1080"/>
        <w:gridCol w:w="1126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400" w:hRule="atLeast"/>
        </w:trPr>
        <w:tc>
          <w:tcPr>
            <w:tcW w:w="800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FF0000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kern w:val="0"/>
                <w:sz w:val="21"/>
                <w:szCs w:val="21"/>
                <w:u w:val="none"/>
                <w:lang w:val="en-US" w:eastAsia="zh-CN" w:bidi="ar"/>
              </w:rPr>
              <w:t>序号</w:t>
            </w:r>
          </w:p>
        </w:tc>
        <w:tc>
          <w:tcPr>
            <w:tcW w:w="1576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0000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kern w:val="0"/>
                <w:sz w:val="21"/>
                <w:szCs w:val="21"/>
                <w:u w:val="none"/>
                <w:lang w:val="en-US" w:eastAsia="zh-CN" w:bidi="ar"/>
              </w:rPr>
              <w:t>工厂</w:t>
            </w:r>
          </w:p>
        </w:tc>
        <w:tc>
          <w:tcPr>
            <w:tcW w:w="99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0000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kern w:val="0"/>
                <w:sz w:val="21"/>
                <w:szCs w:val="21"/>
                <w:u w:val="none"/>
                <w:lang w:val="en-US" w:eastAsia="zh-CN" w:bidi="ar"/>
              </w:rPr>
              <w:t>工厂号</w:t>
            </w:r>
          </w:p>
        </w:tc>
        <w:tc>
          <w:tcPr>
            <w:tcW w:w="1366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000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kern w:val="0"/>
                <w:sz w:val="21"/>
                <w:szCs w:val="21"/>
                <w:u w:val="none"/>
                <w:lang w:val="en-US" w:eastAsia="zh-CN" w:bidi="ar"/>
              </w:rPr>
              <w:t>完整OE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0000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kern w:val="0"/>
                <w:sz w:val="21"/>
                <w:szCs w:val="21"/>
                <w:u w:val="none"/>
                <w:lang w:val="en-US" w:eastAsia="zh-CN" w:bidi="ar"/>
              </w:rPr>
              <w:t>是否采购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0000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kern w:val="0"/>
                <w:sz w:val="21"/>
                <w:szCs w:val="21"/>
                <w:u w:val="none"/>
                <w:lang w:val="en-US" w:eastAsia="zh-CN" w:bidi="ar"/>
              </w:rPr>
              <w:t>QTY</w:t>
            </w:r>
          </w:p>
        </w:tc>
        <w:tc>
          <w:tcPr>
            <w:tcW w:w="1126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0000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kern w:val="0"/>
                <w:sz w:val="21"/>
                <w:szCs w:val="21"/>
                <w:u w:val="none"/>
                <w:lang w:val="en-US" w:eastAsia="zh-CN" w:bidi="ar"/>
              </w:rPr>
              <w:t>含税价格</w:t>
            </w:r>
          </w:p>
        </w:tc>
        <w:tc>
          <w:tcPr>
            <w:tcW w:w="1080" w:type="dxa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FF0000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sz w:val="21"/>
                <w:szCs w:val="21"/>
                <w:u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olor w:val="FFFFFF"/>
                <w:kern w:val="0"/>
                <w:sz w:val="21"/>
                <w:szCs w:val="21"/>
                <w:u w:val="none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3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Theme="minorEastAsia" w:hAnsiTheme="minorEastAsia" w:eastAsiaTheme="minorEastAsia" w:cstheme="minorEastAsia"/>
                <w:i w:val="0"/>
                <w:iCs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pStyle w:val="6"/>
        <w:numPr>
          <w:ilvl w:val="4"/>
          <w:numId w:val="1"/>
        </w:numPr>
        <w:bidi w:val="0"/>
        <w:ind w:left="991" w:leftChars="0" w:hanging="991" w:firstLineChars="0"/>
        <w:rPr>
          <w:rFonts w:hint="eastAsia" w:asciiTheme="majorEastAsia" w:hAnsiTheme="majorEastAsia" w:eastAsiaTheme="majorEastAsia" w:cstheme="majorEastAsia"/>
          <w:sz w:val="21"/>
          <w:szCs w:val="21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CN"/>
        </w:rPr>
        <w:t>新建输出文件夹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 xml:space="preserve">    新建一个文件夹，命名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“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查重输出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”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，专门用于存放程序输出的文件。（程序将会输出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一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个文件，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名如“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【查重输出】_20240709_171413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”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）</w:t>
      </w:r>
    </w:p>
    <w:p>
      <w:pPr>
        <w:numPr>
          <w:ilvl w:val="0"/>
          <w:numId w:val="0"/>
        </w:numPr>
        <w:bidi w:val="0"/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drawing>
          <wp:inline distT="0" distB="0" distL="114300" distR="114300">
            <wp:extent cx="5271770" cy="1269365"/>
            <wp:effectExtent l="0" t="0" r="5080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bidi w:val="0"/>
        <w:ind w:left="991" w:leftChars="0" w:hanging="991" w:firstLineChars="0"/>
        <w:rPr>
          <w:rFonts w:hint="eastAsia" w:asciiTheme="majorEastAsia" w:hAnsiTheme="majorEastAsia" w:eastAsiaTheme="majorEastAsia" w:cstheme="majorEastAsia"/>
          <w:sz w:val="21"/>
          <w:szCs w:val="21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CN"/>
        </w:rPr>
        <w:t>上传程序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   将写好的python程序上传到Anaconda Navigator上：打开Anaconda Navigator→点击Update，找到已编写完成的程序，点击打开，程序上传完毕，如下图。</w:t>
      </w:r>
    </w:p>
    <w:p>
      <w:pPr>
        <w:numPr>
          <w:ilvl w:val="0"/>
          <w:numId w:val="0"/>
        </w:numPr>
        <w:bidi w:val="0"/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drawing>
          <wp:inline distT="0" distB="0" distL="114300" distR="114300">
            <wp:extent cx="5266055" cy="989965"/>
            <wp:effectExtent l="0" t="0" r="1079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bidi w:val="0"/>
        <w:ind w:left="991" w:leftChars="0" w:hanging="991" w:firstLineChars="0"/>
        <w:rPr>
          <w:rFonts w:hint="eastAsia" w:asciiTheme="majorEastAsia" w:hAnsiTheme="majorEastAsia" w:eastAsiaTheme="majorEastAsia" w:cstheme="majorEastAsia"/>
          <w:sz w:val="21"/>
          <w:szCs w:val="21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CN"/>
        </w:rPr>
        <w:t>更改路径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 xml:space="preserve">    每台电脑存放文件的路径都不唯一，因此程序里的文件路径不适用于每个人，所以拿到程序后，需要把程序里涉及到的文件路径都改成个人相对应存放的文件路径。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打开程序，更改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第一个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路径：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【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查重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模板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】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的保存路径；</w:t>
      </w:r>
    </w:p>
    <w:p>
      <w:pPr>
        <w:numPr>
          <w:ilvl w:val="0"/>
          <w:numId w:val="0"/>
        </w:numPr>
        <w:bidi w:val="0"/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drawing>
          <wp:inline distT="0" distB="0" distL="114300" distR="114300">
            <wp:extent cx="5271135" cy="3686810"/>
            <wp:effectExtent l="0" t="0" r="5715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更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改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第二个路径，即输出文件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【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查重输出】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drawing>
          <wp:inline distT="0" distB="0" distL="114300" distR="114300">
            <wp:extent cx="5269230" cy="1571625"/>
            <wp:effectExtent l="0" t="0" r="762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4"/>
          <w:numId w:val="1"/>
        </w:numPr>
        <w:bidi w:val="0"/>
        <w:ind w:left="991" w:leftChars="0" w:hanging="991" w:firstLineChars="0"/>
        <w:rPr>
          <w:rFonts w:hint="eastAsia" w:asciiTheme="majorEastAsia" w:hAnsiTheme="majorEastAsia" w:eastAsiaTheme="majorEastAsia" w:cstheme="majorEastAsia"/>
          <w:sz w:val="21"/>
          <w:szCs w:val="21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CN"/>
        </w:rPr>
        <w:t>注意事项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建议专门建一个文件夹用于存放查重相关的文件，便于文件归类。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程序里文件路径的组成：文件地址\文件名称。</w:t>
      </w:r>
    </w:p>
    <w:p>
      <w:pPr>
        <w:numPr>
          <w:ilvl w:val="0"/>
          <w:numId w:val="0"/>
        </w:numPr>
        <w:bidi w:val="0"/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drawing>
          <wp:inline distT="0" distB="0" distL="114300" distR="114300">
            <wp:extent cx="5270500" cy="1243330"/>
            <wp:effectExtent l="0" t="0" r="6350" b="1397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复制文件地址的方法：找到需要的文件→点击上方长条框最后一个文件夹→点击鼠标右键→点击“将地址复制为文本”。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drawing>
          <wp:inline distT="0" distB="0" distL="114300" distR="114300">
            <wp:extent cx="5269865" cy="1513840"/>
            <wp:effectExtent l="0" t="0" r="6985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2"/>
          <w:numId w:val="1"/>
        </w:numPr>
        <w:bidi w:val="0"/>
        <w:ind w:left="709" w:leftChars="0" w:hanging="709" w:firstLineChars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exe工具查重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利用exe查重工具进行便捷查重。exe工具获取路径：</w:t>
      </w:r>
      <w:bookmarkStart w:id="18" w:name="_GoBack"/>
      <w:bookmarkEnd w:id="18"/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3"/>
          <w:numId w:val="1"/>
        </w:numPr>
        <w:bidi w:val="0"/>
        <w:spacing w:line="240" w:lineRule="auto"/>
        <w:ind w:left="850" w:leftChars="0" w:hanging="850" w:firstLineChars="0"/>
        <w:rPr>
          <w:rFonts w:hint="eastAsia" w:asciiTheme="majorEastAsia" w:hAnsiTheme="majorEastAsia" w:eastAsiaTheme="majorEastAsia" w:cstheme="majorEastAsia"/>
          <w:sz w:val="21"/>
          <w:szCs w:val="21"/>
          <w:lang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操作流程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459355"/>
            <wp:effectExtent l="0" t="0" r="3810" b="1714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OE查重工具文件夹内共有五部分，其中“数据源”文件夹内保存全量“PTSKU数据”或“查重用OE”数据，相关数据每周更新。</w:t>
      </w:r>
    </w:p>
    <w:p>
      <w:pPr>
        <w:pStyle w:val="6"/>
        <w:numPr>
          <w:ilvl w:val="4"/>
          <w:numId w:val="1"/>
        </w:numPr>
        <w:bidi w:val="0"/>
        <w:ind w:left="991" w:leftChars="0" w:hanging="991" w:firstLineChars="0"/>
        <w:rPr>
          <w:rFonts w:hint="eastAsia" w:asciiTheme="majorEastAsia" w:hAnsiTheme="majorEastAsia" w:eastAsiaTheme="majorEastAsia" w:cstheme="majorEastAsia"/>
          <w:sz w:val="21"/>
          <w:szCs w:val="21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数据输入和输出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“模板”和“查重结果”两个Excel文件分别对应“需查重数据”和已查重的“数据输出”，打开“模板”文件，共有两张sheet表。如下图。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张表为需查重数据，将需要查重的数据贴入对应位置，第一列“辨识号”不能为重复数据，方便区分；第二列“OE”数据为需要查重的数据，如已命名SKU，可将SKU作为辨识号输入，如还未命名SKU，则可自主取名编号作为辨识号如“YTDCR-001”、“YTDCR-002”…下拉。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1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第二张表为PTSKU，如已确定查重的品类，将对应品类的全量PTSKU数据放入“PTSKU”的sheet中；如为新品查重或同时有多个品类查重，则可将全量PTSKU或多个已知品类的SKU和OE数据一并放入“PTSKU”的sheet中。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094865"/>
            <wp:effectExtent l="0" t="0" r="6985" b="63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1770" cy="2180590"/>
            <wp:effectExtent l="0" t="0" r="5080" b="1016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6"/>
        <w:numPr>
          <w:ilvl w:val="4"/>
          <w:numId w:val="1"/>
        </w:numPr>
        <w:bidi w:val="0"/>
        <w:ind w:left="991" w:leftChars="0" w:hanging="991" w:firstLineChars="0"/>
        <w:rPr>
          <w:rFonts w:hint="eastAsia" w:asciiTheme="majorEastAsia" w:hAnsiTheme="majorEastAsia" w:eastAsiaTheme="majorEastAsia" w:cstheme="majorEastAsia"/>
          <w:sz w:val="21"/>
          <w:szCs w:val="21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exe工具使用介绍</w:t>
      </w:r>
    </w:p>
    <w:p>
      <w:pPr>
        <w:numPr>
          <w:ilvl w:val="0"/>
          <w:numId w:val="12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在模板中贴入“需查重数据”和“PTSKU”数据以后，保存excel文件，打开OE查重的exe工具。</w:t>
      </w:r>
      <w:r>
        <w:drawing>
          <wp:inline distT="0" distB="0" distL="114300" distR="114300">
            <wp:extent cx="5272405" cy="1903095"/>
            <wp:effectExtent l="0" t="0" r="4445" b="1905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在工具界面中，对应查重需求进行选择。（一般情况下，使用4.自定义查重）</w:t>
      </w: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、如选择1.表内查重。那么仅会进行sheet1需查重数据的表内查重，判断是否存在表内重复的情况；</w:t>
      </w:r>
    </w:p>
    <w:p>
      <w:pPr>
        <w:numPr>
          <w:numId w:val="0"/>
        </w:numPr>
        <w:ind w:left="420"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、如选择2.系统查重。即会对PTSKU内已有品类进行查重，此时会用到“数据源”文件夹中的数据，进行已知品类的系统查重；</w:t>
      </w:r>
    </w:p>
    <w:p>
      <w:pPr>
        <w:numPr>
          <w:numId w:val="0"/>
        </w:numPr>
        <w:ind w:left="420"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、如选择3.自定义查重（匹配已开发信息）。那么会与PTSKU数据进行查重，且会匹配已经开发的具体信息；（耗时较久）</w:t>
      </w:r>
    </w:p>
    <w:p>
      <w:pPr>
        <w:numPr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、如选择4.自定义查重（不匹配已开发信息）。那么会使用sheet2中的PTSKU数据进行查重且不匹配开发的具体信息。（常用）</w:t>
      </w:r>
    </w:p>
    <w:p>
      <w:pPr>
        <w:numPr>
          <w:numId w:val="0"/>
        </w:numPr>
        <w:ind w:leftChars="0"/>
        <w:jc w:val="left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900930" cy="3110230"/>
            <wp:effectExtent l="0" t="0" r="13970" b="1397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pStyle w:val="6"/>
        <w:numPr>
          <w:ilvl w:val="4"/>
          <w:numId w:val="1"/>
        </w:numPr>
        <w:bidi w:val="0"/>
        <w:ind w:left="991" w:leftChars="0" w:hanging="991" w:firstLineChars="0"/>
        <w:rPr>
          <w:rFonts w:hint="eastAsia" w:asciiTheme="majorEastAsia" w:hAnsiTheme="majorEastAsia" w:eastAsiaTheme="majorEastAsia" w:cstheme="majorEastAsia"/>
          <w:sz w:val="21"/>
          <w:szCs w:val="21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具体输出</w:t>
      </w:r>
    </w:p>
    <w:p>
      <w:pPr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在程序运行完毕之后，查重信息会在“查重结果”表格中输出。在这里以常用的4.自定义查重做具体输出示例。</w:t>
      </w:r>
    </w:p>
    <w:p>
      <w:pPr>
        <w:numPr>
          <w:numId w:val="0"/>
        </w:numPr>
        <w:jc w:val="left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269230" cy="1482725"/>
            <wp:effectExtent l="0" t="0" r="7620" b="317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其中包含了辨识号、OE、重复OE、重复SKU、是否开发等等信息，最后三列包含了已开发的具体SKU和OE信息。</w:t>
      </w:r>
    </w:p>
    <w:p>
      <w:pPr>
        <w:numPr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由于工具中“查重结果”表格会覆盖上一次的查重数据，如需保存本次查重信息，可以将“查重结果”另存到新的路径中，避免重复操作。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spacing w:line="240" w:lineRule="auto"/>
        <w:ind w:left="567" w:leftChars="0" w:hanging="567" w:firstLineChars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12" w:name="_Toc14421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Order Template查重</w:t>
      </w:r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工厂所提供的OE会存在遗漏或者有误情况，因此，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在做OT时，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会进行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产品OE号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的补充。新品目录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查重，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只能排除大部分重复的概率，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可能会漏掉某些OE。所以在完成OT后需要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进行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二次查重，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减少重复的概率。</w:t>
      </w:r>
    </w:p>
    <w:p>
      <w:pPr>
        <w:pStyle w:val="4"/>
        <w:widowControl/>
        <w:numPr>
          <w:ilvl w:val="2"/>
          <w:numId w:val="1"/>
        </w:numPr>
        <w:bidi w:val="0"/>
        <w:ind w:left="709" w:leftChars="0" w:hanging="709" w:firstLineChars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13" w:name="_Toc11470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Excel查重</w:t>
      </w:r>
      <w:bookmarkEnd w:id="13"/>
    </w:p>
    <w:p>
      <w:pPr>
        <w:pStyle w:val="5"/>
        <w:numPr>
          <w:ilvl w:val="3"/>
          <w:numId w:val="1"/>
        </w:numPr>
        <w:bidi w:val="0"/>
        <w:spacing w:line="240" w:lineRule="auto"/>
        <w:ind w:left="850" w:leftChars="0" w:hanging="85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操作步骤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新建EXCEL文档，命名为：【Order Template】-工厂品名-年月日-已查重。根据Order Template文件：【Order Template】-工厂品名-年月日，提取工厂号、Ref No.#，如下图所示。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lang w:eastAsia="zh-CN"/>
        </w:rPr>
        <w:drawing>
          <wp:inline distT="0" distB="0" distL="114300" distR="114300">
            <wp:extent cx="5261610" cy="2130425"/>
            <wp:effectExtent l="0" t="0" r="152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根据2.2.1.2.1.2.目录OE规范步骤，将Order Template数据进行处理，得到如下图格式数据。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lang w:eastAsia="zh-CN"/>
        </w:rPr>
        <w:drawing>
          <wp:inline distT="0" distB="0" distL="114300" distR="114300">
            <wp:extent cx="5267960" cy="1414780"/>
            <wp:effectExtent l="0" t="0" r="8890" b="139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进行2.2.1.2.3.整合数据</w:t>
      </w:r>
    </w:p>
    <w:p>
      <w:pPr>
        <w:pStyle w:val="4"/>
        <w:widowControl/>
        <w:numPr>
          <w:ilvl w:val="2"/>
          <w:numId w:val="1"/>
        </w:numPr>
        <w:bidi w:val="0"/>
        <w:ind w:left="709" w:leftChars="0" w:hanging="709" w:firstLineChars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14" w:name="_Toc28169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Python查重</w:t>
      </w:r>
      <w:bookmarkEnd w:id="14"/>
    </w:p>
    <w:p>
      <w:pPr>
        <w:pStyle w:val="5"/>
        <w:numPr>
          <w:ilvl w:val="3"/>
          <w:numId w:val="1"/>
        </w:numPr>
        <w:bidi w:val="0"/>
        <w:spacing w:line="240" w:lineRule="auto"/>
        <w:ind w:left="850" w:leftChars="0" w:hanging="850" w:firstLineChars="0"/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1"/>
          <w:szCs w:val="21"/>
          <w:lang w:val="en-US" w:eastAsia="zh-CN"/>
        </w:rPr>
        <w:t>操作步骤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根据Order Template文件：【Order Template】-工厂品名-年月日，参照2.2.3.2.2.新建输出文件夹、2.2.3.2.3.上传程序、2.2.3.2.4.更改路径、2.2.3.2.5.注意事项四个步骤，进行相对应的修改调整</w:t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bookmarkStart w:id="15" w:name="_Toc7506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《已查重》文档规范</w:t>
      </w:r>
      <w:bookmarkEnd w:id="1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根据查重结果需要以规范形式输出《已查重》文档，供新品开发以及Order Template流程的数据确认。文档的规范主要包含内容规范与格式规范。</w:t>
      </w:r>
    </w:p>
    <w:p>
      <w:pPr>
        <w:pStyle w:val="3"/>
        <w:numPr>
          <w:ilvl w:val="1"/>
          <w:numId w:val="1"/>
        </w:numPr>
        <w:bidi w:val="0"/>
        <w:spacing w:line="240" w:lineRule="auto"/>
        <w:ind w:left="567" w:leftChars="0" w:hanging="567" w:firstLineChars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16" w:name="_Toc2487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已查重文档内容规范</w:t>
      </w:r>
      <w:bookmarkEnd w:id="1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已查重文档一般需包含以下信息：NO（即序号）、工厂、工厂号、完整OE、是否采购、重复OE、备注。具体内容规范如下：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3780"/>
        <w:gridCol w:w="19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内容</w:t>
            </w:r>
          </w:p>
        </w:tc>
        <w:tc>
          <w:tcPr>
            <w:tcW w:w="3780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规范要求</w:t>
            </w:r>
          </w:p>
        </w:tc>
        <w:tc>
          <w:tcPr>
            <w:tcW w:w="1902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NO（即序号）</w:t>
            </w:r>
          </w:p>
        </w:tc>
        <w:tc>
          <w:tcPr>
            <w:tcW w:w="378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标题、内容居中</w:t>
            </w:r>
          </w:p>
        </w:tc>
        <w:tc>
          <w:tcPr>
            <w:tcW w:w="190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工厂</w:t>
            </w:r>
          </w:p>
        </w:tc>
        <w:tc>
          <w:tcPr>
            <w:tcW w:w="378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标题、内容居中</w:t>
            </w:r>
          </w:p>
        </w:tc>
        <w:tc>
          <w:tcPr>
            <w:tcW w:w="190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工厂号</w:t>
            </w:r>
          </w:p>
        </w:tc>
        <w:tc>
          <w:tcPr>
            <w:tcW w:w="378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标题、内容居中</w:t>
            </w:r>
          </w:p>
        </w:tc>
        <w:tc>
          <w:tcPr>
            <w:tcW w:w="190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完整OE</w:t>
            </w:r>
          </w:p>
        </w:tc>
        <w:tc>
          <w:tcPr>
            <w:tcW w:w="378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标题居中、内容左对齐</w:t>
            </w:r>
          </w:p>
        </w:tc>
        <w:tc>
          <w:tcPr>
            <w:tcW w:w="190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是否采购</w:t>
            </w:r>
          </w:p>
        </w:tc>
        <w:tc>
          <w:tcPr>
            <w:tcW w:w="378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标题、内容居中</w:t>
            </w:r>
          </w:p>
        </w:tc>
        <w:tc>
          <w:tcPr>
            <w:tcW w:w="190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是/否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重复OE</w:t>
            </w:r>
          </w:p>
        </w:tc>
        <w:tc>
          <w:tcPr>
            <w:tcW w:w="378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标题居中、内容左对齐</w:t>
            </w:r>
          </w:p>
        </w:tc>
        <w:tc>
          <w:tcPr>
            <w:tcW w:w="190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可选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备注</w:t>
            </w:r>
          </w:p>
        </w:tc>
        <w:tc>
          <w:tcPr>
            <w:tcW w:w="378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标题居中、内容左对齐</w:t>
            </w:r>
          </w:p>
        </w:tc>
        <w:tc>
          <w:tcPr>
            <w:tcW w:w="1902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2" w:leftChars="0" w:hanging="422" w:hangingChars="200"/>
        <w:textAlignment w:val="auto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bookmarkStart w:id="17" w:name="_Toc7226"/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已查重文档格式规范</w:t>
      </w:r>
      <w:bookmarkEnd w:id="1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已查重文档格式规范包括所用字体，行高、文档命名等要求，具体如下：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3"/>
        <w:gridCol w:w="3225"/>
        <w:gridCol w:w="31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3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内容</w:t>
            </w:r>
          </w:p>
        </w:tc>
        <w:tc>
          <w:tcPr>
            <w:tcW w:w="3225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规范要求</w:t>
            </w:r>
          </w:p>
        </w:tc>
        <w:tc>
          <w:tcPr>
            <w:tcW w:w="3144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例子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3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字体</w:t>
            </w:r>
          </w:p>
        </w:tc>
        <w:tc>
          <w:tcPr>
            <w:tcW w:w="3225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1.首行：</w:t>
            </w: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微软雅黑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，10号加粗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2.其他行：</w:t>
            </w: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微软雅黑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，9号</w:t>
            </w:r>
          </w:p>
        </w:tc>
        <w:tc>
          <w:tcPr>
            <w:tcW w:w="314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3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字体颜色</w:t>
            </w:r>
          </w:p>
        </w:tc>
        <w:tc>
          <w:tcPr>
            <w:tcW w:w="3225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1.首行：白色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2.其他行：黑色</w:t>
            </w:r>
          </w:p>
        </w:tc>
        <w:tc>
          <w:tcPr>
            <w:tcW w:w="314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3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单元格颜色填充</w:t>
            </w:r>
          </w:p>
        </w:tc>
        <w:tc>
          <w:tcPr>
            <w:tcW w:w="3225" w:type="dxa"/>
          </w:tcPr>
          <w:p>
            <w:pPr>
              <w:numPr>
                <w:ilvl w:val="0"/>
                <w:numId w:val="14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首行：红色填充</w:t>
            </w:r>
          </w:p>
          <w:p>
            <w:pPr>
              <w:numPr>
                <w:ilvl w:val="0"/>
                <w:numId w:val="14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其他行：无填充色</w:t>
            </w:r>
          </w:p>
        </w:tc>
        <w:tc>
          <w:tcPr>
            <w:tcW w:w="314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3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行高</w:t>
            </w:r>
          </w:p>
        </w:tc>
        <w:tc>
          <w:tcPr>
            <w:tcW w:w="3225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1.首行：20磅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2.其他行：16.</w:t>
            </w: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8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磅</w:t>
            </w:r>
          </w:p>
        </w:tc>
        <w:tc>
          <w:tcPr>
            <w:tcW w:w="314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3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边框</w:t>
            </w:r>
          </w:p>
        </w:tc>
        <w:tc>
          <w:tcPr>
            <w:tcW w:w="3225" w:type="dxa"/>
          </w:tcPr>
          <w:p>
            <w:pPr>
              <w:numPr>
                <w:ilvl w:val="0"/>
                <w:numId w:val="15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外边框加粗</w:t>
            </w:r>
          </w:p>
          <w:p>
            <w:pPr>
              <w:numPr>
                <w:ilvl w:val="0"/>
                <w:numId w:val="15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添加内边框</w:t>
            </w:r>
          </w:p>
        </w:tc>
        <w:tc>
          <w:tcPr>
            <w:tcW w:w="314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3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网格线</w:t>
            </w:r>
          </w:p>
        </w:tc>
        <w:tc>
          <w:tcPr>
            <w:tcW w:w="3225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网格线-不显示</w:t>
            </w:r>
          </w:p>
        </w:tc>
        <w:tc>
          <w:tcPr>
            <w:tcW w:w="314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3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文档命名</w:t>
            </w:r>
          </w:p>
        </w:tc>
        <w:tc>
          <w:tcPr>
            <w:tcW w:w="3225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【新品目录】-已查重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【Order Template】-工厂品名-年月日-已查重</w:t>
            </w:r>
          </w:p>
        </w:tc>
        <w:tc>
          <w:tcPr>
            <w:tcW w:w="314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【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Order Template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】-福州扬腾撑杆-20220501-已查重</w:t>
            </w:r>
          </w:p>
        </w:tc>
      </w:tr>
    </w:tbl>
    <w:p>
      <w:pPr>
        <w:numPr>
          <w:ilvl w:val="0"/>
          <w:numId w:val="0"/>
        </w:numPr>
        <w:bidi w:val="0"/>
        <w:ind w:leftChars="0" w:firstLine="42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</w:p>
    <w:sectPr>
      <w:footerReference r:id="rId6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KVIPQyAgAAYQQAAA4AAABkcnMvZTJvRG9jLnhtbK1UzY7TMBC+I/EO&#10;lu80aRGrbt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ApUg9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auto" w:sz="4" w:space="1"/>
      </w:pBdr>
      <w:jc w:val="right"/>
      <w:rPr>
        <w:rFonts w:hint="default" w:asciiTheme="minorEastAsia" w:hAnsiTheme="minorEastAsia" w:eastAsiaTheme="minorEastAsia" w:cstheme="minorEastAsia"/>
        <w:b/>
        <w:bCs/>
        <w:sz w:val="28"/>
        <w:szCs w:val="28"/>
        <w:lang w:val="en-US" w:eastAsia="zh-CN"/>
      </w:rPr>
    </w:pPr>
    <w:r>
      <w:rPr>
        <w:sz w:val="18"/>
      </w:rPr>
      <w:pict>
        <v:shape id="PowerPlusWaterMarkObject71292" o:spid="_x0000_s2049" o:spt="136" type="#_x0000_t136" style="position:absolute;left:0pt;height:50.1pt;width:537.15pt;mso-position-horizontal:center;mso-position-horizontal-relative:margin;mso-position-vertical:center;mso-position-vertical-relative:margin;rotation:-2949120f;z-index:-251656192;mso-width-relative:page;mso-height-relative:page;" fillcolor="#C0C0C0" filled="t" stroked="f" coordsize="21600,21600" adj="10800">
          <v:path/>
          <v:fill on="t" opacity="16384f" focussize="0,0"/>
          <v:stroke on="f"/>
          <v:imagedata o:title=""/>
          <o:lock v:ext="edit" aspectratio="t"/>
          <v:textpath on="t" fitshape="t" fitpath="t" trim="t" xscale="f" string="福建扬腾创新信息科技有限公司" style="font-family:微软雅黑;font-size:36pt;v-same-letter-heights:f;v-text-align:center;"/>
        </v:shape>
      </w:pict>
    </w:r>
    <w:r>
      <w:rPr>
        <w:rFonts w:hint="eastAsia" w:asciiTheme="minorEastAsia" w:hAnsiTheme="minorEastAsia" w:cstheme="minorEastAsia"/>
        <w:b/>
        <w:bCs/>
        <w:sz w:val="28"/>
        <w:szCs w:val="28"/>
        <w:lang w:val="en-US" w:eastAsia="zh-CN"/>
      </w:rPr>
      <w:t xml:space="preserve">        查重</w:t>
    </w:r>
    <w:r>
      <w:rPr>
        <w:rFonts w:hint="eastAsia" w:asciiTheme="minorEastAsia" w:hAnsiTheme="minorEastAsia" w:eastAsiaTheme="minorEastAsia" w:cstheme="minorEastAsia"/>
        <w:b/>
        <w:bCs/>
        <w:sz w:val="28"/>
        <w:szCs w:val="28"/>
        <w:lang w:val="en-US" w:eastAsia="zh-CN"/>
      </w:rPr>
      <w:t>标准作业</w:t>
    </w:r>
    <w:r>
      <w:rPr>
        <w:rFonts w:hint="eastAsia" w:asciiTheme="minorEastAsia" w:hAnsiTheme="minorEastAsia" w:cstheme="minorEastAsia"/>
        <w:b/>
        <w:bCs/>
        <w:sz w:val="28"/>
        <w:szCs w:val="28"/>
        <w:lang w:val="en-US" w:eastAsia="zh-CN"/>
      </w:rPr>
      <w:t xml:space="preserve">程序         </w:t>
    </w:r>
    <w:r>
      <w:rPr>
        <w:rFonts w:hint="default" w:asciiTheme="minorEastAsia" w:hAnsiTheme="minorEastAsia" w:eastAsiaTheme="minorEastAsia" w:cstheme="minorEastAsia"/>
        <w:b/>
        <w:bCs/>
        <w:sz w:val="28"/>
        <w:szCs w:val="28"/>
        <w:lang w:val="en-US" w:eastAsia="zh-CN"/>
      </w:rPr>
      <w:drawing>
        <wp:inline distT="0" distB="0" distL="114300" distR="114300">
          <wp:extent cx="1252855" cy="145415"/>
          <wp:effectExtent l="0" t="0" r="4445" b="6985"/>
          <wp:docPr id="14" name="图片 14" descr="logo（彩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logo（彩）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2855" cy="1454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61A78E"/>
    <w:multiLevelType w:val="singleLevel"/>
    <w:tmpl w:val="8E61A78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A3E41092"/>
    <w:multiLevelType w:val="singleLevel"/>
    <w:tmpl w:val="A3E4109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B638C397"/>
    <w:multiLevelType w:val="singleLevel"/>
    <w:tmpl w:val="B638C397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3">
    <w:nsid w:val="B9C080DD"/>
    <w:multiLevelType w:val="singleLevel"/>
    <w:tmpl w:val="B9C080D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C77C0F98"/>
    <w:multiLevelType w:val="singleLevel"/>
    <w:tmpl w:val="C77C0F9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E9AF9DC5"/>
    <w:multiLevelType w:val="singleLevel"/>
    <w:tmpl w:val="E9AF9DC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EC991AF9"/>
    <w:multiLevelType w:val="multilevel"/>
    <w:tmpl w:val="EC991AF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FF39FEF5"/>
    <w:multiLevelType w:val="singleLevel"/>
    <w:tmpl w:val="FF39FEF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FFFAEACF"/>
    <w:multiLevelType w:val="singleLevel"/>
    <w:tmpl w:val="FFFAEAC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160833EC"/>
    <w:multiLevelType w:val="singleLevel"/>
    <w:tmpl w:val="160833E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26CC4073"/>
    <w:multiLevelType w:val="singleLevel"/>
    <w:tmpl w:val="26CC407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30C6E891"/>
    <w:multiLevelType w:val="multilevel"/>
    <w:tmpl w:val="30C6E89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2">
    <w:nsid w:val="3FD60E8F"/>
    <w:multiLevelType w:val="singleLevel"/>
    <w:tmpl w:val="3FD60E8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44EBB3BC"/>
    <w:multiLevelType w:val="singleLevel"/>
    <w:tmpl w:val="44EBB3BC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57DF80DE"/>
    <w:multiLevelType w:val="singleLevel"/>
    <w:tmpl w:val="57DF80D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1"/>
  </w:num>
  <w:num w:numId="2">
    <w:abstractNumId w:val="13"/>
  </w:num>
  <w:num w:numId="3">
    <w:abstractNumId w:val="0"/>
  </w:num>
  <w:num w:numId="4">
    <w:abstractNumId w:val="12"/>
  </w:num>
  <w:num w:numId="5">
    <w:abstractNumId w:val="5"/>
  </w:num>
  <w:num w:numId="6">
    <w:abstractNumId w:val="1"/>
  </w:num>
  <w:num w:numId="7">
    <w:abstractNumId w:val="14"/>
  </w:num>
  <w:num w:numId="8">
    <w:abstractNumId w:val="3"/>
  </w:num>
  <w:num w:numId="9">
    <w:abstractNumId w:val="7"/>
  </w:num>
  <w:num w:numId="10">
    <w:abstractNumId w:val="8"/>
  </w:num>
  <w:num w:numId="11">
    <w:abstractNumId w:val="6"/>
  </w:num>
  <w:num w:numId="12">
    <w:abstractNumId w:val="9"/>
  </w:num>
  <w:num w:numId="13">
    <w:abstractNumId w:val="2"/>
  </w:num>
  <w:num w:numId="14">
    <w:abstractNumId w:val="1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NiOTFkNjBmNWFmMTRmNjcwNjNkZjdjZDZiYmRkYTkifQ=="/>
    <w:docVar w:name="KSO_WPS_MARK_KEY" w:val="77ab64d2-b807-4c6a-88fb-b23060ad247b"/>
  </w:docVars>
  <w:rsids>
    <w:rsidRoot w:val="372D2FAE"/>
    <w:rsid w:val="05180DCE"/>
    <w:rsid w:val="05604B9B"/>
    <w:rsid w:val="07BE26A3"/>
    <w:rsid w:val="0AA01CBB"/>
    <w:rsid w:val="0EA10E66"/>
    <w:rsid w:val="0EB7647A"/>
    <w:rsid w:val="0FD53800"/>
    <w:rsid w:val="11452630"/>
    <w:rsid w:val="141F6347"/>
    <w:rsid w:val="148A1DB1"/>
    <w:rsid w:val="14F72FBC"/>
    <w:rsid w:val="20F93349"/>
    <w:rsid w:val="20FF0EAB"/>
    <w:rsid w:val="214954B9"/>
    <w:rsid w:val="220B7FD5"/>
    <w:rsid w:val="233C2BB1"/>
    <w:rsid w:val="25673D5B"/>
    <w:rsid w:val="27997CC5"/>
    <w:rsid w:val="28077E06"/>
    <w:rsid w:val="28C3509B"/>
    <w:rsid w:val="2C355CED"/>
    <w:rsid w:val="2FB9D8AA"/>
    <w:rsid w:val="2FDDC0B9"/>
    <w:rsid w:val="30584186"/>
    <w:rsid w:val="30D526A6"/>
    <w:rsid w:val="32CE688B"/>
    <w:rsid w:val="32DA53BE"/>
    <w:rsid w:val="372D2FAE"/>
    <w:rsid w:val="3DFDA89A"/>
    <w:rsid w:val="428209BB"/>
    <w:rsid w:val="435FB6FF"/>
    <w:rsid w:val="44A127CF"/>
    <w:rsid w:val="46024ED6"/>
    <w:rsid w:val="46491864"/>
    <w:rsid w:val="485E77DD"/>
    <w:rsid w:val="4B42202A"/>
    <w:rsid w:val="4BC60D0F"/>
    <w:rsid w:val="4C7E2F03"/>
    <w:rsid w:val="4DB84690"/>
    <w:rsid w:val="4EF57FBE"/>
    <w:rsid w:val="502C39B1"/>
    <w:rsid w:val="553C1B33"/>
    <w:rsid w:val="554D0C16"/>
    <w:rsid w:val="57AD5B5D"/>
    <w:rsid w:val="57D22053"/>
    <w:rsid w:val="57F75AC6"/>
    <w:rsid w:val="57FD852F"/>
    <w:rsid w:val="5ADDE2B3"/>
    <w:rsid w:val="5DB270C7"/>
    <w:rsid w:val="5DF31074"/>
    <w:rsid w:val="5E2D4D32"/>
    <w:rsid w:val="5EDFB949"/>
    <w:rsid w:val="5F033238"/>
    <w:rsid w:val="5FDFB015"/>
    <w:rsid w:val="62AC2EF3"/>
    <w:rsid w:val="67A1796C"/>
    <w:rsid w:val="681F5DA8"/>
    <w:rsid w:val="6B07ED60"/>
    <w:rsid w:val="6B6BDFD0"/>
    <w:rsid w:val="6BBD8430"/>
    <w:rsid w:val="6BBF7B5F"/>
    <w:rsid w:val="6C1D3613"/>
    <w:rsid w:val="6D5B2AF4"/>
    <w:rsid w:val="6FB77691"/>
    <w:rsid w:val="6FDF066A"/>
    <w:rsid w:val="6FE55491"/>
    <w:rsid w:val="6FE732BB"/>
    <w:rsid w:val="74E6271C"/>
    <w:rsid w:val="75E20AB9"/>
    <w:rsid w:val="7679EEA5"/>
    <w:rsid w:val="76F70661"/>
    <w:rsid w:val="775D5404"/>
    <w:rsid w:val="777B97AF"/>
    <w:rsid w:val="78F94FE3"/>
    <w:rsid w:val="7AE50448"/>
    <w:rsid w:val="7AFB3249"/>
    <w:rsid w:val="7B3BC1FA"/>
    <w:rsid w:val="7BEAF6D8"/>
    <w:rsid w:val="7BFE08D3"/>
    <w:rsid w:val="7BFF91AB"/>
    <w:rsid w:val="7CFF749A"/>
    <w:rsid w:val="7D6F861C"/>
    <w:rsid w:val="7DEE15DA"/>
    <w:rsid w:val="7EB7DA2F"/>
    <w:rsid w:val="7EBF4E6A"/>
    <w:rsid w:val="7F01339C"/>
    <w:rsid w:val="7F271055"/>
    <w:rsid w:val="7F7D66F9"/>
    <w:rsid w:val="7F7F01B2"/>
    <w:rsid w:val="7FEBF65D"/>
    <w:rsid w:val="7FF766B8"/>
    <w:rsid w:val="7FFB8C1C"/>
    <w:rsid w:val="7FFEF04B"/>
    <w:rsid w:val="7FFF71A1"/>
    <w:rsid w:val="97EF23E5"/>
    <w:rsid w:val="A6EFFAAC"/>
    <w:rsid w:val="A6FFBDF7"/>
    <w:rsid w:val="ABD1C7FD"/>
    <w:rsid w:val="ADFF258E"/>
    <w:rsid w:val="AFEED9F6"/>
    <w:rsid w:val="B1FA6FF4"/>
    <w:rsid w:val="B5F91061"/>
    <w:rsid w:val="BBDCD2A1"/>
    <w:rsid w:val="BBF3FAF5"/>
    <w:rsid w:val="BF9F9FE2"/>
    <w:rsid w:val="BFB703B3"/>
    <w:rsid w:val="BFBD6C71"/>
    <w:rsid w:val="BFBF8AD1"/>
    <w:rsid w:val="BFDF127D"/>
    <w:rsid w:val="BFE91BB0"/>
    <w:rsid w:val="CD3F4B9B"/>
    <w:rsid w:val="D97F0DB9"/>
    <w:rsid w:val="DF372EE7"/>
    <w:rsid w:val="DF3DA3F9"/>
    <w:rsid w:val="DF7CE383"/>
    <w:rsid w:val="DFAB173A"/>
    <w:rsid w:val="DFBF5859"/>
    <w:rsid w:val="DFFF5A5E"/>
    <w:rsid w:val="E5FF4E95"/>
    <w:rsid w:val="E75F43AC"/>
    <w:rsid w:val="E9FEDDFC"/>
    <w:rsid w:val="ED567D0D"/>
    <w:rsid w:val="EF9CEB83"/>
    <w:rsid w:val="F32FE8B9"/>
    <w:rsid w:val="F3FC1DEC"/>
    <w:rsid w:val="F7FFE4A7"/>
    <w:rsid w:val="F96611B2"/>
    <w:rsid w:val="F9EECA42"/>
    <w:rsid w:val="FBBFD718"/>
    <w:rsid w:val="FBFEFC2B"/>
    <w:rsid w:val="FBFF395F"/>
    <w:rsid w:val="FCCA3BA5"/>
    <w:rsid w:val="FDE89A8A"/>
    <w:rsid w:val="FDF72B29"/>
    <w:rsid w:val="FDFBB603"/>
    <w:rsid w:val="FE398FF6"/>
    <w:rsid w:val="FE7D2540"/>
    <w:rsid w:val="FEE3E5EB"/>
    <w:rsid w:val="FEFF1F16"/>
    <w:rsid w:val="FF799FDF"/>
    <w:rsid w:val="FF9DCC67"/>
    <w:rsid w:val="FFCE35E0"/>
    <w:rsid w:val="FFDD95B6"/>
    <w:rsid w:val="FFDE77BF"/>
    <w:rsid w:val="FFDECFFE"/>
    <w:rsid w:val="FFEF9F71"/>
    <w:rsid w:val="FFFC6B82"/>
    <w:rsid w:val="FFFF6274"/>
    <w:rsid w:val="FFFF8DCE"/>
    <w:rsid w:val="FFFF9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9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annotation text"/>
    <w:basedOn w:val="1"/>
    <w:qFormat/>
    <w:uiPriority w:val="0"/>
    <w:pPr>
      <w:jc w:val="left"/>
    </w:pPr>
  </w:style>
  <w:style w:type="paragraph" w:styleId="10">
    <w:name w:val="toc 3"/>
    <w:basedOn w:val="1"/>
    <w:next w:val="1"/>
    <w:uiPriority w:val="0"/>
    <w:pPr>
      <w:ind w:left="840" w:leftChars="400"/>
    </w:pPr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3">
    <w:name w:val="toc 1"/>
    <w:basedOn w:val="1"/>
    <w:next w:val="1"/>
    <w:uiPriority w:val="0"/>
  </w:style>
  <w:style w:type="paragraph" w:styleId="14">
    <w:name w:val="Subtitle"/>
    <w:basedOn w:val="1"/>
    <w:next w:val="1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15">
    <w:name w:val="toc 2"/>
    <w:basedOn w:val="1"/>
    <w:next w:val="1"/>
    <w:uiPriority w:val="0"/>
    <w:pPr>
      <w:ind w:left="420" w:leftChars="200"/>
    </w:pPr>
  </w:style>
  <w:style w:type="paragraph" w:styleId="16">
    <w:name w:val="Normal (Web)"/>
    <w:basedOn w:val="1"/>
    <w:qFormat/>
    <w:uiPriority w:val="0"/>
    <w:rPr>
      <w:sz w:val="24"/>
    </w:rPr>
  </w:style>
  <w:style w:type="table" w:styleId="18">
    <w:name w:val="Table Grid"/>
    <w:basedOn w:val="1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49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19</Pages>
  <Words>4268</Words>
  <Characters>5110</Characters>
  <Lines>1</Lines>
  <Paragraphs>1</Paragraphs>
  <TotalTime>8</TotalTime>
  <ScaleCrop>false</ScaleCrop>
  <LinksUpToDate>false</LinksUpToDate>
  <CharactersWithSpaces>5241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2022-05-25T09:52:00Z</dcterms:created>
  <dc:creator>米昂</dc:creator>
  <cp:lastModifiedBy>wo</cp:lastModifiedBy>
  <dcterms:modified xsi:type="dcterms:W3CDTF">2024-10-22T08:47:36Z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B22FE7145CD1446F902D338BADC28A41</vt:lpwstr>
  </property>
</Properties>
</file>