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Table </w:t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fldChar w:fldCharType="begin" w:dirty="true"/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instrText xml:space="preserve" w:dirty="true">SEQ tab \* Arabic</w:instrText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fldChar w:fldCharType="end" w:dirty="true"/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:</w:t>
      </w:r>
      <w:r>
        <w:t xml:space="preserve">Descriptive statistics of policy support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 college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Loan forgiveness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Universal healthcare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identity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 college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Loan forgiveness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Universal healthcare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identity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trHeight w:val="360" w:hRule="auto"/>
        </w:trPr>
        footer 2
        <w:tc>
          <w:tcPr>
            <w:gridSpan w:val="11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dependent variables.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damoncroberts</cp:lastModifiedBy>
  <cp:revision>9</cp:revision>
  <dcterms:created xsi:type="dcterms:W3CDTF">2017-02-28T11:18:00Z</dcterms:created>
  <dcterms:modified xsi:type="dcterms:W3CDTF">2023-02-14T13:11:56Z</dcterms:modified>
  <cp:category/>
</cp:coreProperties>
</file>