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 w:after="1200"/>
      </w:pPr>
      <w:r>
        <w:t xml:space="preserve"/>
      </w:r>
    </w:p>
    <w:p>
      <w:pPr>
        <w:spacing w:before="0" w:after="60"/>
      </w:pPr>
      <w:r>
        <w:rPr>
          <w:rFonts w:ascii="Calibri" w:cs="Calibri" w:eastAsia="Calibri" w:hAnsi="Calibri"/>
          <w:color w:val="9CA3AF"/>
          <w:sz w:val="20"/>
          <w:szCs w:val="20"/>
        </w:rPr>
        <w:t xml:space="preserve">Université Paris Dauphine  ·  M1 MA  ·  Statistical Learning</w:t>
      </w:r>
    </w:p>
    <w:p>
      <w:pPr>
        <w:pBdr>
          <w:bottom w:val="single" w:color="9CA3AF" w:sz="6" w:space="8"/>
        </w:pBdr>
        <w:spacing w:before="0" w:after="40"/>
      </w:pPr>
      <w:r>
        <w:rPr>
          <w:rFonts w:ascii="Calibri" w:cs="Calibri" w:eastAsia="Calibri" w:hAnsi="Calibri"/>
          <w:b/>
          <w:bCs/>
          <w:color w:val="1A1A2E"/>
          <w:sz w:val="56"/>
          <w:szCs w:val="56"/>
        </w:rPr>
        <w:t xml:space="preserve">Thyroid Cancer Recurrence</w:t>
      </w:r>
    </w:p>
    <w:p>
      <w:pPr>
        <w:spacing w:before="20" w:after="20"/>
      </w:pPr>
      <w:r>
        <w:t xml:space="preserve"/>
      </w:r>
    </w:p>
    <w:p>
      <w:pPr>
        <w:spacing w:before="0" w:after="0"/>
      </w:pPr>
      <w:r>
        <w:rPr>
          <w:rFonts w:ascii="Calibri" w:cs="Calibri" w:eastAsia="Calibri" w:hAnsi="Calibri"/>
          <w:i/>
          <w:iCs/>
          <w:color w:val="374151"/>
          <w:sz w:val="28"/>
          <w:szCs w:val="28"/>
        </w:rPr>
        <w:t xml:space="preserve">Classification supervisée  —  Prédiction de récidive</w:t>
      </w:r>
    </w:p>
    <w:p>
      <w:pPr>
        <w:spacing w:before="600" w:after="60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tblHeader/>
        </w:trPr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37415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 </w:t>
            </w:r>
          </w:p>
        </w:tc>
        <w:tc>
          <w:tcPr>
            <w:tcW w:type="dxa" w:w="7438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37415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11827"/>
                <w:sz w:val="22"/>
                <w:szCs w:val="22"/>
              </w:rPr>
              <w:t xml:space="preserve">Auteurs</w:t>
            </w:r>
          </w:p>
        </w:tc>
        <w:tc>
          <w:tcPr>
            <w:tcW w:type="dxa" w:w="7438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2"/>
                <w:szCs w:val="22"/>
              </w:rPr>
              <w:t xml:space="preserve">Chayla Alois  ·  Demarthe Bastien  ·  Deschildre Matéo  ·  Gasnier Alexandre  ·  Roy Damien</w:t>
            </w:r>
          </w:p>
        </w:tc>
      </w:tr>
      <w:tr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11827"/>
                <w:sz w:val="22"/>
                <w:szCs w:val="22"/>
              </w:rPr>
              <w:t xml:space="preserve">Date de rendu</w:t>
            </w:r>
          </w:p>
        </w:tc>
        <w:tc>
          <w:tcPr>
            <w:tcW w:type="dxa" w:w="7438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2"/>
                <w:szCs w:val="22"/>
              </w:rPr>
              <w:t xml:space="preserve">15 mai 2026</w:t>
            </w:r>
          </w:p>
        </w:tc>
      </w:tr>
      <w:tr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11827"/>
                <w:sz w:val="22"/>
                <w:szCs w:val="22"/>
              </w:rPr>
              <w:t xml:space="preserve">Dataset</w:t>
            </w:r>
          </w:p>
        </w:tc>
        <w:tc>
          <w:tcPr>
            <w:tcW w:type="dxa" w:w="7438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2"/>
                <w:szCs w:val="22"/>
              </w:rPr>
              <w:t xml:space="preserve">Thyroid_Diff.csv  —  383 patients, 16 variables</w:t>
            </w:r>
          </w:p>
        </w:tc>
      </w:tr>
      <w:tr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11827"/>
                <w:sz w:val="22"/>
                <w:szCs w:val="22"/>
              </w:rPr>
              <w:t xml:space="preserve">Méthodes</w:t>
            </w:r>
          </w:p>
        </w:tc>
        <w:tc>
          <w:tcPr>
            <w:tcW w:type="dxa" w:w="7438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2"/>
                <w:szCs w:val="22"/>
              </w:rPr>
              <w:t xml:space="preserve">Lasso (L1)  ·  Random Forest  ·  SVM RBF  ·  KNN</w:t>
            </w:r>
          </w:p>
        </w:tc>
      </w:tr>
      <w:tr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11827"/>
                <w:sz w:val="22"/>
                <w:szCs w:val="22"/>
              </w:rPr>
              <w:t xml:space="preserve">Critères</w:t>
            </w:r>
          </w:p>
        </w:tc>
        <w:tc>
          <w:tcPr>
            <w:tcW w:type="dxa" w:w="7438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2"/>
                <w:szCs w:val="22"/>
              </w:rPr>
              <w:t xml:space="preserve">AUC-ROC  ·  Sensibilité  ·  F1-score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9CA3AF" w:sz="6" w:space="6"/>
        </w:pBdr>
        <w:spacing w:before="360" w:after="12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1. Introduction</w:t>
      </w:r>
    </w:p>
    <w:p>
      <w:pPr>
        <w:pStyle w:val="Heading2"/>
        <w:spacing w:before="240" w:after="80"/>
      </w:pPr>
      <w:r>
        <w:rPr>
          <w:rFonts w:ascii="Calibri" w:cs="Calibri" w:eastAsia="Calibri" w:hAnsi="Calibri"/>
          <w:b/>
          <w:bCs/>
          <w:color w:val="374151"/>
          <w:sz w:val="24"/>
          <w:szCs w:val="24"/>
        </w:rPr>
        <w:t xml:space="preserve">1.1 Contexte médical</w:t>
      </w:r>
    </w:p>
    <w:p>
      <w:pPr>
        <w:spacing w:before="60" w:after="60"/>
        <w:jc w:val="both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Le </w:t>
      </w: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cancer thyroïdien différencié (CTD)</w:t>
      </w:r>
      <w:r>
        <w:rPr>
          <w:rFonts w:ascii="Calibri" w:cs="Calibri" w:eastAsia="Calibri" w:hAnsi="Calibri"/>
          <w:color w:val="111827"/>
          <w:sz w:val="22"/>
          <w:szCs w:val="22"/>
        </w:rPr>
        <w:t xml:space="preserve"> regroupe les carcinomes papillaires et folliculaires de la thyroïde. Représentant environ 90 % des cancers thyroïdiens, il présente en général un bon pronostic après traitement chirurgical (thyroïdectomie) et radioiode. Cependant, </w:t>
      </w: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20 à 30 % des patients connaissent une récidive</w:t>
      </w:r>
      <w:r>
        <w:rPr>
          <w:rFonts w:ascii="Calibri" w:cs="Calibri" w:eastAsia="Calibri" w:hAnsi="Calibri"/>
          <w:color w:val="111827"/>
          <w:sz w:val="22"/>
          <w:szCs w:val="22"/>
        </w:rPr>
        <w:t xml:space="preserve"> dans les années suivant le traitement initial. Ce projet construit un modèle de classification capable de prédire, à partir des données cliniques, si un patient récidivera ou non.</w:t>
      </w:r>
    </w:p>
    <w:p>
      <w:pPr>
        <w:pStyle w:val="Heading2"/>
        <w:spacing w:before="240" w:after="80"/>
      </w:pPr>
      <w:r>
        <w:rPr>
          <w:rFonts w:ascii="Calibri" w:cs="Calibri" w:eastAsia="Calibri" w:hAnsi="Calibri"/>
          <w:b/>
          <w:bCs/>
          <w:color w:val="374151"/>
          <w:sz w:val="24"/>
          <w:szCs w:val="24"/>
        </w:rPr>
        <w:t xml:space="preserve">1.2 Problème d'apprentissage</w:t>
      </w:r>
    </w:p>
    <w:p>
      <w:pPr>
        <w:spacing w:before="60" w:after="60"/>
        <w:jc w:val="both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Classification supervisée binaire  —  Variable cible : </w:t>
      </w:r>
      <w:r>
        <w:rPr>
          <w:rFonts w:ascii="Courier New" w:cs="Courier New" w:eastAsia="Courier New" w:hAnsi="Courier New"/>
          <w:color w:val="4B5563"/>
          <w:sz w:val="20"/>
          <w:szCs w:val="20"/>
        </w:rPr>
        <w:t xml:space="preserve">Recurred</w:t>
      </w:r>
      <w:r>
        <w:rPr>
          <w:rFonts w:ascii="Calibri" w:cs="Calibri" w:eastAsia="Calibri" w:hAnsi="Calibri"/>
          <w:color w:val="111827"/>
          <w:sz w:val="22"/>
          <w:szCs w:val="22"/>
        </w:rPr>
        <w:t xml:space="preserve"> (Yes / No)  —  n = 383 patients, 16 covariables, aucune valeur manquante.</w:t>
      </w:r>
    </w:p>
    <w:p>
      <w:pPr>
        <w:spacing w:before="60" w:after="6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5138"/>
      </w:tblGrid>
      <w:tr>
        <w:trPr>
          <w:tblHeader/>
        </w:trPr>
        <w:tc>
          <w:tcPr>
            <w:tcW w:type="dxa" w:w="4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37415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Caractéristique</w:t>
            </w:r>
          </w:p>
        </w:tc>
        <w:tc>
          <w:tcPr>
            <w:tcW w:type="dxa" w:w="5138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37415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Valeur</w:t>
            </w:r>
          </w:p>
        </w:tc>
      </w:tr>
      <w:tr>
        <w:tc>
          <w:tcPr>
            <w:tcW w:type="dxa" w:w="4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Taille de l'échantillon</w:t>
            </w:r>
          </w:p>
        </w:tc>
        <w:tc>
          <w:tcPr>
            <w:tcW w:type="dxa" w:w="5138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383 patients</w:t>
            </w:r>
          </w:p>
        </w:tc>
      </w:tr>
      <w:tr>
        <w:tc>
          <w:tcPr>
            <w:tcW w:type="dxa" w:w="4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Classe No (pas de récidive)</w:t>
            </w:r>
          </w:p>
        </w:tc>
        <w:tc>
          <w:tcPr>
            <w:tcW w:type="dxa" w:w="5138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275 patients  (71,8 %)</w:t>
            </w:r>
          </w:p>
        </w:tc>
      </w:tr>
      <w:tr>
        <w:tc>
          <w:tcPr>
            <w:tcW w:type="dxa" w:w="4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Classe Yes (récidive)</w:t>
            </w:r>
          </w:p>
        </w:tc>
        <w:tc>
          <w:tcPr>
            <w:tcW w:type="dxa" w:w="5138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108 patients  (28,2 %)</w:t>
            </w:r>
          </w:p>
        </w:tc>
      </w:tr>
      <w:tr>
        <w:tc>
          <w:tcPr>
            <w:tcW w:type="dxa" w:w="4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Valeurs manquantes</w:t>
            </w:r>
          </w:p>
        </w:tc>
        <w:tc>
          <w:tcPr>
            <w:tcW w:type="dxa" w:w="5138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Aucune</w:t>
            </w:r>
          </w:p>
        </w:tc>
      </w:tr>
    </w:tbl>
    <w:p>
      <w:pPr>
        <w:spacing w:before="40" w:after="120"/>
        <w:jc w:val="center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Tableau 1 — Description du jeu de données</w:t>
      </w:r>
    </w:p>
    <w:p>
      <w:pPr>
        <w:pStyle w:val="Heading2"/>
        <w:spacing w:before="240" w:after="80"/>
      </w:pPr>
      <w:r>
        <w:rPr>
          <w:rFonts w:ascii="Calibri" w:cs="Calibri" w:eastAsia="Calibri" w:hAnsi="Calibri"/>
          <w:b/>
          <w:bCs/>
          <w:color w:val="374151"/>
          <w:sz w:val="24"/>
          <w:szCs w:val="24"/>
        </w:rPr>
        <w:t xml:space="preserve">1.3 Description des covariables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200"/>
        <w:gridCol w:w="3238"/>
      </w:tblGrid>
      <w:tr>
        <w:trPr>
          <w:tblHeader/>
        </w:trPr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37415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37415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Variables</w:t>
            </w:r>
          </w:p>
        </w:tc>
        <w:tc>
          <w:tcPr>
            <w:tcW w:type="dxa" w:w="3238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37415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Encodage</w:t>
            </w:r>
          </w:p>
        </w:tc>
      </w:tr>
      <w:tr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Numérique continue (1)</w:t>
            </w:r>
          </w:p>
        </w:tc>
        <w:tc>
          <w:tcPr>
            <w:tcW w:type="dxa" w:w="4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Age</w:t>
            </w:r>
          </w:p>
        </w:tc>
        <w:tc>
          <w:tcPr>
            <w:tcW w:type="dxa" w:w="3238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Continue — plage 15–82 ans, médiane 37</w:t>
            </w:r>
          </w:p>
        </w:tc>
      </w:tr>
      <w:tr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Catégorielle binaire (5)</w:t>
            </w:r>
          </w:p>
        </w:tc>
        <w:tc>
          <w:tcPr>
            <w:tcW w:type="dxa" w:w="4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Gender, Smoking, Hx Smoking, Hx Radiothreapy, Focality</w:t>
            </w:r>
          </w:p>
        </w:tc>
        <w:tc>
          <w:tcPr>
            <w:tcW w:type="dxa" w:w="3238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0/1 direct</w:t>
            </w:r>
          </w:p>
        </w:tc>
      </w:tr>
      <w:tr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Catégorielle ordinale (5)</w:t>
            </w:r>
          </w:p>
        </w:tc>
        <w:tc>
          <w:tcPr>
            <w:tcW w:type="dxa" w:w="4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Risk, T, N, M, Stage</w:t>
            </w:r>
          </w:p>
        </w:tc>
        <w:tc>
          <w:tcPr>
            <w:tcW w:type="dxa" w:w="3238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OrdinalEncoder (sévérité croissante)</w:t>
            </w:r>
          </w:p>
        </w:tc>
      </w:tr>
      <w:tr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Catégorielle nominale (5)</w:t>
            </w:r>
          </w:p>
        </w:tc>
        <w:tc>
          <w:tcPr>
            <w:tcW w:type="dxa" w:w="4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Thyroid Function, Physical Exam, Adenopathy, Pathology, Response</w:t>
            </w:r>
          </w:p>
        </w:tc>
        <w:tc>
          <w:tcPr>
            <w:tcW w:type="dxa" w:w="3238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One-Hot (drop_first=True)</w:t>
            </w:r>
          </w:p>
        </w:tc>
      </w:tr>
    </w:tbl>
    <w:p>
      <w:pPr>
        <w:spacing w:before="40" w:after="120"/>
        <w:jc w:val="center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Tableau 2 — Types de variables et méthodes d'encodage</w:t>
      </w:r>
    </w:p>
    <w:p>
      <w:pPr>
        <w:spacing w:before="80" w:after="80"/>
      </w:pPr>
      <w:r>
        <w:t xml:space="preserve"/>
      </w:r>
    </w:p>
    <w:p>
      <w:pPr>
        <w:pBdr>
          <w:left w:val="single" w:color="9CA3AF" w:sz="10" w:space="8"/>
        </w:pBdr>
        <w:shd w:fill="F9FAFB" w:val="clear"/>
        <w:spacing w:before="80" w:after="80"/>
        <w:ind w:left="40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Variable clé — </w:t>
      </w:r>
      <w:r>
        <w:rPr>
          <w:rFonts w:ascii="Calibri" w:cs="Calibri" w:eastAsia="Calibri" w:hAnsi="Calibri"/>
          <w:color w:val="111827"/>
          <w:sz w:val="22"/>
          <w:szCs w:val="22"/>
        </w:rPr>
        <w:t xml:space="preserve">Response est le prédicteur le plus fort. Une réponse "Structural Incomplete" signifie que la maladie est encore détectable après traitement. Cette variable soulève un </w:t>
      </w: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risque de fuite temporelle</w:t>
      </w:r>
      <w:r>
        <w:rPr>
          <w:rFonts w:ascii="Calibri" w:cs="Calibri" w:eastAsia="Calibri" w:hAnsi="Calibri"/>
          <w:color w:val="111827"/>
          <w:sz w:val="22"/>
          <w:szCs w:val="22"/>
        </w:rPr>
        <w:t xml:space="preserve"> (data leakage, voir §5.2).</w:t>
      </w:r>
    </w:p>
    <w:p>
      <w:pPr>
        <w:pStyle w:val="Heading2"/>
        <w:spacing w:before="240" w:after="80"/>
      </w:pPr>
      <w:r>
        <w:rPr>
          <w:rFonts w:ascii="Calibri" w:cs="Calibri" w:eastAsia="Calibri" w:hAnsi="Calibri"/>
          <w:b/>
          <w:bCs/>
          <w:color w:val="374151"/>
          <w:sz w:val="24"/>
          <w:szCs w:val="24"/>
        </w:rPr>
        <w:t xml:space="preserve">1.4 Méthodes comparées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600"/>
        <w:gridCol w:w="2400"/>
        <w:gridCol w:w="1400"/>
        <w:gridCol w:w="2838"/>
      </w:tblGrid>
      <w:tr>
        <w:trPr>
          <w:tblHeader/>
        </w:trPr>
        <w:tc>
          <w:tcPr>
            <w:tcW w:type="dxa" w:w="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37415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37415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Méthode</w:t>
            </w:r>
          </w:p>
        </w:tc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37415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Paradigme</w:t>
            </w:r>
          </w:p>
        </w:tc>
        <w:tc>
          <w:tcPr>
            <w:tcW w:type="dxa" w:w="1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37415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Linéaire ?</w:t>
            </w:r>
          </w:p>
        </w:tc>
        <w:tc>
          <w:tcPr>
            <w:tcW w:type="dxa" w:w="2838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37415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Hyperparam. clé</w:t>
            </w:r>
          </w:p>
        </w:tc>
      </w:tr>
      <w:tr>
        <w:tc>
          <w:tcPr>
            <w:tcW w:type="dxa" w:w="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1</w:t>
            </w:r>
          </w:p>
        </w:tc>
        <w:tc>
          <w:tcPr>
            <w:tcW w:type="dxa" w:w="2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Lasso (L1)</w:t>
            </w:r>
          </w:p>
        </w:tc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Linéaire pénalisé</w:t>
            </w:r>
          </w:p>
        </w:tc>
        <w:tc>
          <w:tcPr>
            <w:tcW w:type="dxa" w:w="1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Oui</w:t>
            </w:r>
          </w:p>
        </w:tc>
        <w:tc>
          <w:tcPr>
            <w:tcW w:type="dxa" w:w="2838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C = 1/λ</w:t>
            </w:r>
          </w:p>
        </w:tc>
      </w:tr>
      <w:tr>
        <w:tc>
          <w:tcPr>
            <w:tcW w:type="dxa" w:w="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2</w:t>
            </w:r>
          </w:p>
        </w:tc>
        <w:tc>
          <w:tcPr>
            <w:tcW w:type="dxa" w:w="2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Random Forest</w:t>
            </w:r>
          </w:p>
        </w:tc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Ensemble d'arbres</w:t>
            </w:r>
          </w:p>
        </w:tc>
        <w:tc>
          <w:tcPr>
            <w:tcW w:type="dxa" w:w="1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Non</w:t>
            </w:r>
          </w:p>
        </w:tc>
        <w:tc>
          <w:tcPr>
            <w:tcW w:type="dxa" w:w="2838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max_depth, n_estimators</w:t>
            </w:r>
          </w:p>
        </w:tc>
      </w:tr>
      <w:tr>
        <w:tc>
          <w:tcPr>
            <w:tcW w:type="dxa" w:w="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3</w:t>
            </w:r>
          </w:p>
        </w:tc>
        <w:tc>
          <w:tcPr>
            <w:tcW w:type="dxa" w:w="2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SVM RBF</w:t>
            </w:r>
          </w:p>
        </w:tc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Noyau / marge max</w:t>
            </w:r>
          </w:p>
        </w:tc>
        <w:tc>
          <w:tcPr>
            <w:tcW w:type="dxa" w:w="1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Non</w:t>
            </w:r>
          </w:p>
        </w:tc>
        <w:tc>
          <w:tcPr>
            <w:tcW w:type="dxa" w:w="2838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C, γ</w:t>
            </w:r>
          </w:p>
        </w:tc>
      </w:tr>
      <w:tr>
        <w:tc>
          <w:tcPr>
            <w:tcW w:type="dxa" w:w="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4</w:t>
            </w:r>
          </w:p>
        </w:tc>
        <w:tc>
          <w:tcPr>
            <w:tcW w:type="dxa" w:w="2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KNN</w:t>
            </w:r>
          </w:p>
        </w:tc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Distance / voisinage</w:t>
            </w:r>
          </w:p>
        </w:tc>
        <w:tc>
          <w:tcPr>
            <w:tcW w:type="dxa" w:w="1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Non</w:t>
            </w:r>
          </w:p>
        </w:tc>
        <w:tc>
          <w:tcPr>
            <w:tcW w:type="dxa" w:w="2838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k, métrique</w:t>
            </w:r>
          </w:p>
        </w:tc>
      </w:tr>
    </w:tbl>
    <w:p>
      <w:pPr>
        <w:spacing w:before="40" w:after="120"/>
        <w:jc w:val="center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Tableau 3 — Vue d'ensemble des 4 méthodes</w:t>
      </w:r>
    </w:p>
    <w:p>
      <w:pPr>
        <w:pStyle w:val="Heading2"/>
        <w:spacing w:before="240" w:after="80"/>
      </w:pPr>
      <w:r>
        <w:rPr>
          <w:rFonts w:ascii="Calibri" w:cs="Calibri" w:eastAsia="Calibri" w:hAnsi="Calibri"/>
          <w:b/>
          <w:bCs/>
          <w:color w:val="374151"/>
          <w:sz w:val="24"/>
          <w:szCs w:val="24"/>
        </w:rPr>
        <w:t xml:space="preserve">1.5 Critères d'évaluation</w:t>
      </w:r>
    </w:p>
    <w:p>
      <w:pPr>
        <w:spacing w:before="60" w:after="60"/>
        <w:jc w:val="both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En présence d'un déséquilibre de classes (72 % / 28 %), l'accuracy est trompeuse. Nous retenons trois critères complémentaires :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160" w:after="60"/>
      </w:pPr>
      <w:r>
        <w:rPr>
          <w:rFonts w:ascii="Calibri" w:cs="Calibri" w:eastAsia="Calibri" w:hAnsi="Calibri"/>
          <w:b/>
          <w:bCs/>
          <w:color w:val="6B7280"/>
          <w:sz w:val="22"/>
          <w:szCs w:val="22"/>
        </w:rPr>
        <w:t xml:space="preserve">AUC-ROC  (critère principal)</w:t>
      </w:r>
    </w:p>
    <w:p>
      <w:pPr>
        <w:spacing w:before="60" w:after="60"/>
        <w:jc w:val="both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Aire sous la courbe ROC — évalue le modèle sur tous les seuils simultanément, robuste au déséquilibre des classes.</w:t>
      </w:r>
    </w:p>
    <w:p>
      <w:pPr>
        <w:pBdr>
          <w:left w:val="single" w:color="9CA3AF" w:sz="8" w:space="8"/>
        </w:pBdr>
        <w:shd w:fill="F3F4F6" w:val="clear"/>
        <w:spacing w:before="140" w:after="140"/>
        <w:ind w:left="200" w:right="200"/>
        <w:jc w:val="center"/>
      </w:pPr>
      <w:r>
        <w:rPr>
          <w:rFonts w:ascii="Cambria Math" w:cs="Cambria Math" w:eastAsia="Cambria Math" w:hAnsi="Cambria Math"/>
          <w:color w:val="1A1A2E"/>
          <w:sz w:val="22"/>
          <w:szCs w:val="22"/>
        </w:rPr>
        <w:t xml:space="preserve">AUC = ∫₀¹ TPR(FPR) d(FPR)       [AUC = 1 : parfait  |  AUC = 0.5 : aléatoire]</w:t>
      </w:r>
    </w:p>
    <w:p>
      <w:pPr>
        <w:pStyle w:val="Heading3"/>
        <w:spacing w:before="160" w:after="60"/>
      </w:pPr>
      <w:r>
        <w:rPr>
          <w:rFonts w:ascii="Calibri" w:cs="Calibri" w:eastAsia="Calibri" w:hAnsi="Calibri"/>
          <w:b/>
          <w:bCs/>
          <w:color w:val="6B7280"/>
          <w:sz w:val="22"/>
          <w:szCs w:val="22"/>
        </w:rPr>
        <w:t xml:space="preserve">Sensibilité  /  Rappel  (critère secondaire prioritaire)</w:t>
      </w:r>
    </w:p>
    <w:p>
      <w:pPr>
        <w:spacing w:before="60" w:after="60"/>
        <w:jc w:val="both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Proportion de récidives réelles correctement détectées. En contexte médical, manquer une récidive (faux négatif) est bien plus grave qu'une fausse alarme — la sensibilité est donc le critère clinique prioritaire.</w:t>
      </w:r>
    </w:p>
    <w:p>
      <w:pPr>
        <w:pBdr>
          <w:left w:val="single" w:color="9CA3AF" w:sz="8" w:space="8"/>
        </w:pBdr>
        <w:shd w:fill="F3F4F6" w:val="clear"/>
        <w:spacing w:before="140" w:after="140"/>
        <w:ind w:left="200" w:right="200"/>
        <w:jc w:val="center"/>
      </w:pPr>
      <w:r>
        <w:rPr>
          <w:rFonts w:ascii="Cambria Math" w:cs="Cambria Math" w:eastAsia="Cambria Math" w:hAnsi="Cambria Math"/>
          <w:color w:val="1A1A2E"/>
          <w:sz w:val="22"/>
          <w:szCs w:val="22"/>
        </w:rPr>
        <w:t xml:space="preserve">Sensibilité = TP / (TP + FN)</w:t>
      </w:r>
    </w:p>
    <w:p>
      <w:pPr>
        <w:pStyle w:val="Heading3"/>
        <w:spacing w:before="160" w:after="60"/>
      </w:pPr>
      <w:r>
        <w:rPr>
          <w:rFonts w:ascii="Calibri" w:cs="Calibri" w:eastAsia="Calibri" w:hAnsi="Calibri"/>
          <w:b/>
          <w:bCs/>
          <w:color w:val="6B7280"/>
          <w:sz w:val="22"/>
          <w:szCs w:val="22"/>
        </w:rPr>
        <w:t xml:space="preserve">F1-score  (conservé pour comparabilité avec la littérature)</w:t>
      </w:r>
    </w:p>
    <w:p>
      <w:pPr>
        <w:spacing w:before="60" w:after="60"/>
        <w:jc w:val="both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Moyenne harmonique de la précision et du rappel. </w:t>
      </w:r>
      <w:r>
        <w:rPr>
          <w:rFonts w:ascii="Calibri" w:cs="Calibri" w:eastAsia="Calibri" w:hAnsi="Calibri"/>
          <w:i/>
          <w:iCs/>
          <w:color w:val="6B7280"/>
          <w:sz w:val="22"/>
          <w:szCs w:val="22"/>
        </w:rPr>
        <w:t xml:space="preserve">Note : le F1 ignore les vrais négatifs et suppose FP = FN en coût — ce qui n'est pas justifié en diagnostic médical. Il est conservé uniquement pour la comparabilité avec la littérature.</w:t>
      </w:r>
    </w:p>
    <w:p>
      <w:pPr>
        <w:pBdr>
          <w:left w:val="single" w:color="9CA3AF" w:sz="8" w:space="8"/>
        </w:pBdr>
        <w:shd w:fill="F3F4F6" w:val="clear"/>
        <w:spacing w:before="140" w:after="140"/>
        <w:ind w:left="200" w:right="200"/>
        <w:jc w:val="center"/>
      </w:pPr>
      <w:r>
        <w:rPr>
          <w:rFonts w:ascii="Cambria Math" w:cs="Cambria Math" w:eastAsia="Cambria Math" w:hAnsi="Cambria Math"/>
          <w:color w:val="1A1A2E"/>
          <w:sz w:val="22"/>
          <w:szCs w:val="22"/>
        </w:rPr>
        <w:t xml:space="preserve">F1 = 2·TP / (2·TP + FP + FN)</w:t>
      </w:r>
    </w:p>
    <w:p>
      <w:r>
        <w:br w:type="page"/>
      </w:r>
    </w:p>
    <w:p>
      <w:pPr>
        <w:pStyle w:val="Heading1"/>
        <w:pBdr>
          <w:bottom w:val="single" w:color="9CA3AF" w:sz="6" w:space="6"/>
        </w:pBdr>
        <w:spacing w:before="360" w:after="12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2. Pré-traitement et préparation des données</w:t>
      </w:r>
    </w:p>
    <w:p>
      <w:pPr>
        <w:pStyle w:val="Heading2"/>
        <w:spacing w:before="240" w:after="80"/>
      </w:pPr>
      <w:r>
        <w:rPr>
          <w:rFonts w:ascii="Calibri" w:cs="Calibri" w:eastAsia="Calibri" w:hAnsi="Calibri"/>
          <w:b/>
          <w:bCs/>
          <w:color w:val="374151"/>
          <w:sz w:val="24"/>
          <w:szCs w:val="24"/>
        </w:rPr>
        <w:t xml:space="preserve">2.1 Encodage des variables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Binaires : </w:t>
      </w:r>
      <w:r>
        <w:rPr>
          <w:rFonts w:ascii="Calibri" w:cs="Calibri" w:eastAsia="Calibri" w:hAnsi="Calibri"/>
          <w:color w:val="111827"/>
          <w:sz w:val="22"/>
          <w:szCs w:val="22"/>
        </w:rPr>
        <w:t xml:space="preserve">encodage 0/1 direct (Gender, Smoking, Hx Smoking, Hx Radiothreapy, Focality)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Ordinales : </w:t>
      </w:r>
      <w:r>
        <w:rPr>
          <w:rFonts w:ascii="Calibri" w:cs="Calibri" w:eastAsia="Calibri" w:hAnsi="Calibri"/>
          <w:color w:val="111827"/>
          <w:sz w:val="22"/>
          <w:szCs w:val="22"/>
        </w:rPr>
        <w:t xml:space="preserve">OrdinalEncoder respectant la sévérité médicale croissante (Risk, T, N, M, Stage)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Nominales : </w:t>
      </w:r>
      <w:r>
        <w:rPr>
          <w:rFonts w:ascii="Calibri" w:cs="Calibri" w:eastAsia="Calibri" w:hAnsi="Calibri"/>
          <w:color w:val="111827"/>
          <w:sz w:val="22"/>
          <w:szCs w:val="22"/>
        </w:rPr>
        <w:t xml:space="preserve">One-Hot Encoding avec </w:t>
      </w:r>
      <w:r>
        <w:rPr>
          <w:rFonts w:ascii="Courier New" w:cs="Courier New" w:eastAsia="Courier New" w:hAnsi="Courier New"/>
          <w:color w:val="4B5563"/>
          <w:sz w:val="20"/>
          <w:szCs w:val="20"/>
        </w:rPr>
        <w:t xml:space="preserve">drop_first=True</w:t>
      </w:r>
      <w:r>
        <w:rPr>
          <w:rFonts w:ascii="Calibri" w:cs="Calibri" w:eastAsia="Calibri" w:hAnsi="Calibri"/>
          <w:color w:val="111827"/>
          <w:sz w:val="22"/>
          <w:szCs w:val="22"/>
        </w:rPr>
        <w:t xml:space="preserve"> pour éviter la multicollinéarité (Thyroid Function, Physical Examination, Adenopathy, Pathology, Response)</w:t>
      </w:r>
    </w:p>
    <w:p>
      <w:pPr>
        <w:spacing w:before="60" w:after="60"/>
      </w:pPr>
      <w:r>
        <w:t xml:space="preserve"/>
      </w:r>
    </w:p>
    <w:p>
      <w:pPr>
        <w:spacing w:before="60" w:after="60"/>
        <w:jc w:val="both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Résultat : </w:t>
      </w: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30 features</w:t>
      </w:r>
      <w:r>
        <w:rPr>
          <w:rFonts w:ascii="Calibri" w:cs="Calibri" w:eastAsia="Calibri" w:hAnsi="Calibri"/>
          <w:color w:val="111827"/>
          <w:sz w:val="22"/>
          <w:szCs w:val="22"/>
        </w:rPr>
        <w:t xml:space="preserve"> après encodage.</w:t>
      </w:r>
    </w:p>
    <w:p>
      <w:pPr>
        <w:pStyle w:val="Heading2"/>
        <w:spacing w:before="240" w:after="80"/>
      </w:pPr>
      <w:r>
        <w:rPr>
          <w:rFonts w:ascii="Calibri" w:cs="Calibri" w:eastAsia="Calibri" w:hAnsi="Calibri"/>
          <w:b/>
          <w:bCs/>
          <w:color w:val="374151"/>
          <w:sz w:val="24"/>
          <w:szCs w:val="24"/>
        </w:rPr>
        <w:t xml:space="preserve">2.2 Split train/test et standardisation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Split 80/20 avec </w:t>
      </w:r>
      <w:r>
        <w:rPr>
          <w:rFonts w:ascii="Courier New" w:cs="Courier New" w:eastAsia="Courier New" w:hAnsi="Courier New"/>
          <w:color w:val="4B5563"/>
          <w:sz w:val="20"/>
          <w:szCs w:val="20"/>
        </w:rPr>
        <w:t xml:space="preserve">stratify=y</w:t>
      </w:r>
      <w:r>
        <w:rPr>
          <w:rFonts w:ascii="Calibri" w:cs="Calibri" w:eastAsia="Calibri" w:hAnsi="Calibri"/>
          <w:color w:val="111827"/>
          <w:sz w:val="22"/>
          <w:szCs w:val="22"/>
        </w:rPr>
        <w:t xml:space="preserve"> : préserve la proportion Yes/No dans chaque ensemble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Train : 306 observations</w:t>
      </w:r>
      <w:r>
        <w:rPr>
          <w:rFonts w:ascii="Calibri" w:cs="Calibri" w:eastAsia="Calibri" w:hAnsi="Calibri"/>
          <w:color w:val="111827"/>
          <w:sz w:val="22"/>
          <w:szCs w:val="22"/>
        </w:rPr>
        <w:t xml:space="preserve"> (Yes : 28,1 %)   —   </w:t>
      </w: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Test : 77 observations</w:t>
      </w:r>
      <w:r>
        <w:rPr>
          <w:rFonts w:ascii="Calibri" w:cs="Calibri" w:eastAsia="Calibri" w:hAnsi="Calibri"/>
          <w:color w:val="111827"/>
          <w:sz w:val="22"/>
          <w:szCs w:val="22"/>
        </w:rPr>
        <w:t xml:space="preserve"> (Yes : 28,6 %)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ourier New" w:cs="Courier New" w:eastAsia="Courier New" w:hAnsi="Courier New"/>
          <w:color w:val="4B5563"/>
          <w:sz w:val="20"/>
          <w:szCs w:val="20"/>
        </w:rPr>
        <w:t xml:space="preserve">StandardScaler</w:t>
      </w:r>
      <w:r>
        <w:rPr>
          <w:rFonts w:ascii="Calibri" w:cs="Calibri" w:eastAsia="Calibri" w:hAnsi="Calibri"/>
          <w:color w:val="111827"/>
          <w:sz w:val="22"/>
          <w:szCs w:val="22"/>
        </w:rPr>
        <w:t xml:space="preserve"> ajusté </w:t>
      </w: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uniquement sur le train</w:t>
      </w:r>
      <w:r>
        <w:rPr>
          <w:rFonts w:ascii="Calibri" w:cs="Calibri" w:eastAsia="Calibri" w:hAnsi="Calibri"/>
          <w:color w:val="111827"/>
          <w:sz w:val="22"/>
          <w:szCs w:val="22"/>
        </w:rPr>
        <w:t xml:space="preserve"> puis appliqué au test — évite tout </w:t>
      </w: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data leakage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Standardisation </w:t>
      </w: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indispensable</w:t>
      </w:r>
      <w:r>
        <w:rPr>
          <w:rFonts w:ascii="Calibri" w:cs="Calibri" w:eastAsia="Calibri" w:hAnsi="Calibri"/>
          <w:color w:val="111827"/>
          <w:sz w:val="22"/>
          <w:szCs w:val="22"/>
        </w:rPr>
        <w:t xml:space="preserve"> pour SVM et KNN, sensibles à l'échelle des variables</w:t>
      </w:r>
    </w:p>
    <w:p>
      <w:r>
        <w:br w:type="page"/>
      </w:r>
    </w:p>
    <w:p>
      <w:pPr>
        <w:pStyle w:val="Heading1"/>
        <w:pBdr>
          <w:bottom w:val="single" w:color="9CA3AF" w:sz="6" w:space="6"/>
        </w:pBdr>
        <w:spacing w:before="360" w:after="12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3. Étude des modèles</w:t>
      </w:r>
    </w:p>
    <w:p>
      <w:pPr>
        <w:pStyle w:val="Heading2"/>
        <w:spacing w:before="240" w:after="80"/>
      </w:pPr>
      <w:r>
        <w:rPr>
          <w:rFonts w:ascii="Calibri" w:cs="Calibri" w:eastAsia="Calibri" w:hAnsi="Calibri"/>
          <w:b/>
          <w:bCs/>
          <w:color w:val="374151"/>
          <w:sz w:val="24"/>
          <w:szCs w:val="24"/>
        </w:rPr>
        <w:t xml:space="preserve">3.1 Régression Logistique Lasso (L1)</w:t>
      </w:r>
    </w:p>
    <w:p>
      <w:pPr>
        <w:pStyle w:val="Heading3"/>
        <w:spacing w:before="160" w:after="60"/>
      </w:pPr>
      <w:r>
        <w:rPr>
          <w:rFonts w:ascii="Calibri" w:cs="Calibri" w:eastAsia="Calibri" w:hAnsi="Calibri"/>
          <w:b/>
          <w:bCs/>
          <w:color w:val="6B7280"/>
          <w:sz w:val="22"/>
          <w:szCs w:val="22"/>
        </w:rPr>
        <w:t xml:space="preserve">Rappel mathématique</w:t>
      </w:r>
    </w:p>
    <w:p>
      <w:pPr>
        <w:spacing w:before="60" w:after="60"/>
        <w:jc w:val="both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La régression logistique modélise :</w:t>
      </w:r>
    </w:p>
    <w:p>
      <w:pPr>
        <w:pBdr>
          <w:left w:val="single" w:color="9CA3AF" w:sz="8" w:space="8"/>
        </w:pBdr>
        <w:shd w:fill="F3F4F6" w:val="clear"/>
        <w:spacing w:before="140" w:after="140"/>
        <w:ind w:left="200" w:right="200"/>
        <w:jc w:val="center"/>
      </w:pPr>
      <w:r>
        <w:rPr>
          <w:rFonts w:ascii="Cambria Math" w:cs="Cambria Math" w:eastAsia="Cambria Math" w:hAnsi="Cambria Math"/>
          <w:color w:val="1A1A2E"/>
          <w:sz w:val="22"/>
          <w:szCs w:val="22"/>
        </w:rPr>
        <w:t xml:space="preserve">P(Y=1 | X) = σ(β₀ + βᵀX) = 1 / (1 + exp(−(β₀ + βᵀX)))</w:t>
      </w:r>
    </w:p>
    <w:p>
      <w:pPr>
        <w:spacing w:before="60" w:after="60"/>
        <w:jc w:val="both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Avec pénalisation Lasso (L1) :</w:t>
      </w:r>
    </w:p>
    <w:p>
      <w:pPr>
        <w:pBdr>
          <w:left w:val="single" w:color="9CA3AF" w:sz="8" w:space="8"/>
        </w:pBdr>
        <w:shd w:fill="F3F4F6" w:val="clear"/>
        <w:spacing w:before="140" w:after="140"/>
        <w:ind w:left="200" w:right="200"/>
        <w:jc w:val="center"/>
      </w:pPr>
      <w:r>
        <w:rPr>
          <w:rFonts w:ascii="Cambria Math" w:cs="Cambria Math" w:eastAsia="Cambria Math" w:hAnsi="Cambria Math"/>
          <w:color w:val="1A1A2E"/>
          <w:sz w:val="22"/>
          <w:szCs w:val="22"/>
        </w:rPr>
        <w:t xml:space="preserve">min_β  [ −(1/n) Σᵢ ℓ(yᵢ, ŷᵢ)  +  λ ‖β‖₁ ]</w:t>
      </w:r>
    </w:p>
    <w:p>
      <w:pPr>
        <w:spacing w:before="60" w:after="60"/>
        <w:jc w:val="both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La norme L1 force certains coefficients à </w:t>
      </w: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exactement zéro</w:t>
      </w:r>
      <w:r>
        <w:rPr>
          <w:rFonts w:ascii="Calibri" w:cs="Calibri" w:eastAsia="Calibri" w:hAnsi="Calibri"/>
          <w:color w:val="111827"/>
          <w:sz w:val="22"/>
          <w:szCs w:val="22"/>
        </w:rPr>
        <w:t xml:space="preserve"> — sélection automatique de variables. Paramètre </w:t>
      </w:r>
      <w:r>
        <w:rPr>
          <w:rFonts w:ascii="Courier New" w:cs="Courier New" w:eastAsia="Courier New" w:hAnsi="Courier New"/>
          <w:color w:val="4B5563"/>
          <w:sz w:val="20"/>
          <w:szCs w:val="20"/>
        </w:rPr>
        <w:t xml:space="preserve">C = 1/λ</w:t>
      </w:r>
      <w:r>
        <w:rPr>
          <w:rFonts w:ascii="Calibri" w:cs="Calibri" w:eastAsia="Calibri" w:hAnsi="Calibri"/>
          <w:color w:val="111827"/>
          <w:sz w:val="22"/>
          <w:szCs w:val="22"/>
        </w:rPr>
        <w:t xml:space="preserve"> calibré par validation croisée 5-fold stratifiée (AUC-ROC).</w:t>
      </w:r>
    </w:p>
    <w:p>
      <w:pPr>
        <w:pStyle w:val="Heading3"/>
        <w:spacing w:before="160" w:after="60"/>
      </w:pPr>
      <w:r>
        <w:rPr>
          <w:rFonts w:ascii="Calibri" w:cs="Calibri" w:eastAsia="Calibri" w:hAnsi="Calibri"/>
          <w:b/>
          <w:bCs/>
          <w:color w:val="6B7280"/>
          <w:sz w:val="22"/>
          <w:szCs w:val="22"/>
        </w:rPr>
        <w:t xml:space="preserve">Justification du choix</w:t>
      </w:r>
    </w:p>
    <w:p>
      <w:pPr>
        <w:pBdr>
          <w:left w:val="single" w:color="9CA3AF" w:sz="10" w:space="8"/>
        </w:pBdr>
        <w:shd w:fill="F9FAFB" w:val="clear"/>
        <w:spacing w:before="80" w:after="80"/>
        <w:ind w:left="40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Lasso est préféré à Ridge car il </w:t>
      </w: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sélectionne</w:t>
      </w:r>
      <w:r>
        <w:rPr>
          <w:rFonts w:ascii="Calibri" w:cs="Calibri" w:eastAsia="Calibri" w:hAnsi="Calibri"/>
          <w:color w:val="111827"/>
          <w:sz w:val="22"/>
          <w:szCs w:val="22"/>
        </w:rPr>
        <w:t xml:space="preserve"> les variables (coefficients nuls) plutôt que de simplement les réduire. Sur un dataset médical, identifier les prédicteurs clés est aussi important que la performance. Avec n = 306 et p = 30, la régularisation est indispensable contre le sur-ajustement.</w:t>
      </w:r>
    </w:p>
    <w:p>
      <w:pPr>
        <w:pStyle w:val="Heading3"/>
        <w:spacing w:before="160" w:after="60"/>
      </w:pPr>
      <w:r>
        <w:rPr>
          <w:rFonts w:ascii="Calibri" w:cs="Calibri" w:eastAsia="Calibri" w:hAnsi="Calibri"/>
          <w:b/>
          <w:bCs/>
          <w:color w:val="6B7280"/>
          <w:sz w:val="22"/>
          <w:szCs w:val="22"/>
        </w:rPr>
        <w:t xml:space="preserve">Calibration — courbe de validation croisée</w:t>
      </w:r>
    </w:p>
    <w:p>
      <w:pPr>
        <w:shd w:fill="F3F4F6" w:val="clear"/>
        <w:spacing w:before="120" w:after="40"/>
        <w:jc w:val="center"/>
      </w:pPr>
      <w:r>
        <w:rPr>
          <w:rFonts w:ascii="Calibri" w:cs="Calibri" w:eastAsia="Calibri" w:hAnsi="Calibri"/>
          <w:i/>
          <w:iCs/>
          <w:color w:val="9CA3AF"/>
          <w:sz w:val="20"/>
          <w:szCs w:val="20"/>
        </w:rPr>
        <w:t xml:space="preserve">[ Figure — insérer image depuis le notebook ]</w:t>
      </w:r>
    </w:p>
    <w:p>
      <w:pPr>
        <w:spacing w:before="20" w:after="120"/>
        <w:jc w:val="center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Figure 2 — AUC-ROC CV en fonction de C. Optimum : C* = 0.1743 (λ = 5.74)</w:t>
      </w:r>
    </w:p>
    <w:p>
      <w:pPr>
        <w:pStyle w:val="Heading3"/>
        <w:spacing w:before="160" w:after="60"/>
      </w:pPr>
      <w:r>
        <w:rPr>
          <w:rFonts w:ascii="Calibri" w:cs="Calibri" w:eastAsia="Calibri" w:hAnsi="Calibri"/>
          <w:b/>
          <w:bCs/>
          <w:color w:val="6B7280"/>
          <w:sz w:val="22"/>
          <w:szCs w:val="22"/>
        </w:rPr>
        <w:t xml:space="preserve">Modèle obtenu</w:t>
      </w:r>
    </w:p>
    <w:p>
      <w:pPr>
        <w:spacing w:before="60" w:after="60"/>
        <w:jc w:val="both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Le Lasso retient </w:t>
      </w: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8 variables sur 30</w:t>
      </w:r>
      <w:r>
        <w:rPr>
          <w:rFonts w:ascii="Calibri" w:cs="Calibri" w:eastAsia="Calibri" w:hAnsi="Calibri"/>
          <w:color w:val="111827"/>
          <w:sz w:val="22"/>
          <w:szCs w:val="22"/>
        </w:rPr>
        <w:t xml:space="preserve">. Le modèle logistique estimé est :</w:t>
      </w:r>
    </w:p>
    <w:p>
      <w:pPr>
        <w:pBdr>
          <w:left w:val="single" w:color="9CA3AF" w:sz="8" w:space="8"/>
        </w:pBdr>
        <w:shd w:fill="F3F4F6" w:val="clear"/>
        <w:spacing w:before="140" w:after="140"/>
        <w:ind w:left="200" w:right="200"/>
        <w:jc w:val="center"/>
      </w:pPr>
      <w:r>
        <w:rPr>
          <w:rFonts w:ascii="Cambria Math" w:cs="Cambria Math" w:eastAsia="Cambria Math" w:hAnsi="Cambria Math"/>
          <w:color w:val="1A1A2E"/>
          <w:sz w:val="22"/>
          <w:szCs w:val="22"/>
        </w:rPr>
        <w:t xml:space="preserve">log[P/(1−P)] = −1.2117  +  1.4653 × Response_Struct.Inc.  +  0.8666 × Risk</w:t>
      </w:r>
    </w:p>
    <w:p>
      <w:pPr>
        <w:pBdr>
          <w:left w:val="single" w:color="9CA3AF" w:sz="8" w:space="8"/>
        </w:pBdr>
        <w:shd w:fill="F3F4F6" w:val="clear"/>
        <w:spacing w:before="140" w:after="140"/>
        <w:ind w:left="200" w:right="200"/>
        <w:jc w:val="center"/>
      </w:pPr>
      <w:r>
        <w:rPr>
          <w:rFonts w:ascii="Cambria Math" w:cs="Cambria Math" w:eastAsia="Cambria Math" w:hAnsi="Cambria Math"/>
          <w:color w:val="1A1A2E"/>
          <w:sz w:val="22"/>
          <w:szCs w:val="22"/>
        </w:rPr>
        <w:t xml:space="preserve">              − 0.8495 × Response_Excellent  − 0.2505 × Response_Indet.</w:t>
      </w:r>
    </w:p>
    <w:p>
      <w:pPr>
        <w:pBdr>
          <w:left w:val="single" w:color="9CA3AF" w:sz="8" w:space="8"/>
        </w:pBdr>
        <w:shd w:fill="F3F4F6" w:val="clear"/>
        <w:spacing w:before="140" w:after="140"/>
        <w:ind w:left="200" w:right="200"/>
        <w:jc w:val="center"/>
      </w:pPr>
      <w:r>
        <w:rPr>
          <w:rFonts w:ascii="Cambria Math" w:cs="Cambria Math" w:eastAsia="Cambria Math" w:hAnsi="Cambria Math"/>
          <w:color w:val="1A1A2E"/>
          <w:sz w:val="22"/>
          <w:szCs w:val="22"/>
        </w:rPr>
        <w:t xml:space="preserve">              + 0.1206 × Stage  − 0.0840 × Pathology_Hurthel  + 0.0617 × Gender  + 0.0473 × Age</w:t>
      </w:r>
    </w:p>
    <w:p>
      <w:pPr>
        <w:spacing w:before="80" w:after="8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000"/>
        <w:gridCol w:w="5138"/>
      </w:tblGrid>
      <w:tr>
        <w:trPr>
          <w:tblHeader/>
        </w:trPr>
        <w:tc>
          <w:tcPr>
            <w:tcW w:type="dxa" w:w="3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37415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1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37415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β</w:t>
            </w:r>
          </w:p>
        </w:tc>
        <w:tc>
          <w:tcPr>
            <w:tcW w:type="dxa" w:w="5138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37415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Interprétation</w:t>
            </w:r>
          </w:p>
        </w:tc>
      </w:tr>
      <w:tr>
        <w:tc>
          <w:tcPr>
            <w:tcW w:type="dxa" w:w="3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Response_Structural Incomplete</w:t>
            </w:r>
          </w:p>
        </w:tc>
        <w:tc>
          <w:tcPr>
            <w:tcW w:type="dxa" w:w="1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+1.4653</w:t>
            </w:r>
          </w:p>
        </w:tc>
        <w:tc>
          <w:tcPr>
            <w:tcW w:type="dxa" w:w="5138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Prédicteur dominant : maladie encore détectable après traitement</w:t>
            </w:r>
          </w:p>
        </w:tc>
      </w:tr>
      <w:tr>
        <w:tc>
          <w:tcPr>
            <w:tcW w:type="dxa" w:w="3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Risk</w:t>
            </w:r>
          </w:p>
        </w:tc>
        <w:tc>
          <w:tcPr>
            <w:tcW w:type="dxa" w:w="1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+0.8666</w:t>
            </w:r>
          </w:p>
        </w:tc>
        <w:tc>
          <w:tcPr>
            <w:tcW w:type="dxa" w:w="5138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Chaque niveau supérieur augmente fortement le risque</w:t>
            </w:r>
          </w:p>
        </w:tc>
      </w:tr>
      <w:tr>
        <w:tc>
          <w:tcPr>
            <w:tcW w:type="dxa" w:w="3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Response_Excellent</w:t>
            </w:r>
          </w:p>
        </w:tc>
        <w:tc>
          <w:tcPr>
            <w:tcW w:type="dxa" w:w="1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−0.8495</w:t>
            </w:r>
          </w:p>
        </w:tc>
        <w:tc>
          <w:tcPr>
            <w:tcW w:type="dxa" w:w="5138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Effet protecteur symétrique à la réponse incomplète</w:t>
            </w:r>
          </w:p>
        </w:tc>
      </w:tr>
      <w:tr>
        <w:tc>
          <w:tcPr>
            <w:tcW w:type="dxa" w:w="3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Response_Indeterminate</w:t>
            </w:r>
          </w:p>
        </w:tc>
        <w:tc>
          <w:tcPr>
            <w:tcW w:type="dxa" w:w="1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−0.2505</w:t>
            </w:r>
          </w:p>
        </w:tc>
        <w:tc>
          <w:tcPr>
            <w:tcW w:type="dxa" w:w="5138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Légèrement protecteur vs référence (Biochemical Incomplete)</w:t>
            </w:r>
          </w:p>
        </w:tc>
      </w:tr>
      <w:tr>
        <w:tc>
          <w:tcPr>
            <w:tcW w:type="dxa" w:w="3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Stage</w:t>
            </w:r>
          </w:p>
        </w:tc>
        <w:tc>
          <w:tcPr>
            <w:tcW w:type="dxa" w:w="1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+0.1206</w:t>
            </w:r>
          </w:p>
        </w:tc>
        <w:tc>
          <w:tcPr>
            <w:tcW w:type="dxa" w:w="5138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Stade avancé augmente modérément le risque</w:t>
            </w:r>
          </w:p>
        </w:tc>
      </w:tr>
      <w:tr>
        <w:tc>
          <w:tcPr>
            <w:tcW w:type="dxa" w:w="3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Pathology_Hurthel cell</w:t>
            </w:r>
          </w:p>
        </w:tc>
        <w:tc>
          <w:tcPr>
            <w:tcW w:type="dxa" w:w="1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−0.0840</w:t>
            </w:r>
          </w:p>
        </w:tc>
        <w:tc>
          <w:tcPr>
            <w:tcW w:type="dxa" w:w="5138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Faible effet protecteur marginal</w:t>
            </w:r>
          </w:p>
        </w:tc>
      </w:tr>
      <w:tr>
        <w:tc>
          <w:tcPr>
            <w:tcW w:type="dxa" w:w="3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Gender (M=1)</w:t>
            </w:r>
          </w:p>
        </w:tc>
        <w:tc>
          <w:tcPr>
            <w:tcW w:type="dxa" w:w="1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+0.0617</w:t>
            </w:r>
          </w:p>
        </w:tc>
        <w:tc>
          <w:tcPr>
            <w:tcW w:type="dxa" w:w="5138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Faible effet marginal</w:t>
            </w:r>
          </w:p>
        </w:tc>
      </w:tr>
      <w:tr>
        <w:tc>
          <w:tcPr>
            <w:tcW w:type="dxa" w:w="3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Age</w:t>
            </w:r>
          </w:p>
        </w:tc>
        <w:tc>
          <w:tcPr>
            <w:tcW w:type="dxa" w:w="1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+0.0473</w:t>
            </w:r>
          </w:p>
        </w:tc>
        <w:tc>
          <w:tcPr>
            <w:tcW w:type="dxa" w:w="5138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Faible effet marginal — âge standardisé</w:t>
            </w:r>
          </w:p>
        </w:tc>
      </w:tr>
    </w:tbl>
    <w:p>
      <w:pPr>
        <w:spacing w:before="40" w:after="120"/>
        <w:jc w:val="center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Tableau 4 — Coefficients Lasso (22 autres variables ont β = 0)</w:t>
      </w:r>
    </w:p>
    <w:p>
      <w:pPr>
        <w:spacing w:before="60" w:after="60"/>
      </w:pPr>
      <w:r>
        <w:t xml:space="preserve"/>
      </w:r>
    </w:p>
    <w:p>
      <w:pPr>
        <w:spacing w:before="60" w:after="60"/>
        <w:jc w:val="both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Performances test : </w:t>
      </w:r>
      <w:r>
        <w:rPr>
          <w:rFonts w:ascii="Calibri" w:cs="Calibri" w:eastAsia="Calibri" w:hAnsi="Calibri"/>
          <w:color w:val="111827"/>
          <w:sz w:val="22"/>
          <w:szCs w:val="22"/>
        </w:rPr>
        <w:t xml:space="preserve">AUC-ROC = 0.9983  ·  Sensibilité = 0.8182  ·  F1 = 0.9000  ·  FN = 4 / 22</w:t>
      </w:r>
    </w:p>
    <w:p>
      <w:pPr>
        <w:pStyle w:val="Heading2"/>
        <w:spacing w:before="240" w:after="80"/>
      </w:pPr>
      <w:r>
        <w:rPr>
          <w:rFonts w:ascii="Calibri" w:cs="Calibri" w:eastAsia="Calibri" w:hAnsi="Calibri"/>
          <w:b/>
          <w:bCs/>
          <w:color w:val="374151"/>
          <w:sz w:val="24"/>
          <w:szCs w:val="24"/>
        </w:rPr>
        <w:t xml:space="preserve">3.2 Forêt Aléatoire (Random Forest)</w:t>
      </w:r>
    </w:p>
    <w:p>
      <w:pPr>
        <w:pStyle w:val="Heading3"/>
        <w:spacing w:before="160" w:after="60"/>
      </w:pPr>
      <w:r>
        <w:rPr>
          <w:rFonts w:ascii="Calibri" w:cs="Calibri" w:eastAsia="Calibri" w:hAnsi="Calibri"/>
          <w:b/>
          <w:bCs/>
          <w:color w:val="6B7280"/>
          <w:sz w:val="22"/>
          <w:szCs w:val="22"/>
        </w:rPr>
        <w:t xml:space="preserve">Rappel</w:t>
      </w:r>
    </w:p>
    <w:p>
      <w:pPr>
        <w:spacing w:before="60" w:after="60"/>
        <w:jc w:val="both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Ensemble de </w:t>
      </w: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B arbres de décision</w:t>
      </w:r>
      <w:r>
        <w:rPr>
          <w:rFonts w:ascii="Calibri" w:cs="Calibri" w:eastAsia="Calibri" w:hAnsi="Calibri"/>
          <w:color w:val="111827"/>
          <w:sz w:val="22"/>
          <w:szCs w:val="22"/>
        </w:rPr>
        <w:t xml:space="preserve"> entraînés sur des sous-échantillons bootstrap. La prédiction est la moyenne des probabilités de chaque arbre. Deux sources d'aléa : bootstrap sur les observations + sélection aléatoire de features à chaque nœud.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ourier New" w:cs="Courier New" w:eastAsia="Courier New" w:hAnsi="Courier New"/>
          <w:color w:val="4B5563"/>
          <w:sz w:val="20"/>
          <w:szCs w:val="20"/>
        </w:rPr>
        <w:t xml:space="preserve">class_weight='balanced'</w:t>
      </w:r>
      <w:r>
        <w:rPr>
          <w:rFonts w:ascii="Calibri" w:cs="Calibri" w:eastAsia="Calibri" w:hAnsi="Calibri"/>
          <w:color w:val="111827"/>
          <w:sz w:val="22"/>
          <w:szCs w:val="22"/>
        </w:rPr>
        <w:t xml:space="preserve"> : corrige le déséquilibre des classes sans suréchantillonner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Hyperparamètres calibrés par CV : </w:t>
      </w:r>
      <w:r>
        <w:rPr>
          <w:rFonts w:ascii="Courier New" w:cs="Courier New" w:eastAsia="Courier New" w:hAnsi="Courier New"/>
          <w:color w:val="4B5563"/>
          <w:sz w:val="20"/>
          <w:szCs w:val="20"/>
        </w:rPr>
        <w:t xml:space="preserve">max_depth</w:t>
      </w:r>
      <w:r>
        <w:rPr>
          <w:rFonts w:ascii="Calibri" w:cs="Calibri" w:eastAsia="Calibri" w:hAnsi="Calibri"/>
          <w:color w:val="111827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color w:val="4B5563"/>
          <w:sz w:val="20"/>
          <w:szCs w:val="20"/>
        </w:rPr>
        <w:t xml:space="preserve">n_estimators</w:t>
      </w:r>
      <w:r>
        <w:rPr>
          <w:rFonts w:ascii="Calibri" w:cs="Calibri" w:eastAsia="Calibri" w:hAnsi="Calibri"/>
          <w:color w:val="111827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color w:val="4B5563"/>
          <w:sz w:val="20"/>
          <w:szCs w:val="20"/>
        </w:rPr>
        <w:t xml:space="preserve">min_samples_leaf</w:t>
      </w:r>
    </w:p>
    <w:p>
      <w:pPr>
        <w:pStyle w:val="Heading3"/>
        <w:spacing w:before="160" w:after="60"/>
      </w:pPr>
      <w:r>
        <w:rPr>
          <w:rFonts w:ascii="Calibri" w:cs="Calibri" w:eastAsia="Calibri" w:hAnsi="Calibri"/>
          <w:b/>
          <w:bCs/>
          <w:color w:val="6B7280"/>
          <w:sz w:val="22"/>
          <w:szCs w:val="22"/>
        </w:rPr>
        <w:t xml:space="preserve">Justification du choix</w:t>
      </w:r>
    </w:p>
    <w:p>
      <w:pPr>
        <w:pBdr>
          <w:left w:val="single" w:color="9CA3AF" w:sz="10" w:space="8"/>
        </w:pBdr>
        <w:shd w:fill="F9FAFB" w:val="clear"/>
        <w:spacing w:before="80" w:after="80"/>
        <w:ind w:left="40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La RF capture les </w:t>
      </w: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interactions non-linéaires</w:t>
      </w:r>
      <w:r>
        <w:rPr>
          <w:rFonts w:ascii="Calibri" w:cs="Calibri" w:eastAsia="Calibri" w:hAnsi="Calibri"/>
          <w:color w:val="111827"/>
          <w:sz w:val="22"/>
          <w:szCs w:val="22"/>
        </w:rPr>
        <w:t xml:space="preserve"> (Risk × Response × Stage) que le Lasso ne peut pas modéliser. Elle s'oppose au Lasso sur tous les axes : linéaire vs non-linéaire, paramétrique vs non-paramétrique — exactement ce que les instructions demandent pour "comparer deux façons de modéliser".</w:t>
      </w:r>
    </w:p>
    <w:p>
      <w:pPr>
        <w:pStyle w:val="Heading3"/>
        <w:spacing w:before="160" w:after="60"/>
      </w:pPr>
      <w:r>
        <w:rPr>
          <w:rFonts w:ascii="Calibri" w:cs="Calibri" w:eastAsia="Calibri" w:hAnsi="Calibri"/>
          <w:b/>
          <w:bCs/>
          <w:color w:val="6B7280"/>
          <w:sz w:val="22"/>
          <w:szCs w:val="22"/>
        </w:rPr>
        <w:t xml:space="preserve">Résultats</w:t>
      </w:r>
    </w:p>
    <w:p>
      <w:pPr>
        <w:shd w:fill="F3F4F6" w:val="clear"/>
        <w:spacing w:before="120" w:after="40"/>
        <w:jc w:val="center"/>
      </w:pPr>
      <w:r>
        <w:rPr>
          <w:rFonts w:ascii="Calibri" w:cs="Calibri" w:eastAsia="Calibri" w:hAnsi="Calibri"/>
          <w:i/>
          <w:iCs/>
          <w:color w:val="9CA3AF"/>
          <w:sz w:val="20"/>
          <w:szCs w:val="20"/>
        </w:rPr>
        <w:t xml:space="preserve">[ Figure — insérer image depuis le notebook ]</w:t>
      </w:r>
    </w:p>
    <w:p>
      <w:pPr>
        <w:spacing w:before="20" w:after="120"/>
        <w:jc w:val="center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Figure 3 — AUC-ROC CV selon max_depth. Optimum : max_depth = 5, n_estimators = 100</w:t>
      </w:r>
    </w:p>
    <w:p>
      <w:pPr>
        <w:spacing w:before="60" w:after="60"/>
        <w:jc w:val="both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Variables les plus importantes (Gini) : </w:t>
      </w: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Response_Structural Incomplete</w:t>
      </w:r>
      <w:r>
        <w:rPr>
          <w:rFonts w:ascii="Calibri" w:cs="Calibri" w:eastAsia="Calibri" w:hAnsi="Calibri"/>
          <w:color w:val="111827"/>
          <w:sz w:val="22"/>
          <w:szCs w:val="22"/>
        </w:rPr>
        <w:t xml:space="preserve"> (26 %), </w:t>
      </w: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Response_Excellent</w:t>
      </w:r>
      <w:r>
        <w:rPr>
          <w:rFonts w:ascii="Calibri" w:cs="Calibri" w:eastAsia="Calibri" w:hAnsi="Calibri"/>
          <w:color w:val="111827"/>
          <w:sz w:val="22"/>
          <w:szCs w:val="22"/>
        </w:rPr>
        <w:t xml:space="preserve"> (20 %), </w:t>
      </w: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Risk</w:t>
      </w:r>
      <w:r>
        <w:rPr>
          <w:rFonts w:ascii="Calibri" w:cs="Calibri" w:eastAsia="Calibri" w:hAnsi="Calibri"/>
          <w:color w:val="111827"/>
          <w:sz w:val="22"/>
          <w:szCs w:val="22"/>
        </w:rPr>
        <w:t xml:space="preserve"> (17 %) — cohérent avec les coefficients Lasso.</w:t>
      </w:r>
    </w:p>
    <w:p>
      <w:pPr>
        <w:spacing w:before="60" w:after="60"/>
        <w:jc w:val="both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Performances test : </w:t>
      </w:r>
      <w:r>
        <w:rPr>
          <w:rFonts w:ascii="Calibri" w:cs="Calibri" w:eastAsia="Calibri" w:hAnsi="Calibri"/>
          <w:color w:val="111827"/>
          <w:sz w:val="22"/>
          <w:szCs w:val="22"/>
        </w:rPr>
        <w:t xml:space="preserve">AUC-ROC = 0.9950  ·  Sensibilité = 0.9091  ·  F1 = 0.9524  ·  FN = 2 / 22</w:t>
      </w:r>
    </w:p>
    <w:p>
      <w:pPr>
        <w:pStyle w:val="Heading2"/>
        <w:spacing w:before="240" w:after="80"/>
      </w:pPr>
      <w:r>
        <w:rPr>
          <w:rFonts w:ascii="Calibri" w:cs="Calibri" w:eastAsia="Calibri" w:hAnsi="Calibri"/>
          <w:b/>
          <w:bCs/>
          <w:color w:val="374151"/>
          <w:sz w:val="24"/>
          <w:szCs w:val="24"/>
        </w:rPr>
        <w:t xml:space="preserve">3.3 Support Vector Machine (SVM) à noyau RBF</w:t>
      </w:r>
    </w:p>
    <w:p>
      <w:pPr>
        <w:pStyle w:val="Heading3"/>
        <w:spacing w:before="160" w:after="60"/>
      </w:pPr>
      <w:r>
        <w:rPr>
          <w:rFonts w:ascii="Calibri" w:cs="Calibri" w:eastAsia="Calibri" w:hAnsi="Calibri"/>
          <w:b/>
          <w:bCs/>
          <w:color w:val="6B7280"/>
          <w:sz w:val="22"/>
          <w:szCs w:val="22"/>
        </w:rPr>
        <w:t xml:space="preserve">Rappel mathématique</w:t>
      </w:r>
    </w:p>
    <w:p>
      <w:pPr>
        <w:spacing w:before="60" w:after="60"/>
        <w:jc w:val="both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Le SVM cherche l'hyperplan qui </w:t>
      </w: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maximise la marge</w:t>
      </w:r>
      <w:r>
        <w:rPr>
          <w:rFonts w:ascii="Calibri" w:cs="Calibri" w:eastAsia="Calibri" w:hAnsi="Calibri"/>
          <w:color w:val="111827"/>
          <w:sz w:val="22"/>
          <w:szCs w:val="22"/>
        </w:rPr>
        <w:t xml:space="preserve"> entre les classes dans un espace transformé par le noyau RBF :</w:t>
      </w:r>
    </w:p>
    <w:p>
      <w:pPr>
        <w:pBdr>
          <w:left w:val="single" w:color="9CA3AF" w:sz="8" w:space="8"/>
        </w:pBdr>
        <w:shd w:fill="F3F4F6" w:val="clear"/>
        <w:spacing w:before="140" w:after="140"/>
        <w:ind w:left="200" w:right="200"/>
        <w:jc w:val="center"/>
      </w:pPr>
      <w:r>
        <w:rPr>
          <w:rFonts w:ascii="Cambria Math" w:cs="Cambria Math" w:eastAsia="Cambria Math" w:hAnsi="Cambria Math"/>
          <w:color w:val="1A1A2E"/>
          <w:sz w:val="22"/>
          <w:szCs w:val="22"/>
        </w:rPr>
        <w:t xml:space="preserve">K(x, x') = exp(−γ ‖x − x'‖²)</w:t>
      </w:r>
    </w:p>
    <w:p>
      <w:pPr>
        <w:spacing w:before="60" w:after="60"/>
        <w:jc w:val="both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Deux hyperparamètres : </w:t>
      </w: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C</w:t>
      </w:r>
      <w:r>
        <w:rPr>
          <w:rFonts w:ascii="Calibri" w:cs="Calibri" w:eastAsia="Calibri" w:hAnsi="Calibri"/>
          <w:color w:val="111827"/>
          <w:sz w:val="22"/>
          <w:szCs w:val="22"/>
        </w:rPr>
        <w:t xml:space="preserve"> (tolérance aux erreurs de marge) et </w:t>
      </w: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γ</w:t>
      </w:r>
      <w:r>
        <w:rPr>
          <w:rFonts w:ascii="Calibri" w:cs="Calibri" w:eastAsia="Calibri" w:hAnsi="Calibri"/>
          <w:color w:val="111827"/>
          <w:sz w:val="22"/>
          <w:szCs w:val="22"/>
        </w:rPr>
        <w:t xml:space="preserve"> (largeur du noyau). </w:t>
      </w:r>
      <w:r>
        <w:rPr>
          <w:rFonts w:ascii="Courier New" w:cs="Courier New" w:eastAsia="Courier New" w:hAnsi="Courier New"/>
          <w:color w:val="4B5563"/>
          <w:sz w:val="20"/>
          <w:szCs w:val="20"/>
        </w:rPr>
        <w:t xml:space="preserve">probability=True</w:t>
      </w:r>
      <w:r>
        <w:rPr>
          <w:rFonts w:ascii="Calibri" w:cs="Calibri" w:eastAsia="Calibri" w:hAnsi="Calibri"/>
          <w:color w:val="111827"/>
          <w:sz w:val="22"/>
          <w:szCs w:val="22"/>
        </w:rPr>
        <w:t xml:space="preserve"> active la calibration de Platt pour obtenir des probabilités.</w:t>
      </w:r>
    </w:p>
    <w:p>
      <w:pPr>
        <w:pStyle w:val="Heading3"/>
        <w:spacing w:before="160" w:after="60"/>
      </w:pPr>
      <w:r>
        <w:rPr>
          <w:rFonts w:ascii="Calibri" w:cs="Calibri" w:eastAsia="Calibri" w:hAnsi="Calibri"/>
          <w:b/>
          <w:bCs/>
          <w:color w:val="6B7280"/>
          <w:sz w:val="22"/>
          <w:szCs w:val="22"/>
        </w:rPr>
        <w:t xml:space="preserve">Justification du choix</w:t>
      </w:r>
    </w:p>
    <w:p>
      <w:pPr>
        <w:pBdr>
          <w:left w:val="single" w:color="9CA3AF" w:sz="10" w:space="8"/>
        </w:pBdr>
        <w:shd w:fill="F9FAFB" w:val="clear"/>
        <w:spacing w:before="80" w:after="80"/>
        <w:ind w:left="40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Le SVM représente une </w:t>
      </w: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3e famille algorithmique</w:t>
      </w:r>
      <w:r>
        <w:rPr>
          <w:rFonts w:ascii="Calibri" w:cs="Calibri" w:eastAsia="Calibri" w:hAnsi="Calibri"/>
          <w:color w:val="111827"/>
          <w:sz w:val="22"/>
          <w:szCs w:val="22"/>
        </w:rPr>
        <w:t xml:space="preserve"> distincte — ni linéaire pénalisé, ni ensemble d'arbres. Efficace en grande dimension (p = 30 après one-hot), robuste aux outliers. Un SVM linéaire aurait été redondant avec le Lasso.</w:t>
      </w:r>
    </w:p>
    <w:p>
      <w:pPr>
        <w:pStyle w:val="Heading3"/>
        <w:spacing w:before="160" w:after="60"/>
      </w:pPr>
      <w:r>
        <w:rPr>
          <w:rFonts w:ascii="Calibri" w:cs="Calibri" w:eastAsia="Calibri" w:hAnsi="Calibri"/>
          <w:b/>
          <w:bCs/>
          <w:color w:val="6B7280"/>
          <w:sz w:val="22"/>
          <w:szCs w:val="22"/>
        </w:rPr>
        <w:t xml:space="preserve">Résultats</w:t>
      </w:r>
    </w:p>
    <w:p>
      <w:pPr>
        <w:shd w:fill="F3F4F6" w:val="clear"/>
        <w:spacing w:before="120" w:after="40"/>
        <w:jc w:val="center"/>
      </w:pPr>
      <w:r>
        <w:rPr>
          <w:rFonts w:ascii="Calibri" w:cs="Calibri" w:eastAsia="Calibri" w:hAnsi="Calibri"/>
          <w:i/>
          <w:iCs/>
          <w:color w:val="9CA3AF"/>
          <w:sz w:val="20"/>
          <w:szCs w:val="20"/>
        </w:rPr>
        <w:t xml:space="preserve">[ Figure — insérer image depuis le notebook ]</w:t>
      </w:r>
    </w:p>
    <w:p>
      <w:pPr>
        <w:spacing w:before="20" w:after="120"/>
        <w:jc w:val="center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Figure 4 — Heatmap AUC-ROC (C × γ). Optimum : C = 1, γ = 0.01</w:t>
      </w:r>
    </w:p>
    <w:p>
      <w:pPr>
        <w:spacing w:before="60" w:after="60"/>
        <w:jc w:val="both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Performances test : </w:t>
      </w:r>
      <w:r>
        <w:rPr>
          <w:rFonts w:ascii="Calibri" w:cs="Calibri" w:eastAsia="Calibri" w:hAnsi="Calibri"/>
          <w:color w:val="111827"/>
          <w:sz w:val="22"/>
          <w:szCs w:val="22"/>
        </w:rPr>
        <w:t xml:space="preserve">AUC-ROC = 0.9901  ·  Sensibilité = 0.8636  ·  F1 = 0.9268  ·  FN = 3 / 22</w:t>
      </w:r>
    </w:p>
    <w:p>
      <w:pPr>
        <w:pStyle w:val="Heading2"/>
        <w:spacing w:before="240" w:after="80"/>
      </w:pPr>
      <w:r>
        <w:rPr>
          <w:rFonts w:ascii="Calibri" w:cs="Calibri" w:eastAsia="Calibri" w:hAnsi="Calibri"/>
          <w:b/>
          <w:bCs/>
          <w:color w:val="374151"/>
          <w:sz w:val="24"/>
          <w:szCs w:val="24"/>
        </w:rPr>
        <w:t xml:space="preserve">3.4 K-Nearest Neighbors (KNN)</w:t>
      </w:r>
    </w:p>
    <w:p>
      <w:pPr>
        <w:pStyle w:val="Heading3"/>
        <w:spacing w:before="160" w:after="60"/>
      </w:pPr>
      <w:r>
        <w:rPr>
          <w:rFonts w:ascii="Calibri" w:cs="Calibri" w:eastAsia="Calibri" w:hAnsi="Calibri"/>
          <w:b/>
          <w:bCs/>
          <w:color w:val="6B7280"/>
          <w:sz w:val="22"/>
          <w:szCs w:val="22"/>
        </w:rPr>
        <w:t xml:space="preserve">Rappel mathématique</w:t>
      </w:r>
    </w:p>
    <w:p>
      <w:pPr>
        <w:spacing w:before="60" w:after="60"/>
        <w:jc w:val="both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Classifieur </w:t>
      </w: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entièrement non-paramétrique</w:t>
      </w:r>
      <w:r>
        <w:rPr>
          <w:rFonts w:ascii="Calibri" w:cs="Calibri" w:eastAsia="Calibri" w:hAnsi="Calibri"/>
          <w:color w:val="111827"/>
          <w:sz w:val="22"/>
          <w:szCs w:val="22"/>
        </w:rPr>
        <w:t xml:space="preserve"> : aucune hypothèse sur la frontière de décision. Prédit la classe majoritaire parmi les k voisins les plus proches, pondérée par l'inverse de la distance :</w:t>
      </w:r>
    </w:p>
    <w:p>
      <w:pPr>
        <w:pBdr>
          <w:left w:val="single" w:color="9CA3AF" w:sz="8" w:space="8"/>
        </w:pBdr>
        <w:shd w:fill="F3F4F6" w:val="clear"/>
        <w:spacing w:before="140" w:after="140"/>
        <w:ind w:left="200" w:right="200"/>
        <w:jc w:val="center"/>
      </w:pPr>
      <w:r>
        <w:rPr>
          <w:rFonts w:ascii="Cambria Math" w:cs="Cambria Math" w:eastAsia="Cambria Math" w:hAnsi="Cambria Math"/>
          <w:color w:val="1A1A2E"/>
          <w:sz w:val="22"/>
          <w:szCs w:val="22"/>
        </w:rPr>
        <w:t xml:space="preserve">P̂(Y=1|x) = Σᵢ∈Nₖ(x) wᵢ·1[yᵢ=1] / Σᵢ∈Nₖ(x) wᵢ     avec  wᵢ = 1/d(x, xᵢ)</w:t>
      </w:r>
    </w:p>
    <w:p>
      <w:pPr>
        <w:pStyle w:val="Heading3"/>
        <w:spacing w:before="160" w:after="60"/>
      </w:pPr>
      <w:r>
        <w:rPr>
          <w:rFonts w:ascii="Calibri" w:cs="Calibri" w:eastAsia="Calibri" w:hAnsi="Calibri"/>
          <w:b/>
          <w:bCs/>
          <w:color w:val="6B7280"/>
          <w:sz w:val="22"/>
          <w:szCs w:val="22"/>
        </w:rPr>
        <w:t xml:space="preserve">Justification du choix</w:t>
      </w:r>
    </w:p>
    <w:p>
      <w:pPr>
        <w:pBdr>
          <w:left w:val="single" w:color="9CA3AF" w:sz="10" w:space="8"/>
        </w:pBdr>
        <w:shd w:fill="F9FAFB" w:val="clear"/>
        <w:spacing w:before="80" w:after="80"/>
        <w:ind w:left="40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Le KNN complète la diversité des paradigmes. Sa logique est </w:t>
      </w: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médicalement intuitive</w:t>
      </w:r>
      <w:r>
        <w:rPr>
          <w:rFonts w:ascii="Calibri" w:cs="Calibri" w:eastAsia="Calibri" w:hAnsi="Calibri"/>
          <w:color w:val="111827"/>
          <w:sz w:val="22"/>
          <w:szCs w:val="22"/>
        </w:rPr>
        <w:t xml:space="preserve"> : un patient a probablement la même issue que les patients cliniquement similaires. La standardisation est ici encore plus critique que pour le SVM.</w:t>
      </w:r>
    </w:p>
    <w:p>
      <w:pPr>
        <w:pStyle w:val="Heading3"/>
        <w:spacing w:before="160" w:after="60"/>
      </w:pPr>
      <w:r>
        <w:rPr>
          <w:rFonts w:ascii="Calibri" w:cs="Calibri" w:eastAsia="Calibri" w:hAnsi="Calibri"/>
          <w:b/>
          <w:bCs/>
          <w:color w:val="6B7280"/>
          <w:sz w:val="22"/>
          <w:szCs w:val="22"/>
        </w:rPr>
        <w:t xml:space="preserve">Résultats</w:t>
      </w:r>
    </w:p>
    <w:p>
      <w:pPr>
        <w:spacing w:before="60" w:after="60"/>
        <w:jc w:val="both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Hyperparamètres optimaux : </w:t>
      </w: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k = 7, métrique Manhattan, pondération distance</w:t>
      </w:r>
      <w:r>
        <w:rPr>
          <w:rFonts w:ascii="Calibri" w:cs="Calibri" w:eastAsia="Calibri" w:hAnsi="Calibri"/>
          <w:color w:val="111827"/>
          <w:sz w:val="22"/>
          <w:szCs w:val="22"/>
        </w:rPr>
        <w:t xml:space="preserve">.</w:t>
      </w:r>
    </w:p>
    <w:p>
      <w:pPr>
        <w:spacing w:before="60" w:after="60"/>
        <w:jc w:val="both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Performances test : </w:t>
      </w:r>
      <w:r>
        <w:rPr>
          <w:rFonts w:ascii="Calibri" w:cs="Calibri" w:eastAsia="Calibri" w:hAnsi="Calibri"/>
          <w:color w:val="111827"/>
          <w:sz w:val="22"/>
          <w:szCs w:val="22"/>
        </w:rPr>
        <w:t xml:space="preserve">AUC-ROC = 0.9975  ·  Sensibilité = 0.8636  ·  F1 = 0.9268  ·  FN = 3 / 22</w:t>
      </w:r>
    </w:p>
    <w:p>
      <w:r>
        <w:br w:type="page"/>
      </w:r>
    </w:p>
    <w:p>
      <w:pPr>
        <w:pStyle w:val="Heading1"/>
        <w:pBdr>
          <w:bottom w:val="single" w:color="9CA3AF" w:sz="6" w:space="6"/>
        </w:pBdr>
        <w:spacing w:before="360" w:after="12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4. Comparaison des modèles</w:t>
      </w:r>
    </w:p>
    <w:p>
      <w:pPr>
        <w:pStyle w:val="Heading2"/>
        <w:spacing w:before="240" w:after="80"/>
      </w:pPr>
      <w:r>
        <w:rPr>
          <w:rFonts w:ascii="Calibri" w:cs="Calibri" w:eastAsia="Calibri" w:hAnsi="Calibri"/>
          <w:b/>
          <w:bCs/>
          <w:color w:val="374151"/>
          <w:sz w:val="24"/>
          <w:szCs w:val="24"/>
        </w:rPr>
        <w:t xml:space="preserve">4.1 Courbes ROC</w:t>
      </w:r>
    </w:p>
    <w:p>
      <w:pPr>
        <w:spacing w:before="60" w:after="60"/>
        <w:jc w:val="both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La courbe ROC trace le TPR en fonction du FPR pour tous les seuils de décision possibles. Les quatre modèles atteignent une AUC &gt; 0.99, confirmant que le signal prédictif est robuste et non spécifique à un modèle.</w:t>
      </w:r>
    </w:p>
    <w:p>
      <w:pPr>
        <w:shd w:fill="F3F4F6" w:val="clear"/>
        <w:spacing w:before="120" w:after="40"/>
        <w:jc w:val="center"/>
      </w:pPr>
      <w:r>
        <w:rPr>
          <w:rFonts w:ascii="Calibri" w:cs="Calibri" w:eastAsia="Calibri" w:hAnsi="Calibri"/>
          <w:i/>
          <w:iCs/>
          <w:color w:val="9CA3AF"/>
          <w:sz w:val="20"/>
          <w:szCs w:val="20"/>
        </w:rPr>
        <w:t xml:space="preserve">[ Figure — insérer image depuis le notebook ]</w:t>
      </w:r>
    </w:p>
    <w:p>
      <w:pPr>
        <w:spacing w:before="20" w:after="120"/>
        <w:jc w:val="center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Figure 5 — Courbes ROC des 4 modèles (insérer fig_roc_curves.png depuis le notebook)</w:t>
      </w:r>
    </w:p>
    <w:p>
      <w:pPr>
        <w:pStyle w:val="Heading2"/>
        <w:spacing w:before="240" w:after="80"/>
      </w:pPr>
      <w:r>
        <w:rPr>
          <w:rFonts w:ascii="Calibri" w:cs="Calibri" w:eastAsia="Calibri" w:hAnsi="Calibri"/>
          <w:b/>
          <w:bCs/>
          <w:color w:val="374151"/>
          <w:sz w:val="24"/>
          <w:szCs w:val="24"/>
        </w:rPr>
        <w:t xml:space="preserve">4.2 Tableau de synthèse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350"/>
        <w:gridCol w:w="1500"/>
        <w:gridCol w:w="1350"/>
        <w:gridCol w:w="1350"/>
        <w:gridCol w:w="1100"/>
        <w:gridCol w:w="388"/>
      </w:tblGrid>
      <w:tr>
        <w:trPr>
          <w:tblHeader/>
        </w:trPr>
        <w:tc>
          <w:tcPr>
            <w:tcW w:type="dxa" w:w="2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37415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Modèle</w:t>
            </w:r>
          </w:p>
        </w:tc>
        <w:tc>
          <w:tcPr>
            <w:tcW w:type="dxa" w:w="135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37415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AUC-ROC</w:t>
            </w:r>
          </w:p>
        </w:tc>
        <w:tc>
          <w:tcPr>
            <w:tcW w:type="dxa" w:w="1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37415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Sensibilité</w:t>
            </w:r>
          </w:p>
        </w:tc>
        <w:tc>
          <w:tcPr>
            <w:tcW w:type="dxa" w:w="135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37415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F1-score</w:t>
            </w:r>
          </w:p>
        </w:tc>
        <w:tc>
          <w:tcPr>
            <w:tcW w:type="dxa" w:w="135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37415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Accuracy</w:t>
            </w:r>
          </w:p>
        </w:tc>
        <w:tc>
          <w:tcPr>
            <w:tcW w:type="dxa" w:w="11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37415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FN</w:t>
            </w:r>
          </w:p>
        </w:tc>
        <w:tc>
          <w:tcPr>
            <w:tcW w:type="dxa" w:w="388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37415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FP</w:t>
            </w:r>
          </w:p>
        </w:tc>
      </w:tr>
      <w:tr>
        <w:tc>
          <w:tcPr>
            <w:tcW w:type="dxa" w:w="2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Lasso (L1)</w:t>
            </w:r>
          </w:p>
        </w:tc>
        <w:tc>
          <w:tcPr>
            <w:tcW w:type="dxa" w:w="135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0.9983</w:t>
            </w:r>
          </w:p>
        </w:tc>
        <w:tc>
          <w:tcPr>
            <w:tcW w:type="dxa" w:w="1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0.8182</w:t>
            </w:r>
          </w:p>
        </w:tc>
        <w:tc>
          <w:tcPr>
            <w:tcW w:type="dxa" w:w="135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0.9000</w:t>
            </w:r>
          </w:p>
        </w:tc>
        <w:tc>
          <w:tcPr>
            <w:tcW w:type="dxa" w:w="135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94.8 %</w:t>
            </w:r>
          </w:p>
        </w:tc>
        <w:tc>
          <w:tcPr>
            <w:tcW w:type="dxa" w:w="11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4 / 22</w:t>
            </w:r>
          </w:p>
        </w:tc>
        <w:tc>
          <w:tcPr>
            <w:tcW w:type="dxa" w:w="388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2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Random Forest</w:t>
            </w:r>
          </w:p>
        </w:tc>
        <w:tc>
          <w:tcPr>
            <w:tcW w:type="dxa" w:w="135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0.9950</w:t>
            </w:r>
          </w:p>
        </w:tc>
        <w:tc>
          <w:tcPr>
            <w:tcW w:type="dxa" w:w="1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0.9091</w:t>
            </w:r>
          </w:p>
        </w:tc>
        <w:tc>
          <w:tcPr>
            <w:tcW w:type="dxa" w:w="135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0.9524</w:t>
            </w:r>
          </w:p>
        </w:tc>
        <w:tc>
          <w:tcPr>
            <w:tcW w:type="dxa" w:w="135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97.4 %</w:t>
            </w:r>
          </w:p>
        </w:tc>
        <w:tc>
          <w:tcPr>
            <w:tcW w:type="dxa" w:w="11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2 / 22</w:t>
            </w:r>
          </w:p>
        </w:tc>
        <w:tc>
          <w:tcPr>
            <w:tcW w:type="dxa" w:w="388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2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SVM RBF</w:t>
            </w:r>
          </w:p>
        </w:tc>
        <w:tc>
          <w:tcPr>
            <w:tcW w:type="dxa" w:w="135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0.9901</w:t>
            </w:r>
          </w:p>
        </w:tc>
        <w:tc>
          <w:tcPr>
            <w:tcW w:type="dxa" w:w="1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0.8636</w:t>
            </w:r>
          </w:p>
        </w:tc>
        <w:tc>
          <w:tcPr>
            <w:tcW w:type="dxa" w:w="135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0.9268</w:t>
            </w:r>
          </w:p>
        </w:tc>
        <w:tc>
          <w:tcPr>
            <w:tcW w:type="dxa" w:w="135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96.1 %</w:t>
            </w:r>
          </w:p>
        </w:tc>
        <w:tc>
          <w:tcPr>
            <w:tcW w:type="dxa" w:w="11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3 / 22</w:t>
            </w:r>
          </w:p>
        </w:tc>
        <w:tc>
          <w:tcPr>
            <w:tcW w:type="dxa" w:w="388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2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KNN</w:t>
            </w:r>
          </w:p>
        </w:tc>
        <w:tc>
          <w:tcPr>
            <w:tcW w:type="dxa" w:w="135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0.9975</w:t>
            </w:r>
          </w:p>
        </w:tc>
        <w:tc>
          <w:tcPr>
            <w:tcW w:type="dxa" w:w="1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0.8636</w:t>
            </w:r>
          </w:p>
        </w:tc>
        <w:tc>
          <w:tcPr>
            <w:tcW w:type="dxa" w:w="135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0.9268</w:t>
            </w:r>
          </w:p>
        </w:tc>
        <w:tc>
          <w:tcPr>
            <w:tcW w:type="dxa" w:w="135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96.1 %</w:t>
            </w:r>
          </w:p>
        </w:tc>
        <w:tc>
          <w:tcPr>
            <w:tcW w:type="dxa" w:w="11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3 / 22</w:t>
            </w:r>
          </w:p>
        </w:tc>
        <w:tc>
          <w:tcPr>
            <w:tcW w:type="dxa" w:w="388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0</w:t>
            </w:r>
          </w:p>
        </w:tc>
      </w:tr>
    </w:tbl>
    <w:p>
      <w:pPr>
        <w:spacing w:before="40" w:after="120"/>
        <w:jc w:val="center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Tableau 5 — Comparaison sur le test set (77 obs., 22 cas positifs). Random Forest en gras : meilleure sensibilité et F1.</w:t>
      </w:r>
    </w:p>
    <w:p>
      <w:pPr>
        <w:pStyle w:val="Heading2"/>
        <w:spacing w:before="240" w:after="80"/>
      </w:pPr>
      <w:r>
        <w:rPr>
          <w:rFonts w:ascii="Calibri" w:cs="Calibri" w:eastAsia="Calibri" w:hAnsi="Calibri"/>
          <w:b/>
          <w:bCs/>
          <w:color w:val="374151"/>
          <w:sz w:val="24"/>
          <w:szCs w:val="24"/>
        </w:rPr>
        <w:t xml:space="preserve">4.3 Matrices de confusion</w:t>
      </w:r>
    </w:p>
    <w:p>
      <w:pPr>
        <w:spacing w:before="60" w:after="60"/>
        <w:jc w:val="both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Sur 22 cas positifs dans le test set, les </w:t>
      </w: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faux négatifs (FN)</w:t>
      </w:r>
      <w:r>
        <w:rPr>
          <w:rFonts w:ascii="Calibri" w:cs="Calibri" w:eastAsia="Calibri" w:hAnsi="Calibri"/>
          <w:color w:val="111827"/>
          <w:sz w:val="22"/>
          <w:szCs w:val="22"/>
        </w:rPr>
        <w:t xml:space="preserve"> sont prioritaires médicalement.</w:t>
      </w:r>
    </w:p>
    <w:p>
      <w:pPr>
        <w:shd w:fill="F3F4F6" w:val="clear"/>
        <w:spacing w:before="120" w:after="40"/>
        <w:jc w:val="center"/>
      </w:pPr>
      <w:r>
        <w:rPr>
          <w:rFonts w:ascii="Calibri" w:cs="Calibri" w:eastAsia="Calibri" w:hAnsi="Calibri"/>
          <w:i/>
          <w:iCs/>
          <w:color w:val="9CA3AF"/>
          <w:sz w:val="20"/>
          <w:szCs w:val="20"/>
        </w:rPr>
        <w:t xml:space="preserve">[ Figure — insérer image depuis le notebook ]</w:t>
      </w:r>
    </w:p>
    <w:p>
      <w:pPr>
        <w:spacing w:before="20" w:after="120"/>
        <w:jc w:val="center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Figure 6 — Matrices de confusion des 4 modèles (insérer fig_confusion_matrices.png)</w:t>
      </w:r>
    </w:p>
    <w:p>
      <w:r>
        <w:br w:type="page"/>
      </w:r>
    </w:p>
    <w:p>
      <w:pPr>
        <w:pStyle w:val="Heading1"/>
        <w:pBdr>
          <w:bottom w:val="single" w:color="9CA3AF" w:sz="6" w:space="6"/>
        </w:pBdr>
        <w:spacing w:before="360" w:after="12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5. Conclusion</w:t>
      </w:r>
    </w:p>
    <w:p>
      <w:pPr>
        <w:pStyle w:val="Heading2"/>
        <w:spacing w:before="240" w:after="80"/>
      </w:pPr>
      <w:r>
        <w:rPr>
          <w:rFonts w:ascii="Calibri" w:cs="Calibri" w:eastAsia="Calibri" w:hAnsi="Calibri"/>
          <w:b/>
          <w:bCs/>
          <w:color w:val="374151"/>
          <w:sz w:val="24"/>
          <w:szCs w:val="24"/>
        </w:rPr>
        <w:t xml:space="preserve">5.1 Résultats</w:t>
      </w:r>
    </w:p>
    <w:p>
      <w:pPr>
        <w:spacing w:before="60" w:after="60"/>
        <w:jc w:val="both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Les quatre modèles atteignent des performances remarquables (AUC &gt; 0.99). L'accord entre méthodes de paradigmes très différents renforce la confiance : le signal prédictif est réel et robuste.</w:t>
      </w:r>
    </w:p>
    <w:p>
      <w:pPr>
        <w:spacing w:before="60" w:after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Random Forest (recommandée) : </w:t>
      </w:r>
      <w:r>
        <w:rPr>
          <w:rFonts w:ascii="Calibri" w:cs="Calibri" w:eastAsia="Calibri" w:hAnsi="Calibri"/>
          <w:color w:val="111827"/>
          <w:sz w:val="22"/>
          <w:szCs w:val="22"/>
        </w:rPr>
        <w:t xml:space="preserve">meilleure sensibilité (0.909) et seulement 2 FN sur 22 — critère décisif en contexte médical. Hyperparamètres : max_depth = 5, n_estimators = 100.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Lasso (L1) : </w:t>
      </w:r>
      <w:r>
        <w:rPr>
          <w:rFonts w:ascii="Calibri" w:cs="Calibri" w:eastAsia="Calibri" w:hAnsi="Calibri"/>
          <w:color w:val="111827"/>
          <w:sz w:val="22"/>
          <w:szCs w:val="22"/>
        </w:rPr>
        <w:t xml:space="preserve">valeur complémentaire — 8 variables sur 30 suffisent, avec Response_Structural Incomplete et Risk comme prédicteurs dominants. Coefficients directement interprétables.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SVM RBF : </w:t>
      </w:r>
      <w:r>
        <w:rPr>
          <w:rFonts w:ascii="Calibri" w:cs="Calibri" w:eastAsia="Calibri" w:hAnsi="Calibri"/>
          <w:color w:val="111827"/>
          <w:sz w:val="22"/>
          <w:szCs w:val="22"/>
        </w:rPr>
        <w:t xml:space="preserve">confirme que la frontière de décision optimale est non-linéaire.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KNN : </w:t>
      </w:r>
      <w:r>
        <w:rPr>
          <w:rFonts w:ascii="Calibri" w:cs="Calibri" w:eastAsia="Calibri" w:hAnsi="Calibri"/>
          <w:color w:val="111827"/>
          <w:sz w:val="22"/>
          <w:szCs w:val="22"/>
        </w:rPr>
        <w:t xml:space="preserve">compétitif malgré sa simplicité — valide la logique de similarité clinique.</w:t>
      </w:r>
    </w:p>
    <w:p>
      <w:pPr>
        <w:pStyle w:val="Heading2"/>
        <w:spacing w:before="240" w:after="80"/>
      </w:pPr>
      <w:r>
        <w:rPr>
          <w:rFonts w:ascii="Calibri" w:cs="Calibri" w:eastAsia="Calibri" w:hAnsi="Calibri"/>
          <w:b/>
          <w:bCs/>
          <w:color w:val="374151"/>
          <w:sz w:val="24"/>
          <w:szCs w:val="24"/>
        </w:rPr>
        <w:t xml:space="preserve">5.2 Limites et pistes d'amélioration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Taille d'échantillon : </w:t>
      </w:r>
      <w:r>
        <w:rPr>
          <w:rFonts w:ascii="Calibri" w:cs="Calibri" w:eastAsia="Calibri" w:hAnsi="Calibri"/>
          <w:color w:val="111827"/>
          <w:sz w:val="22"/>
          <w:szCs w:val="22"/>
        </w:rPr>
        <w:t xml:space="preserve">383 observations reste limité — une validation croisée externe (nested CV) fournirait une estimation plus robuste.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Déséquilibre des classes : </w:t>
      </w:r>
      <w:r>
        <w:rPr>
          <w:rFonts w:ascii="Calibri" w:cs="Calibri" w:eastAsia="Calibri" w:hAnsi="Calibri"/>
          <w:color w:val="111827"/>
          <w:sz w:val="22"/>
          <w:szCs w:val="22"/>
        </w:rPr>
        <w:t xml:space="preserve">SMOTE ou autre suréchantillonnage pourrait améliorer la sensibilité sur la classe minoritaire.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Data leakage temporel : </w:t>
      </w:r>
      <w:r>
        <w:rPr>
          <w:rFonts w:ascii="Calibri" w:cs="Calibri" w:eastAsia="Calibri" w:hAnsi="Calibri"/>
          <w:color w:val="111827"/>
          <w:sz w:val="22"/>
          <w:szCs w:val="22"/>
        </w:rPr>
        <w:t xml:space="preserve">la variable Response reflète la réponse post-chirurgicale — à vérifier qu'elle est disponible au moment de la décision clinique avant tout déploiement.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Seuil de décision : </w:t>
      </w:r>
      <w:r>
        <w:rPr>
          <w:rFonts w:ascii="Calibri" w:cs="Calibri" w:eastAsia="Calibri" w:hAnsi="Calibri"/>
          <w:color w:val="111827"/>
          <w:sz w:val="22"/>
          <w:szCs w:val="22"/>
        </w:rPr>
        <w:t xml:space="preserve">le seuil 0.5 n'est pas optimal. Le </w:t>
      </w: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critère de Youden</w:t>
      </w:r>
      <w:r>
        <w:rPr>
          <w:rFonts w:ascii="Calibri" w:cs="Calibri" w:eastAsia="Calibri" w:hAnsi="Calibri"/>
          <w:color w:val="111827"/>
          <w:sz w:val="22"/>
          <w:szCs w:val="22"/>
        </w:rPr>
        <w:t xml:space="preserve"> (J = TPR − FPR) permettrait de maximiser la sensibilité.</w:t>
      </w:r>
    </w:p>
    <w:p>
      <w:pPr>
        <w:pStyle w:val="Heading2"/>
        <w:spacing w:before="240" w:after="80"/>
      </w:pPr>
      <w:r>
        <w:rPr>
          <w:rFonts w:ascii="Calibri" w:cs="Calibri" w:eastAsia="Calibri" w:hAnsi="Calibri"/>
          <w:b/>
          <w:bCs/>
          <w:color w:val="374151"/>
          <w:sz w:val="24"/>
          <w:szCs w:val="24"/>
        </w:rPr>
        <w:t xml:space="preserve">5.3 Critères de comparaison — formules</w:t>
      </w:r>
    </w:p>
    <w:p>
      <w:pPr>
        <w:pBdr>
          <w:left w:val="single" w:color="9CA3AF" w:sz="8" w:space="8"/>
        </w:pBdr>
        <w:shd w:fill="F3F4F6" w:val="clear"/>
        <w:spacing w:before="140" w:after="140"/>
        <w:ind w:left="200" w:right="200"/>
        <w:jc w:val="center"/>
      </w:pPr>
      <w:r>
        <w:rPr>
          <w:rFonts w:ascii="Cambria Math" w:cs="Cambria Math" w:eastAsia="Cambria Math" w:hAnsi="Cambria Math"/>
          <w:color w:val="1A1A2E"/>
          <w:sz w:val="22"/>
          <w:szCs w:val="22"/>
        </w:rPr>
        <w:t xml:space="preserve">Sensibilité = TP / (TP + FN)</w:t>
      </w:r>
    </w:p>
    <w:p>
      <w:pPr>
        <w:pBdr>
          <w:left w:val="single" w:color="9CA3AF" w:sz="8" w:space="8"/>
        </w:pBdr>
        <w:shd w:fill="F3F4F6" w:val="clear"/>
        <w:spacing w:before="140" w:after="140"/>
        <w:ind w:left="200" w:right="200"/>
        <w:jc w:val="center"/>
      </w:pPr>
      <w:r>
        <w:rPr>
          <w:rFonts w:ascii="Cambria Math" w:cs="Cambria Math" w:eastAsia="Cambria Math" w:hAnsi="Cambria Math"/>
          <w:color w:val="1A1A2E"/>
          <w:sz w:val="22"/>
          <w:szCs w:val="22"/>
        </w:rPr>
        <w:t xml:space="preserve">AUC = ∫₀¹ TPR(FPR) d(FPR)</w:t>
      </w:r>
    </w:p>
    <w:p>
      <w:pPr>
        <w:pBdr>
          <w:left w:val="single" w:color="9CA3AF" w:sz="8" w:space="8"/>
        </w:pBdr>
        <w:shd w:fill="F3F4F6" w:val="clear"/>
        <w:spacing w:before="140" w:after="140"/>
        <w:ind w:left="200" w:right="200"/>
        <w:jc w:val="center"/>
      </w:pPr>
      <w:r>
        <w:rPr>
          <w:rFonts w:ascii="Cambria Math" w:cs="Cambria Math" w:eastAsia="Cambria Math" w:hAnsi="Cambria Math"/>
          <w:color w:val="1A1A2E"/>
          <w:sz w:val="22"/>
          <w:szCs w:val="22"/>
        </w:rPr>
        <w:t xml:space="preserve">F1 = 2·TP / (2·TP + FP + FN)</w:t>
      </w:r>
    </w:p>
    <w:p>
      <w:pPr>
        <w:spacing w:before="60" w:after="60"/>
        <w:jc w:val="both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où TP = vrais positifs, FP = faux positifs, FN = faux négatifs, TN = vrais négatifs.</w:t>
      </w:r>
    </w:p>
    <w:sectPr>
      <w:headerReference w:type="default" r:id="rId6"/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9CA3AF" w:sz="4" w:space="4"/>
      </w:pBdr>
      <w:tabs>
        <w:tab w:val="right" w:pos="9638"/>
      </w:tabs>
      <w:spacing w:before="80" w:after="0"/>
    </w:pPr>
    <w:r>
      <w:rPr>
        <w:rFonts w:ascii="Calibri" w:cs="Calibri" w:eastAsia="Calibri" w:hAnsi="Calibri"/>
        <w:color w:val="9CA3AF"/>
        <w:sz w:val="18"/>
        <w:szCs w:val="18"/>
      </w:rPr>
      <w:t xml:space="preserve">Statistical Learning — M1 MA</w:t>
    </w:r>
    <w:r>
      <w:rPr>
        <w:rFonts w:ascii="Calibri" w:cs="Calibri" w:eastAsia="Calibri" w:hAnsi="Calibri"/>
        <w:color w:val="111827"/>
        <w:sz w:val="18"/>
        <w:szCs w:val="18"/>
      </w:rPr>
      <w:t xml:space="preserve">	</w:t>
    </w:r>
    <w:r>
      <w:rPr>
        <w:rFonts w:ascii="Calibri" w:cs="Calibri" w:eastAsia="Calibri" w:hAnsi="Calibri"/>
        <w:color w:val="9CA3AF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9CA3AF"/>
        <w:sz w:val="18"/>
        <w:szCs w:val="18"/>
      </w:rPr>
      <w:t xml:space="preserve"> / </w:t>
    </w:r>
    <w:r>
      <w:rPr>
        <w:rFonts w:ascii="Calibri" w:cs="Calibri" w:eastAsia="Calibri" w:hAnsi="Calibri"/>
        <w:color w:val="9CA3AF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9CA3AF" w:sz="4" w:space="4"/>
      </w:pBdr>
      <w:tabs>
        <w:tab w:val="right" w:pos="9638"/>
      </w:tabs>
      <w:spacing w:before="0" w:after="80"/>
    </w:pPr>
    <w:r>
      <w:rPr>
        <w:rFonts w:ascii="Calibri" w:cs="Calibri" w:eastAsia="Calibri" w:hAnsi="Calibri"/>
        <w:color w:val="6B7280"/>
        <w:sz w:val="18"/>
        <w:szCs w:val="18"/>
      </w:rPr>
      <w:t xml:space="preserve">Thyroid Cancer Recurrence</w:t>
    </w:r>
    <w:r>
      <w:rPr>
        <w:rFonts w:ascii="Calibri" w:cs="Calibri" w:eastAsia="Calibri" w:hAnsi="Calibri"/>
        <w:color w:val="111827"/>
        <w:sz w:val="18"/>
        <w:szCs w:val="18"/>
      </w:rPr>
      <w:t xml:space="preserve">	</w:t>
    </w:r>
    <w:r>
      <w:rPr>
        <w:rFonts w:ascii="Calibri" w:cs="Calibri" w:eastAsia="Calibri" w:hAnsi="Calibri"/>
        <w:i/>
        <w:iCs/>
        <w:color w:val="9CA3AF"/>
        <w:sz w:val="18"/>
        <w:szCs w:val="18"/>
      </w:rPr>
      <w:t xml:space="preserve">Université Paris Dauphine — M1 MA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500" w:hanging="280"/>
      </w:pPr>
      <w:rPr>
        <w:rFonts w:ascii="Calibri" w:cs="Calibri" w:eastAsia="Calibri" w:hAnsi="Calibri"/>
        <w:sz w:val="22"/>
        <w:szCs w:val="22"/>
      </w:rPr>
    </w:lvl>
    <w:lvl w:ilvl="1" w15:tentative="1">
      <w:start w:val="1"/>
      <w:numFmt w:val="bullet"/>
      <w:lvlText w:val="·"/>
      <w:lvlJc w:val="left"/>
      <w:pPr>
        <w:ind w:left="900" w:hanging="280"/>
      </w:pPr>
      <w:rPr>
        <w:rFonts w:ascii="Calibri" w:cs="Calibri" w:eastAsia="Calibri" w:hAnsi="Calibri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1182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Calibri" w:cs="Calibri" w:eastAsia="Calibri" w:hAnsi="Calibri"/>
      <w:b/>
      <w:bCs/>
      <w:color w:val="1A1A2E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40" w:after="80"/>
      <w:outlineLvl w:val="1"/>
    </w:pPr>
    <w:rPr>
      <w:rFonts w:ascii="Calibri" w:cs="Calibri" w:eastAsia="Calibri" w:hAnsi="Calibri"/>
      <w:b/>
      <w:bCs/>
      <w:color w:val="374151"/>
      <w:sz w:val="24"/>
      <w:szCs w:val="24"/>
    </w:rPr>
  </w:style>
  <w:style w:type="paragraph" w:styleId="Heading3">
    <w:name w:val="Heading 3"/>
    <w:basedOn w:val="Normal"/>
    <w:next w:val="Normal"/>
    <w:qFormat/>
    <w:pPr>
      <w:spacing w:before="160" w:after="60"/>
      <w:outlineLvl w:val="2"/>
    </w:pPr>
    <w:rPr>
      <w:rFonts w:ascii="Calibri" w:cs="Calibri" w:eastAsia="Calibri" w:hAnsi="Calibri"/>
      <w:b/>
      <w:bCs/>
      <w:color w:val="6B728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2026-03-23T21:48:55.593Z</dcterms:created>
  <dcterms:modified xsi:type="dcterms:W3CDTF">2026-03-23T21:48:55.593Z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