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id w:val="-2004578691"/>
        <w:docPartObj>
          <w:docPartGallery w:val="Cover Pages"/>
          <w:docPartUnique/>
        </w:docPartObj>
      </w:sdtPr>
      <w:sdtEndPr/>
      <w:sdtContent>
        <w:p w:rsidR="0059508E" w:rsidRDefault="0059508E">
          <w:r>
            <w:rPr>
              <w:noProof/>
            </w:rPr>
            <mc:AlternateContent>
              <mc:Choice Requires="wpg">
                <w:drawing>
                  <wp:anchor distT="0" distB="0" distL="114300" distR="114300" simplePos="0" relativeHeight="251659264" behindDoc="1" locked="0" layoutInCell="1" allowOverlap="1" wp14:anchorId="15A51999" wp14:editId="79D3B5E8">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1397047661"/>
                                    <w:dataBinding w:prefixMappings="xmlns:ns0='http://purl.org/dc/elements/1.1/' xmlns:ns1='http://schemas.openxmlformats.org/package/2006/metadata/core-properties' " w:xpath="/ns1:coreProperties[1]/ns0:creator[1]" w:storeItemID="{6C3C8BC8-F283-45AE-878A-BAB7291924A1}"/>
                                    <w:text/>
                                  </w:sdtPr>
                                  <w:sdtEndPr/>
                                  <w:sdtContent>
                                    <w:p w:rsidR="0059508E" w:rsidRDefault="0059508E">
                                      <w:pPr>
                                        <w:pStyle w:val="NoSpacing"/>
                                        <w:spacing w:before="120"/>
                                        <w:jc w:val="center"/>
                                        <w:rPr>
                                          <w:color w:val="FFFFFF" w:themeColor="background1"/>
                                        </w:rPr>
                                      </w:pPr>
                                      <w:r>
                                        <w:rPr>
                                          <w:color w:val="FFFFFF" w:themeColor="background1"/>
                                        </w:rPr>
                                        <w:t>A report by</w:t>
                                      </w:r>
                                    </w:p>
                                  </w:sdtContent>
                                </w:sdt>
                                <w:p w:rsidR="0059508E" w:rsidRDefault="009B79D1">
                                  <w:pPr>
                                    <w:pStyle w:val="NoSpacing"/>
                                    <w:spacing w:before="120"/>
                                    <w:jc w:val="center"/>
                                    <w:rPr>
                                      <w:color w:val="FFFFFF" w:themeColor="background1"/>
                                    </w:rPr>
                                  </w:pPr>
                                  <w:sdt>
                                    <w:sdtPr>
                                      <w:rPr>
                                        <w:caps/>
                                        <w:color w:val="FFFFFF" w:themeColor="background1"/>
                                      </w:rPr>
                                      <w:alias w:val="Company"/>
                                      <w:tag w:val=""/>
                                      <w:id w:val="2022886592"/>
                                      <w:dataBinding w:prefixMappings="xmlns:ns0='http://schemas.openxmlformats.org/officeDocument/2006/extended-properties' " w:xpath="/ns0:Properties[1]/ns0:Company[1]" w:storeItemID="{6668398D-A668-4E3E-A5EB-62B293D839F1}"/>
                                      <w:text/>
                                    </w:sdtPr>
                                    <w:sdtEndPr/>
                                    <w:sdtContent>
                                      <w:r w:rsidR="0059508E">
                                        <w:rPr>
                                          <w:caps/>
                                          <w:color w:val="FFFFFF" w:themeColor="background1"/>
                                        </w:rPr>
                                        <w:t>David mutugi kirianja</w:t>
                                      </w:r>
                                    </w:sdtContent>
                                  </w:sdt>
                                  <w:r w:rsidR="0059508E">
                                    <w:rPr>
                                      <w:color w:val="FFFFFF" w:themeColor="background1"/>
                                    </w:rPr>
                                    <w:t>  </w:t>
                                  </w:r>
                                  <w:sdt>
                                    <w:sdtPr>
                                      <w:rPr>
                                        <w:color w:val="FFFFFF" w:themeColor="background1"/>
                                      </w:rPr>
                                      <w:alias w:val="Address"/>
                                      <w:tag w:val=""/>
                                      <w:id w:val="1524518884"/>
                                      <w:dataBinding w:prefixMappings="xmlns:ns0='http://schemas.microsoft.com/office/2006/coverPageProps' " w:xpath="/ns0:CoverPageProperties[1]/ns0:CompanyAddress[1]" w:storeItemID="{55AF091B-3C7A-41E3-B477-F2FDAA23CFDA}"/>
                                      <w:text/>
                                    </w:sdtPr>
                                    <w:sdtEndPr/>
                                    <w:sdtContent>
                                      <w:r w:rsidR="0059508E">
                                        <w:rPr>
                                          <w:color w:val="FFFFFF" w:themeColor="background1"/>
                                        </w:rPr>
                                        <w:t xml:space="preserve"> - Data Scientist</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5B9BD5" w:themeColor="accent1"/>
                                      <w:sz w:val="72"/>
                                      <w:szCs w:val="72"/>
                                    </w:rPr>
                                    <w:alias w:val="Title"/>
                                    <w:tag w:val=""/>
                                    <w:id w:val="636230739"/>
                                    <w:dataBinding w:prefixMappings="xmlns:ns0='http://purl.org/dc/elements/1.1/' xmlns:ns1='http://schemas.openxmlformats.org/package/2006/metadata/core-properties' " w:xpath="/ns1:coreProperties[1]/ns0:title[1]" w:storeItemID="{6C3C8BC8-F283-45AE-878A-BAB7291924A1}"/>
                                    <w:text/>
                                  </w:sdtPr>
                                  <w:sdtEndPr/>
                                  <w:sdtContent>
                                    <w:p w:rsidR="0059508E" w:rsidRDefault="0059508E">
                                      <w:pPr>
                                        <w:pStyle w:val="NoSpacing"/>
                                        <w:jc w:val="center"/>
                                        <w:rPr>
                                          <w:rFonts w:asciiTheme="majorHAnsi" w:eastAsiaTheme="majorEastAsia" w:hAnsiTheme="majorHAnsi" w:cstheme="majorBidi"/>
                                          <w:caps/>
                                          <w:color w:val="5B9BD5" w:themeColor="accent1"/>
                                          <w:sz w:val="72"/>
                                          <w:szCs w:val="72"/>
                                        </w:rPr>
                                      </w:pPr>
                                      <w:r>
                                        <w:rPr>
                                          <w:rFonts w:asciiTheme="majorHAnsi" w:eastAsiaTheme="majorEastAsia" w:hAnsiTheme="majorHAnsi" w:cstheme="majorBidi"/>
                                          <w:caps/>
                                          <w:color w:val="5B9BD5" w:themeColor="accent1"/>
                                          <w:sz w:val="72"/>
                                          <w:szCs w:val="72"/>
                                        </w:rPr>
                                        <w:t>MARKETS SPEAK IN REGIMES       -                                         Lessons from safaricom’s equity behaviour</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5A51999"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">
                    <v:rect id="Rectangle 194" o:spid="_x0000_s1027" style="position:absolute;width:68580;height:137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6RtcQA&#10;AADcAAAADwAAAGRycy9kb3ducmV2LnhtbERPTWvCQBC9C/0PyxR6M5tWaTW6ighCERFM68HbkJ1m&#10;02ZnQ3Ybo7/eFQq9zeN9znzZ21p01PrKsYLnJAVBXDhdcang82MznIDwAVlj7ZgUXMjDcvEwmGOm&#10;3ZkP1OWhFDGEfYYKTAhNJqUvDFn0iWuII/flWoshwraUusVzDLe1fEnTV2mx4thgsKG1oeIn/7UK&#10;tt9vo9x0q+462tPRuOPutFl7pZ4e+9UMRKA+/Iv/3O86zp+O4f5MvEA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eukbXEAAAA3AAAAA8AAAAAAAAAAAAAAAAAmAIAAGRycy9k&#10;b3ducmV2LnhtbFBLBQYAAAAABAAEAPUAAACJAwAAAAA=&#10;" fillcolor="#5b9bd5 [3204]" stroked="f" strokeweight="1pt"/>
                    <v:rect id="Rectangle 195" o:spid="_x0000_s1028" style="position:absolute;top:40943;width:68580;height:50292;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KQg8QA&#10;AADcAAAADwAAAGRycy9kb3ducmV2LnhtbERPTWvCQBC9C/0PyxS8FN0obampq4gi1CLFxly8jdlp&#10;NpidDdlV47/vFgre5vE+ZzrvbC0u1PrKsYLRMAFBXDhdcakg368HbyB8QNZYOyYFN/Iwnz30pphq&#10;d+VvumShFDGEfYoKTAhNKqUvDFn0Q9cQR+7HtRZDhG0pdYvXGG5rOU6SV2mx4thgsKGloeKUna2C&#10;LF/lRwrPk8+vw8bt8iez2447pfqP3eIdRKAu3MX/7g8d509e4O+ZeIG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HCkIPEAAAA3AAAAA8AAAAAAAAAAAAAAAAAmAIAAGRycy9k&#10;b3ducmV2LnhtbFBLBQYAAAAABAAEAPUAAACJAwAAAAA=&#10;" fillcolor="#5b9bd5 [3204]" stroked="f" strokeweight="1pt">
                      <v:textbox inset="36pt,57.6pt,36pt,36pt">
                        <w:txbxContent>
                          <w:sdt>
                            <w:sdtPr>
                              <w:rPr>
                                <w:color w:val="FFFFFF" w:themeColor="background1"/>
                              </w:rPr>
                              <w:alias w:val="Author"/>
                              <w:tag w:val=""/>
                              <w:id w:val="-1397047661"/>
                              <w:dataBinding w:prefixMappings="xmlns:ns0='http://purl.org/dc/elements/1.1/' xmlns:ns1='http://schemas.openxmlformats.org/package/2006/metadata/core-properties' " w:xpath="/ns1:coreProperties[1]/ns0:creator[1]" w:storeItemID="{6C3C8BC8-F283-45AE-878A-BAB7291924A1}"/>
                              <w:text/>
                            </w:sdtPr>
                            <w:sdtEndPr/>
                            <w:sdtContent>
                              <w:p w:rsidR="0059508E" w:rsidRDefault="0059508E">
                                <w:pPr>
                                  <w:pStyle w:val="NoSpacing"/>
                                  <w:spacing w:before="120"/>
                                  <w:jc w:val="center"/>
                                  <w:rPr>
                                    <w:color w:val="FFFFFF" w:themeColor="background1"/>
                                  </w:rPr>
                                </w:pPr>
                                <w:r>
                                  <w:rPr>
                                    <w:color w:val="FFFFFF" w:themeColor="background1"/>
                                  </w:rPr>
                                  <w:t>A report by</w:t>
                                </w:r>
                              </w:p>
                            </w:sdtContent>
                          </w:sdt>
                          <w:p w:rsidR="0059508E" w:rsidRDefault="009B79D1">
                            <w:pPr>
                              <w:pStyle w:val="NoSpacing"/>
                              <w:spacing w:before="120"/>
                              <w:jc w:val="center"/>
                              <w:rPr>
                                <w:color w:val="FFFFFF" w:themeColor="background1"/>
                              </w:rPr>
                            </w:pPr>
                            <w:sdt>
                              <w:sdtPr>
                                <w:rPr>
                                  <w:caps/>
                                  <w:color w:val="FFFFFF" w:themeColor="background1"/>
                                </w:rPr>
                                <w:alias w:val="Company"/>
                                <w:tag w:val=""/>
                                <w:id w:val="2022886592"/>
                                <w:dataBinding w:prefixMappings="xmlns:ns0='http://schemas.openxmlformats.org/officeDocument/2006/extended-properties' " w:xpath="/ns0:Properties[1]/ns0:Company[1]" w:storeItemID="{6668398D-A668-4E3E-A5EB-62B293D839F1}"/>
                                <w:text/>
                              </w:sdtPr>
                              <w:sdtEndPr/>
                              <w:sdtContent>
                                <w:r w:rsidR="0059508E">
                                  <w:rPr>
                                    <w:caps/>
                                    <w:color w:val="FFFFFF" w:themeColor="background1"/>
                                  </w:rPr>
                                  <w:t>David mutugi kirianja</w:t>
                                </w:r>
                              </w:sdtContent>
                            </w:sdt>
                            <w:r w:rsidR="0059508E">
                              <w:rPr>
                                <w:color w:val="FFFFFF" w:themeColor="background1"/>
                              </w:rPr>
                              <w:t>  </w:t>
                            </w:r>
                            <w:sdt>
                              <w:sdtPr>
                                <w:rPr>
                                  <w:color w:val="FFFFFF" w:themeColor="background1"/>
                                </w:rPr>
                                <w:alias w:val="Address"/>
                                <w:tag w:val=""/>
                                <w:id w:val="1524518884"/>
                                <w:dataBinding w:prefixMappings="xmlns:ns0='http://schemas.microsoft.com/office/2006/coverPageProps' " w:xpath="/ns0:CoverPageProperties[1]/ns0:CompanyAddress[1]" w:storeItemID="{55AF091B-3C7A-41E3-B477-F2FDAA23CFDA}"/>
                                <w:text/>
                              </w:sdtPr>
                              <w:sdtEndPr/>
                              <w:sdtContent>
                                <w:r w:rsidR="0059508E">
                                  <w:rPr>
                                    <w:color w:val="FFFFFF" w:themeColor="background1"/>
                                  </w:rPr>
                                  <w:t xml:space="preserve"> - Data Scientist</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TqsIA&#10;AADcAAAADwAAAGRycy9kb3ducmV2LnhtbERPS4vCMBC+C/6HMIIXWdO1oGs1ig/E9aguLN6GZmyL&#10;zaTbRK3/3ggL3ubje8503phS3Kh2hWUFn/0IBHFqdcGZgp/j5uMLhPPIGkvLpOBBDuazdmuKibZ3&#10;3tPt4DMRQtglqCD3vkqkdGlOBl3fVsSBO9vaoA+wzqSu8R7CTSkHUTSUBgsODTlWtMopvRyuRsF4&#10;6fdx7/cUV9s/s8bsujvGo5NS3U6zmIDw1Pi3+N/9rcP88RBez4QL5Ow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NOqwgAAANwAAAAPAAAAAAAAAAAAAAAAAJgCAABkcnMvZG93&#10;bnJldi54bWxQSwUGAAAAAAQABAD1AAAAhwMAAAAA&#10;" fillcolor="white [3212]" stroked="f" strokeweight=".5pt">
                      <v:textbox inset="36pt,7.2pt,36pt,7.2pt">
                        <w:txbxContent>
                          <w:sdt>
                            <w:sdtPr>
                              <w:rPr>
                                <w:rFonts w:asciiTheme="majorHAnsi" w:eastAsiaTheme="majorEastAsia" w:hAnsiTheme="majorHAnsi" w:cstheme="majorBidi"/>
                                <w:caps/>
                                <w:color w:val="5B9BD5" w:themeColor="accent1"/>
                                <w:sz w:val="72"/>
                                <w:szCs w:val="72"/>
                              </w:rPr>
                              <w:alias w:val="Title"/>
                              <w:tag w:val=""/>
                              <w:id w:val="636230739"/>
                              <w:dataBinding w:prefixMappings="xmlns:ns0='http://purl.org/dc/elements/1.1/' xmlns:ns1='http://schemas.openxmlformats.org/package/2006/metadata/core-properties' " w:xpath="/ns1:coreProperties[1]/ns0:title[1]" w:storeItemID="{6C3C8BC8-F283-45AE-878A-BAB7291924A1}"/>
                              <w:text/>
                            </w:sdtPr>
                            <w:sdtEndPr/>
                            <w:sdtContent>
                              <w:p w:rsidR="0059508E" w:rsidRDefault="0059508E">
                                <w:pPr>
                                  <w:pStyle w:val="NoSpacing"/>
                                  <w:jc w:val="center"/>
                                  <w:rPr>
                                    <w:rFonts w:asciiTheme="majorHAnsi" w:eastAsiaTheme="majorEastAsia" w:hAnsiTheme="majorHAnsi" w:cstheme="majorBidi"/>
                                    <w:caps/>
                                    <w:color w:val="5B9BD5" w:themeColor="accent1"/>
                                    <w:sz w:val="72"/>
                                    <w:szCs w:val="72"/>
                                  </w:rPr>
                                </w:pPr>
                                <w:r>
                                  <w:rPr>
                                    <w:rFonts w:asciiTheme="majorHAnsi" w:eastAsiaTheme="majorEastAsia" w:hAnsiTheme="majorHAnsi" w:cstheme="majorBidi"/>
                                    <w:caps/>
                                    <w:color w:val="5B9BD5" w:themeColor="accent1"/>
                                    <w:sz w:val="72"/>
                                    <w:szCs w:val="72"/>
                                  </w:rPr>
                                  <w:t>MARKETS SPEAK IN REGIMES       -                                         Lessons from safaricom’s equity behaviour</w:t>
                                </w:r>
                              </w:p>
                            </w:sdtContent>
                          </w:sdt>
                        </w:txbxContent>
                      </v:textbox>
                    </v:shape>
                    <w10:wrap anchorx="page" anchory="page"/>
                  </v:group>
                </w:pict>
              </mc:Fallback>
            </mc:AlternateContent>
          </w:r>
        </w:p>
        <w:p w:rsidR="0059508E" w:rsidRDefault="0059508E">
          <w:pPr>
            <w:rPr>
              <w:rFonts w:asciiTheme="majorHAnsi" w:eastAsiaTheme="majorEastAsia" w:hAnsiTheme="majorHAnsi" w:cstheme="majorBidi"/>
              <w:color w:val="2E74B5" w:themeColor="accent1" w:themeShade="BF"/>
              <w:sz w:val="32"/>
              <w:szCs w:val="32"/>
            </w:rPr>
          </w:pPr>
          <w:r>
            <w:br w:type="page"/>
          </w:r>
        </w:p>
      </w:sdtContent>
    </w:sdt>
    <w:sdt>
      <w:sdtPr>
        <w:rPr>
          <w:rFonts w:asciiTheme="minorHAnsi" w:eastAsiaTheme="minorHAnsi" w:hAnsiTheme="minorHAnsi" w:cstheme="minorBidi"/>
          <w:color w:val="auto"/>
          <w:sz w:val="22"/>
          <w:szCs w:val="22"/>
        </w:rPr>
        <w:id w:val="1065601676"/>
        <w:docPartObj>
          <w:docPartGallery w:val="Table of Contents"/>
          <w:docPartUnique/>
        </w:docPartObj>
      </w:sdtPr>
      <w:sdtEndPr>
        <w:rPr>
          <w:b/>
          <w:bCs/>
          <w:noProof/>
        </w:rPr>
      </w:sdtEndPr>
      <w:sdtContent>
        <w:p w:rsidR="0059508E" w:rsidRPr="0059508E" w:rsidRDefault="00697C27" w:rsidP="0059508E">
          <w:pPr>
            <w:pStyle w:val="TOCHeading"/>
          </w:pPr>
          <w:r>
            <w:t>Contents</w:t>
          </w:r>
        </w:p>
        <w:p w:rsidR="00697C27" w:rsidRDefault="00697C27">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8670771" w:history="1">
            <w:r>
              <w:rPr>
                <w:rStyle w:val="Hyperlink"/>
                <w:noProof/>
              </w:rPr>
              <w:t>Executive Summary</w:t>
            </w:r>
            <w:r>
              <w:rPr>
                <w:noProof/>
                <w:webHidden/>
              </w:rPr>
              <w:tab/>
            </w:r>
            <w:r>
              <w:rPr>
                <w:noProof/>
                <w:webHidden/>
              </w:rPr>
              <w:fldChar w:fldCharType="begin"/>
            </w:r>
            <w:r>
              <w:rPr>
                <w:noProof/>
                <w:webHidden/>
              </w:rPr>
              <w:instrText xml:space="preserve"> PAGEREF _Toc218670771 \h </w:instrText>
            </w:r>
            <w:r>
              <w:rPr>
                <w:noProof/>
                <w:webHidden/>
              </w:rPr>
            </w:r>
            <w:r>
              <w:rPr>
                <w:noProof/>
                <w:webHidden/>
              </w:rPr>
              <w:fldChar w:fldCharType="separate"/>
            </w:r>
            <w:r>
              <w:rPr>
                <w:noProof/>
                <w:webHidden/>
              </w:rPr>
              <w:t>2</w:t>
            </w:r>
            <w:r>
              <w:rPr>
                <w:noProof/>
                <w:webHidden/>
              </w:rPr>
              <w:fldChar w:fldCharType="end"/>
            </w:r>
          </w:hyperlink>
        </w:p>
        <w:p w:rsidR="00697C27" w:rsidRDefault="009B79D1">
          <w:pPr>
            <w:pStyle w:val="TOC2"/>
            <w:tabs>
              <w:tab w:val="right" w:leader="dot" w:pos="9350"/>
            </w:tabs>
            <w:rPr>
              <w:rFonts w:eastAsiaTheme="minorEastAsia"/>
              <w:noProof/>
            </w:rPr>
          </w:pPr>
          <w:hyperlink w:anchor="_Toc218670772" w:history="1">
            <w:r w:rsidR="00697C27">
              <w:rPr>
                <w:rStyle w:val="Hyperlink"/>
                <w:noProof/>
              </w:rPr>
              <w:t>Key Findings</w:t>
            </w:r>
            <w:r w:rsidR="00697C27">
              <w:rPr>
                <w:noProof/>
                <w:webHidden/>
              </w:rPr>
              <w:tab/>
            </w:r>
            <w:r w:rsidR="00697C27">
              <w:rPr>
                <w:noProof/>
                <w:webHidden/>
              </w:rPr>
              <w:fldChar w:fldCharType="begin"/>
            </w:r>
            <w:r w:rsidR="00697C27">
              <w:rPr>
                <w:noProof/>
                <w:webHidden/>
              </w:rPr>
              <w:instrText xml:space="preserve"> PAGEREF _Toc218670772 \h </w:instrText>
            </w:r>
            <w:r w:rsidR="00697C27">
              <w:rPr>
                <w:noProof/>
                <w:webHidden/>
              </w:rPr>
            </w:r>
            <w:r w:rsidR="00697C27">
              <w:rPr>
                <w:noProof/>
                <w:webHidden/>
              </w:rPr>
              <w:fldChar w:fldCharType="separate"/>
            </w:r>
            <w:r w:rsidR="00697C27">
              <w:rPr>
                <w:noProof/>
                <w:webHidden/>
              </w:rPr>
              <w:t>2</w:t>
            </w:r>
            <w:r w:rsidR="00697C27">
              <w:rPr>
                <w:noProof/>
                <w:webHidden/>
              </w:rPr>
              <w:fldChar w:fldCharType="end"/>
            </w:r>
          </w:hyperlink>
        </w:p>
        <w:p w:rsidR="00697C27" w:rsidRDefault="009B79D1">
          <w:pPr>
            <w:pStyle w:val="TOC2"/>
            <w:tabs>
              <w:tab w:val="right" w:leader="dot" w:pos="9350"/>
            </w:tabs>
            <w:rPr>
              <w:rFonts w:eastAsiaTheme="minorEastAsia"/>
              <w:noProof/>
            </w:rPr>
          </w:pPr>
          <w:hyperlink w:anchor="_Toc218670773" w:history="1">
            <w:r w:rsidR="00697C27">
              <w:rPr>
                <w:rStyle w:val="Hyperlink"/>
                <w:noProof/>
              </w:rPr>
              <w:t>Strategic Reframing of the Analysis</w:t>
            </w:r>
            <w:r w:rsidR="00697C27">
              <w:rPr>
                <w:noProof/>
                <w:webHidden/>
              </w:rPr>
              <w:tab/>
            </w:r>
            <w:r w:rsidR="00697C27">
              <w:rPr>
                <w:noProof/>
                <w:webHidden/>
              </w:rPr>
              <w:fldChar w:fldCharType="begin"/>
            </w:r>
            <w:r w:rsidR="00697C27">
              <w:rPr>
                <w:noProof/>
                <w:webHidden/>
              </w:rPr>
              <w:instrText xml:space="preserve"> PAGEREF _Toc218670773 \h </w:instrText>
            </w:r>
            <w:r w:rsidR="00697C27">
              <w:rPr>
                <w:noProof/>
                <w:webHidden/>
              </w:rPr>
            </w:r>
            <w:r w:rsidR="00697C27">
              <w:rPr>
                <w:noProof/>
                <w:webHidden/>
              </w:rPr>
              <w:fldChar w:fldCharType="separate"/>
            </w:r>
            <w:r w:rsidR="00697C27">
              <w:rPr>
                <w:noProof/>
                <w:webHidden/>
              </w:rPr>
              <w:t>4</w:t>
            </w:r>
            <w:r w:rsidR="00697C27">
              <w:rPr>
                <w:noProof/>
                <w:webHidden/>
              </w:rPr>
              <w:fldChar w:fldCharType="end"/>
            </w:r>
          </w:hyperlink>
        </w:p>
        <w:p w:rsidR="00697C27" w:rsidRDefault="009B79D1">
          <w:pPr>
            <w:pStyle w:val="TOC3"/>
            <w:tabs>
              <w:tab w:val="right" w:leader="dot" w:pos="9350"/>
            </w:tabs>
            <w:rPr>
              <w:rFonts w:eastAsiaTheme="minorEastAsia"/>
              <w:noProof/>
            </w:rPr>
          </w:pPr>
          <w:hyperlink w:anchor="_Toc218670774" w:history="1">
            <w:r w:rsidR="00697C27">
              <w:rPr>
                <w:rStyle w:val="Hyperlink"/>
                <w:noProof/>
              </w:rPr>
              <w:t>Investor Perspective</w:t>
            </w:r>
            <w:r w:rsidR="00697C27">
              <w:rPr>
                <w:noProof/>
                <w:webHidden/>
              </w:rPr>
              <w:tab/>
            </w:r>
            <w:r w:rsidR="00697C27">
              <w:rPr>
                <w:noProof/>
                <w:webHidden/>
              </w:rPr>
              <w:fldChar w:fldCharType="begin"/>
            </w:r>
            <w:r w:rsidR="00697C27">
              <w:rPr>
                <w:noProof/>
                <w:webHidden/>
              </w:rPr>
              <w:instrText xml:space="preserve"> PAGEREF _Toc218670774 \h </w:instrText>
            </w:r>
            <w:r w:rsidR="00697C27">
              <w:rPr>
                <w:noProof/>
                <w:webHidden/>
              </w:rPr>
            </w:r>
            <w:r w:rsidR="00697C27">
              <w:rPr>
                <w:noProof/>
                <w:webHidden/>
              </w:rPr>
              <w:fldChar w:fldCharType="separate"/>
            </w:r>
            <w:r w:rsidR="00697C27">
              <w:rPr>
                <w:noProof/>
                <w:webHidden/>
              </w:rPr>
              <w:t>4</w:t>
            </w:r>
            <w:r w:rsidR="00697C27">
              <w:rPr>
                <w:noProof/>
                <w:webHidden/>
              </w:rPr>
              <w:fldChar w:fldCharType="end"/>
            </w:r>
          </w:hyperlink>
        </w:p>
        <w:p w:rsidR="00697C27" w:rsidRDefault="009B79D1">
          <w:pPr>
            <w:pStyle w:val="TOC2"/>
            <w:tabs>
              <w:tab w:val="right" w:leader="dot" w:pos="9350"/>
            </w:tabs>
            <w:rPr>
              <w:rFonts w:eastAsiaTheme="minorEastAsia"/>
              <w:noProof/>
            </w:rPr>
          </w:pPr>
          <w:hyperlink w:anchor="_Toc218670775" w:history="1">
            <w:r w:rsidR="00697C27">
              <w:rPr>
                <w:rStyle w:val="Hyperlink"/>
                <w:noProof/>
              </w:rPr>
              <w:t>Scope of This Report and Forward Direction</w:t>
            </w:r>
            <w:r w:rsidR="00697C27">
              <w:rPr>
                <w:noProof/>
                <w:webHidden/>
              </w:rPr>
              <w:tab/>
            </w:r>
            <w:r w:rsidR="00697C27">
              <w:rPr>
                <w:noProof/>
                <w:webHidden/>
              </w:rPr>
              <w:fldChar w:fldCharType="begin"/>
            </w:r>
            <w:r w:rsidR="00697C27">
              <w:rPr>
                <w:noProof/>
                <w:webHidden/>
              </w:rPr>
              <w:instrText xml:space="preserve"> PAGEREF _Toc218670775 \h </w:instrText>
            </w:r>
            <w:r w:rsidR="00697C27">
              <w:rPr>
                <w:noProof/>
                <w:webHidden/>
              </w:rPr>
            </w:r>
            <w:r w:rsidR="00697C27">
              <w:rPr>
                <w:noProof/>
                <w:webHidden/>
              </w:rPr>
              <w:fldChar w:fldCharType="separate"/>
            </w:r>
            <w:r w:rsidR="00697C27">
              <w:rPr>
                <w:noProof/>
                <w:webHidden/>
              </w:rPr>
              <w:t>5</w:t>
            </w:r>
            <w:r w:rsidR="00697C27">
              <w:rPr>
                <w:noProof/>
                <w:webHidden/>
              </w:rPr>
              <w:fldChar w:fldCharType="end"/>
            </w:r>
          </w:hyperlink>
        </w:p>
        <w:p w:rsidR="00697C27" w:rsidRDefault="009B79D1">
          <w:pPr>
            <w:pStyle w:val="TOC1"/>
            <w:tabs>
              <w:tab w:val="right" w:leader="dot" w:pos="9350"/>
            </w:tabs>
            <w:rPr>
              <w:rFonts w:eastAsiaTheme="minorEastAsia"/>
              <w:noProof/>
            </w:rPr>
          </w:pPr>
          <w:hyperlink w:anchor="_Toc218670776" w:history="1">
            <w:r w:rsidR="00697C27">
              <w:rPr>
                <w:rStyle w:val="Hyperlink"/>
                <w:noProof/>
              </w:rPr>
              <w:t>KEY CONCEPTS &amp; DEFINITIONS</w:t>
            </w:r>
            <w:r w:rsidR="00697C27">
              <w:rPr>
                <w:noProof/>
                <w:webHidden/>
              </w:rPr>
              <w:tab/>
            </w:r>
            <w:r w:rsidR="00697C27">
              <w:rPr>
                <w:noProof/>
                <w:webHidden/>
              </w:rPr>
              <w:fldChar w:fldCharType="begin"/>
            </w:r>
            <w:r w:rsidR="00697C27">
              <w:rPr>
                <w:noProof/>
                <w:webHidden/>
              </w:rPr>
              <w:instrText xml:space="preserve"> PAGEREF _Toc218670776 \h </w:instrText>
            </w:r>
            <w:r w:rsidR="00697C27">
              <w:rPr>
                <w:noProof/>
                <w:webHidden/>
              </w:rPr>
            </w:r>
            <w:r w:rsidR="00697C27">
              <w:rPr>
                <w:noProof/>
                <w:webHidden/>
              </w:rPr>
              <w:fldChar w:fldCharType="separate"/>
            </w:r>
            <w:r w:rsidR="00697C27">
              <w:rPr>
                <w:noProof/>
                <w:webHidden/>
              </w:rPr>
              <w:t>5</w:t>
            </w:r>
            <w:r w:rsidR="00697C27">
              <w:rPr>
                <w:noProof/>
                <w:webHidden/>
              </w:rPr>
              <w:fldChar w:fldCharType="end"/>
            </w:r>
          </w:hyperlink>
        </w:p>
        <w:p w:rsidR="00697C27" w:rsidRDefault="009B79D1">
          <w:pPr>
            <w:pStyle w:val="TOC1"/>
            <w:tabs>
              <w:tab w:val="right" w:leader="dot" w:pos="9350"/>
            </w:tabs>
            <w:rPr>
              <w:rFonts w:eastAsiaTheme="minorEastAsia"/>
              <w:noProof/>
            </w:rPr>
          </w:pPr>
          <w:hyperlink w:anchor="_Toc218670781" w:history="1">
            <w:r w:rsidR="00697C27">
              <w:rPr>
                <w:rStyle w:val="Hyperlink"/>
                <w:noProof/>
              </w:rPr>
              <w:t>Data &amp; Scope</w:t>
            </w:r>
            <w:r w:rsidR="00697C27">
              <w:rPr>
                <w:noProof/>
                <w:webHidden/>
              </w:rPr>
              <w:tab/>
            </w:r>
            <w:r w:rsidR="00697C27">
              <w:rPr>
                <w:noProof/>
                <w:webHidden/>
              </w:rPr>
              <w:fldChar w:fldCharType="begin"/>
            </w:r>
            <w:r w:rsidR="00697C27">
              <w:rPr>
                <w:noProof/>
                <w:webHidden/>
              </w:rPr>
              <w:instrText xml:space="preserve"> PAGEREF _Toc218670781 \h </w:instrText>
            </w:r>
            <w:r w:rsidR="00697C27">
              <w:rPr>
                <w:noProof/>
                <w:webHidden/>
              </w:rPr>
            </w:r>
            <w:r w:rsidR="00697C27">
              <w:rPr>
                <w:noProof/>
                <w:webHidden/>
              </w:rPr>
              <w:fldChar w:fldCharType="separate"/>
            </w:r>
            <w:r w:rsidR="00697C27">
              <w:rPr>
                <w:noProof/>
                <w:webHidden/>
              </w:rPr>
              <w:t>7</w:t>
            </w:r>
            <w:r w:rsidR="00697C27">
              <w:rPr>
                <w:noProof/>
                <w:webHidden/>
              </w:rPr>
              <w:fldChar w:fldCharType="end"/>
            </w:r>
          </w:hyperlink>
        </w:p>
        <w:p w:rsidR="00697C27" w:rsidRDefault="009B79D1">
          <w:pPr>
            <w:pStyle w:val="TOC2"/>
            <w:tabs>
              <w:tab w:val="right" w:leader="dot" w:pos="9350"/>
            </w:tabs>
            <w:rPr>
              <w:rFonts w:eastAsiaTheme="minorEastAsia"/>
              <w:noProof/>
            </w:rPr>
          </w:pPr>
          <w:hyperlink w:anchor="_Toc218670782" w:history="1">
            <w:r w:rsidR="00697C27">
              <w:rPr>
                <w:rStyle w:val="Hyperlink"/>
                <w:noProof/>
              </w:rPr>
              <w:t>Data Description</w:t>
            </w:r>
            <w:r w:rsidR="00697C27">
              <w:rPr>
                <w:noProof/>
                <w:webHidden/>
              </w:rPr>
              <w:tab/>
            </w:r>
            <w:r w:rsidR="00697C27">
              <w:rPr>
                <w:noProof/>
                <w:webHidden/>
              </w:rPr>
              <w:fldChar w:fldCharType="begin"/>
            </w:r>
            <w:r w:rsidR="00697C27">
              <w:rPr>
                <w:noProof/>
                <w:webHidden/>
              </w:rPr>
              <w:instrText xml:space="preserve"> PAGEREF _Toc218670782 \h </w:instrText>
            </w:r>
            <w:r w:rsidR="00697C27">
              <w:rPr>
                <w:noProof/>
                <w:webHidden/>
              </w:rPr>
            </w:r>
            <w:r w:rsidR="00697C27">
              <w:rPr>
                <w:noProof/>
                <w:webHidden/>
              </w:rPr>
              <w:fldChar w:fldCharType="separate"/>
            </w:r>
            <w:r w:rsidR="00697C27">
              <w:rPr>
                <w:noProof/>
                <w:webHidden/>
              </w:rPr>
              <w:t>7</w:t>
            </w:r>
            <w:r w:rsidR="00697C27">
              <w:rPr>
                <w:noProof/>
                <w:webHidden/>
              </w:rPr>
              <w:fldChar w:fldCharType="end"/>
            </w:r>
          </w:hyperlink>
        </w:p>
        <w:p w:rsidR="00697C27" w:rsidRDefault="009B79D1">
          <w:pPr>
            <w:pStyle w:val="TOC2"/>
            <w:tabs>
              <w:tab w:val="right" w:leader="dot" w:pos="9350"/>
            </w:tabs>
            <w:rPr>
              <w:rFonts w:eastAsiaTheme="minorEastAsia"/>
              <w:noProof/>
            </w:rPr>
          </w:pPr>
          <w:hyperlink w:anchor="_Toc218670783" w:history="1">
            <w:r w:rsidR="00697C27">
              <w:rPr>
                <w:rStyle w:val="Hyperlink"/>
                <w:noProof/>
              </w:rPr>
              <w:t>Data Preparation and Transformations</w:t>
            </w:r>
            <w:r w:rsidR="00697C27">
              <w:rPr>
                <w:noProof/>
                <w:webHidden/>
              </w:rPr>
              <w:tab/>
            </w:r>
            <w:r w:rsidR="00697C27">
              <w:rPr>
                <w:noProof/>
                <w:webHidden/>
              </w:rPr>
              <w:fldChar w:fldCharType="begin"/>
            </w:r>
            <w:r w:rsidR="00697C27">
              <w:rPr>
                <w:noProof/>
                <w:webHidden/>
              </w:rPr>
              <w:instrText xml:space="preserve"> PAGEREF _Toc218670783 \h </w:instrText>
            </w:r>
            <w:r w:rsidR="00697C27">
              <w:rPr>
                <w:noProof/>
                <w:webHidden/>
              </w:rPr>
            </w:r>
            <w:r w:rsidR="00697C27">
              <w:rPr>
                <w:noProof/>
                <w:webHidden/>
              </w:rPr>
              <w:fldChar w:fldCharType="separate"/>
            </w:r>
            <w:r w:rsidR="00697C27">
              <w:rPr>
                <w:noProof/>
                <w:webHidden/>
              </w:rPr>
              <w:t>9</w:t>
            </w:r>
            <w:r w:rsidR="00697C27">
              <w:rPr>
                <w:noProof/>
                <w:webHidden/>
              </w:rPr>
              <w:fldChar w:fldCharType="end"/>
            </w:r>
          </w:hyperlink>
        </w:p>
        <w:p w:rsidR="00697C27" w:rsidRDefault="009B79D1">
          <w:pPr>
            <w:pStyle w:val="TOC2"/>
            <w:tabs>
              <w:tab w:val="right" w:leader="dot" w:pos="9350"/>
            </w:tabs>
            <w:rPr>
              <w:rFonts w:eastAsiaTheme="minorEastAsia"/>
              <w:noProof/>
            </w:rPr>
          </w:pPr>
          <w:hyperlink w:anchor="_Toc218670784" w:history="1">
            <w:r w:rsidR="00697C27">
              <w:rPr>
                <w:rStyle w:val="Hyperlink"/>
                <w:noProof/>
              </w:rPr>
              <w:t>Analytical Scope</w:t>
            </w:r>
            <w:r w:rsidR="00697C27">
              <w:rPr>
                <w:noProof/>
                <w:webHidden/>
              </w:rPr>
              <w:tab/>
            </w:r>
            <w:r w:rsidR="00697C27">
              <w:rPr>
                <w:noProof/>
                <w:webHidden/>
              </w:rPr>
              <w:fldChar w:fldCharType="begin"/>
            </w:r>
            <w:r w:rsidR="00697C27">
              <w:rPr>
                <w:noProof/>
                <w:webHidden/>
              </w:rPr>
              <w:instrText xml:space="preserve"> PAGEREF _Toc218670784 \h </w:instrText>
            </w:r>
            <w:r w:rsidR="00697C27">
              <w:rPr>
                <w:noProof/>
                <w:webHidden/>
              </w:rPr>
            </w:r>
            <w:r w:rsidR="00697C27">
              <w:rPr>
                <w:noProof/>
                <w:webHidden/>
              </w:rPr>
              <w:fldChar w:fldCharType="separate"/>
            </w:r>
            <w:r w:rsidR="00697C27">
              <w:rPr>
                <w:noProof/>
                <w:webHidden/>
              </w:rPr>
              <w:t>13</w:t>
            </w:r>
            <w:r w:rsidR="00697C27">
              <w:rPr>
                <w:noProof/>
                <w:webHidden/>
              </w:rPr>
              <w:fldChar w:fldCharType="end"/>
            </w:r>
          </w:hyperlink>
        </w:p>
        <w:p w:rsidR="00697C27" w:rsidRDefault="009B79D1">
          <w:pPr>
            <w:pStyle w:val="TOC2"/>
            <w:tabs>
              <w:tab w:val="right" w:leader="dot" w:pos="9350"/>
            </w:tabs>
            <w:rPr>
              <w:rFonts w:eastAsiaTheme="minorEastAsia"/>
              <w:noProof/>
            </w:rPr>
          </w:pPr>
          <w:hyperlink w:anchor="_Toc218670785" w:history="1">
            <w:r w:rsidR="00697C27">
              <w:rPr>
                <w:rStyle w:val="Hyperlink"/>
                <w:noProof/>
              </w:rPr>
              <w:t>Methodological Boundaries and Assumptions</w:t>
            </w:r>
            <w:r w:rsidR="00697C27">
              <w:rPr>
                <w:noProof/>
                <w:webHidden/>
              </w:rPr>
              <w:tab/>
            </w:r>
            <w:r w:rsidR="00697C27">
              <w:rPr>
                <w:noProof/>
                <w:webHidden/>
              </w:rPr>
              <w:fldChar w:fldCharType="begin"/>
            </w:r>
            <w:r w:rsidR="00697C27">
              <w:rPr>
                <w:noProof/>
                <w:webHidden/>
              </w:rPr>
              <w:instrText xml:space="preserve"> PAGEREF _Toc218670785 \h </w:instrText>
            </w:r>
            <w:r w:rsidR="00697C27">
              <w:rPr>
                <w:noProof/>
                <w:webHidden/>
              </w:rPr>
            </w:r>
            <w:r w:rsidR="00697C27">
              <w:rPr>
                <w:noProof/>
                <w:webHidden/>
              </w:rPr>
              <w:fldChar w:fldCharType="separate"/>
            </w:r>
            <w:r w:rsidR="00697C27">
              <w:rPr>
                <w:noProof/>
                <w:webHidden/>
              </w:rPr>
              <w:t>14</w:t>
            </w:r>
            <w:r w:rsidR="00697C27">
              <w:rPr>
                <w:noProof/>
                <w:webHidden/>
              </w:rPr>
              <w:fldChar w:fldCharType="end"/>
            </w:r>
          </w:hyperlink>
        </w:p>
        <w:p w:rsidR="00697C27" w:rsidRDefault="009B79D1">
          <w:pPr>
            <w:pStyle w:val="TOC2"/>
            <w:tabs>
              <w:tab w:val="right" w:leader="dot" w:pos="9350"/>
            </w:tabs>
            <w:rPr>
              <w:rFonts w:eastAsiaTheme="minorEastAsia"/>
              <w:noProof/>
            </w:rPr>
          </w:pPr>
          <w:hyperlink w:anchor="_Toc218670786" w:history="1">
            <w:r w:rsidR="00697C27">
              <w:rPr>
                <w:rStyle w:val="Hyperlink"/>
                <w:noProof/>
              </w:rPr>
              <w:t>Intended Use and Audience</w:t>
            </w:r>
            <w:r w:rsidR="00697C27">
              <w:rPr>
                <w:noProof/>
                <w:webHidden/>
              </w:rPr>
              <w:tab/>
            </w:r>
            <w:r w:rsidR="00697C27">
              <w:rPr>
                <w:noProof/>
                <w:webHidden/>
              </w:rPr>
              <w:fldChar w:fldCharType="begin"/>
            </w:r>
            <w:r w:rsidR="00697C27">
              <w:rPr>
                <w:noProof/>
                <w:webHidden/>
              </w:rPr>
              <w:instrText xml:space="preserve"> PAGEREF _Toc218670786 \h </w:instrText>
            </w:r>
            <w:r w:rsidR="00697C27">
              <w:rPr>
                <w:noProof/>
                <w:webHidden/>
              </w:rPr>
            </w:r>
            <w:r w:rsidR="00697C27">
              <w:rPr>
                <w:noProof/>
                <w:webHidden/>
              </w:rPr>
              <w:fldChar w:fldCharType="separate"/>
            </w:r>
            <w:r w:rsidR="00697C27">
              <w:rPr>
                <w:noProof/>
                <w:webHidden/>
              </w:rPr>
              <w:t>14</w:t>
            </w:r>
            <w:r w:rsidR="00697C27">
              <w:rPr>
                <w:noProof/>
                <w:webHidden/>
              </w:rPr>
              <w:fldChar w:fldCharType="end"/>
            </w:r>
          </w:hyperlink>
        </w:p>
        <w:p w:rsidR="00697C27" w:rsidRDefault="009B79D1">
          <w:pPr>
            <w:pStyle w:val="TOC2"/>
            <w:tabs>
              <w:tab w:val="right" w:leader="dot" w:pos="9350"/>
            </w:tabs>
            <w:rPr>
              <w:rFonts w:eastAsiaTheme="minorEastAsia"/>
              <w:noProof/>
            </w:rPr>
          </w:pPr>
          <w:hyperlink w:anchor="_Toc218670787" w:history="1">
            <w:r w:rsidR="00697C27">
              <w:rPr>
                <w:rStyle w:val="Hyperlink"/>
                <w:noProof/>
              </w:rPr>
              <w:t>Positioning for Subsequent Analysis</w:t>
            </w:r>
            <w:r w:rsidR="00697C27">
              <w:rPr>
                <w:noProof/>
                <w:webHidden/>
              </w:rPr>
              <w:tab/>
            </w:r>
            <w:r w:rsidR="00697C27">
              <w:rPr>
                <w:noProof/>
                <w:webHidden/>
              </w:rPr>
              <w:fldChar w:fldCharType="begin"/>
            </w:r>
            <w:r w:rsidR="00697C27">
              <w:rPr>
                <w:noProof/>
                <w:webHidden/>
              </w:rPr>
              <w:instrText xml:space="preserve"> PAGEREF _Toc218670787 \h </w:instrText>
            </w:r>
            <w:r w:rsidR="00697C27">
              <w:rPr>
                <w:noProof/>
                <w:webHidden/>
              </w:rPr>
            </w:r>
            <w:r w:rsidR="00697C27">
              <w:rPr>
                <w:noProof/>
                <w:webHidden/>
              </w:rPr>
              <w:fldChar w:fldCharType="separate"/>
            </w:r>
            <w:r w:rsidR="00697C27">
              <w:rPr>
                <w:noProof/>
                <w:webHidden/>
              </w:rPr>
              <w:t>15</w:t>
            </w:r>
            <w:r w:rsidR="00697C27">
              <w:rPr>
                <w:noProof/>
                <w:webHidden/>
              </w:rPr>
              <w:fldChar w:fldCharType="end"/>
            </w:r>
          </w:hyperlink>
        </w:p>
        <w:p w:rsidR="00697C27" w:rsidRDefault="009B79D1">
          <w:pPr>
            <w:pStyle w:val="TOC1"/>
            <w:tabs>
              <w:tab w:val="right" w:leader="dot" w:pos="9350"/>
            </w:tabs>
            <w:rPr>
              <w:rFonts w:eastAsiaTheme="minorEastAsia"/>
              <w:noProof/>
            </w:rPr>
          </w:pPr>
          <w:hyperlink w:anchor="_Toc218670788" w:history="1">
            <w:r w:rsidR="00697C27">
              <w:rPr>
                <w:rStyle w:val="Hyperlink"/>
                <w:noProof/>
              </w:rPr>
              <w:t>Market Behaviour Analysis</w:t>
            </w:r>
            <w:r w:rsidR="00697C27">
              <w:rPr>
                <w:noProof/>
                <w:webHidden/>
              </w:rPr>
              <w:tab/>
            </w:r>
            <w:r w:rsidR="00697C27">
              <w:rPr>
                <w:noProof/>
                <w:webHidden/>
              </w:rPr>
              <w:fldChar w:fldCharType="begin"/>
            </w:r>
            <w:r w:rsidR="00697C27">
              <w:rPr>
                <w:noProof/>
                <w:webHidden/>
              </w:rPr>
              <w:instrText xml:space="preserve"> PAGEREF _Toc218670788 \h </w:instrText>
            </w:r>
            <w:r w:rsidR="00697C27">
              <w:rPr>
                <w:noProof/>
                <w:webHidden/>
              </w:rPr>
            </w:r>
            <w:r w:rsidR="00697C27">
              <w:rPr>
                <w:noProof/>
                <w:webHidden/>
              </w:rPr>
              <w:fldChar w:fldCharType="separate"/>
            </w:r>
            <w:r w:rsidR="00697C27">
              <w:rPr>
                <w:noProof/>
                <w:webHidden/>
              </w:rPr>
              <w:t>15</w:t>
            </w:r>
            <w:r w:rsidR="00697C27">
              <w:rPr>
                <w:noProof/>
                <w:webHidden/>
              </w:rPr>
              <w:fldChar w:fldCharType="end"/>
            </w:r>
          </w:hyperlink>
        </w:p>
        <w:p w:rsidR="00697C27" w:rsidRDefault="009B79D1">
          <w:pPr>
            <w:pStyle w:val="TOC2"/>
            <w:tabs>
              <w:tab w:val="right" w:leader="dot" w:pos="9350"/>
            </w:tabs>
            <w:rPr>
              <w:rFonts w:eastAsiaTheme="minorEastAsia"/>
              <w:noProof/>
            </w:rPr>
          </w:pPr>
          <w:hyperlink w:anchor="_Toc218670789" w:history="1">
            <w:r w:rsidR="00697C27">
              <w:rPr>
                <w:rStyle w:val="Hyperlink"/>
                <w:noProof/>
              </w:rPr>
              <w:t>Overview: How the Safaricom Stock Behaves</w:t>
            </w:r>
            <w:r w:rsidR="00697C27">
              <w:rPr>
                <w:noProof/>
                <w:webHidden/>
              </w:rPr>
              <w:tab/>
            </w:r>
            <w:r w:rsidR="00697C27">
              <w:rPr>
                <w:noProof/>
                <w:webHidden/>
              </w:rPr>
              <w:fldChar w:fldCharType="begin"/>
            </w:r>
            <w:r w:rsidR="00697C27">
              <w:rPr>
                <w:noProof/>
                <w:webHidden/>
              </w:rPr>
              <w:instrText xml:space="preserve"> PAGEREF _Toc218670789 \h </w:instrText>
            </w:r>
            <w:r w:rsidR="00697C27">
              <w:rPr>
                <w:noProof/>
                <w:webHidden/>
              </w:rPr>
            </w:r>
            <w:r w:rsidR="00697C27">
              <w:rPr>
                <w:noProof/>
                <w:webHidden/>
              </w:rPr>
              <w:fldChar w:fldCharType="separate"/>
            </w:r>
            <w:r w:rsidR="00697C27">
              <w:rPr>
                <w:noProof/>
                <w:webHidden/>
              </w:rPr>
              <w:t>15</w:t>
            </w:r>
            <w:r w:rsidR="00697C27">
              <w:rPr>
                <w:noProof/>
                <w:webHidden/>
              </w:rPr>
              <w:fldChar w:fldCharType="end"/>
            </w:r>
          </w:hyperlink>
        </w:p>
        <w:p w:rsidR="00697C27" w:rsidRDefault="009B79D1">
          <w:pPr>
            <w:pStyle w:val="TOC3"/>
            <w:tabs>
              <w:tab w:val="right" w:leader="dot" w:pos="9350"/>
            </w:tabs>
            <w:rPr>
              <w:rFonts w:eastAsiaTheme="minorEastAsia"/>
              <w:noProof/>
            </w:rPr>
          </w:pPr>
          <w:hyperlink w:anchor="_Toc218670790" w:history="1">
            <w:r w:rsidR="00697C27">
              <w:rPr>
                <w:rStyle w:val="Hyperlink"/>
                <w:noProof/>
              </w:rPr>
              <w:t>Price Dynamics: Trend Formation without Trend Persistence</w:t>
            </w:r>
            <w:r w:rsidR="00697C27">
              <w:rPr>
                <w:noProof/>
                <w:webHidden/>
              </w:rPr>
              <w:tab/>
            </w:r>
            <w:r w:rsidR="00697C27">
              <w:rPr>
                <w:noProof/>
                <w:webHidden/>
              </w:rPr>
              <w:fldChar w:fldCharType="begin"/>
            </w:r>
            <w:r w:rsidR="00697C27">
              <w:rPr>
                <w:noProof/>
                <w:webHidden/>
              </w:rPr>
              <w:instrText xml:space="preserve"> PAGEREF _Toc218670790 \h </w:instrText>
            </w:r>
            <w:r w:rsidR="00697C27">
              <w:rPr>
                <w:noProof/>
                <w:webHidden/>
              </w:rPr>
            </w:r>
            <w:r w:rsidR="00697C27">
              <w:rPr>
                <w:noProof/>
                <w:webHidden/>
              </w:rPr>
              <w:fldChar w:fldCharType="separate"/>
            </w:r>
            <w:r w:rsidR="00697C27">
              <w:rPr>
                <w:noProof/>
                <w:webHidden/>
              </w:rPr>
              <w:t>16</w:t>
            </w:r>
            <w:r w:rsidR="00697C27">
              <w:rPr>
                <w:noProof/>
                <w:webHidden/>
              </w:rPr>
              <w:fldChar w:fldCharType="end"/>
            </w:r>
          </w:hyperlink>
        </w:p>
        <w:p w:rsidR="00697C27" w:rsidRDefault="009B79D1">
          <w:pPr>
            <w:pStyle w:val="TOC3"/>
            <w:tabs>
              <w:tab w:val="right" w:leader="dot" w:pos="9350"/>
            </w:tabs>
            <w:rPr>
              <w:rFonts w:eastAsiaTheme="minorEastAsia"/>
              <w:noProof/>
            </w:rPr>
          </w:pPr>
          <w:hyperlink w:anchor="_Toc218670791" w:history="1">
            <w:r w:rsidR="00697C27">
              <w:rPr>
                <w:rStyle w:val="Hyperlink"/>
                <w:noProof/>
              </w:rPr>
              <w:t>Decomposition Insight: Trend as Regime Accumulation</w:t>
            </w:r>
            <w:r w:rsidR="00697C27">
              <w:rPr>
                <w:noProof/>
                <w:webHidden/>
              </w:rPr>
              <w:tab/>
            </w:r>
            <w:r w:rsidR="00697C27">
              <w:rPr>
                <w:noProof/>
                <w:webHidden/>
              </w:rPr>
              <w:fldChar w:fldCharType="begin"/>
            </w:r>
            <w:r w:rsidR="00697C27">
              <w:rPr>
                <w:noProof/>
                <w:webHidden/>
              </w:rPr>
              <w:instrText xml:space="preserve"> PAGEREF _Toc218670791 \h </w:instrText>
            </w:r>
            <w:r w:rsidR="00697C27">
              <w:rPr>
                <w:noProof/>
                <w:webHidden/>
              </w:rPr>
            </w:r>
            <w:r w:rsidR="00697C27">
              <w:rPr>
                <w:noProof/>
                <w:webHidden/>
              </w:rPr>
              <w:fldChar w:fldCharType="separate"/>
            </w:r>
            <w:r w:rsidR="00697C27">
              <w:rPr>
                <w:noProof/>
                <w:webHidden/>
              </w:rPr>
              <w:t>16</w:t>
            </w:r>
            <w:r w:rsidR="00697C27">
              <w:rPr>
                <w:noProof/>
                <w:webHidden/>
              </w:rPr>
              <w:fldChar w:fldCharType="end"/>
            </w:r>
          </w:hyperlink>
        </w:p>
        <w:p w:rsidR="00697C27" w:rsidRDefault="009B79D1">
          <w:pPr>
            <w:pStyle w:val="TOC3"/>
            <w:tabs>
              <w:tab w:val="right" w:leader="dot" w:pos="9350"/>
            </w:tabs>
            <w:rPr>
              <w:rFonts w:eastAsiaTheme="minorEastAsia"/>
              <w:noProof/>
            </w:rPr>
          </w:pPr>
          <w:hyperlink w:anchor="_Toc218670792" w:history="1">
            <w:r w:rsidR="00697C27">
              <w:rPr>
                <w:rStyle w:val="Hyperlink"/>
                <w:noProof/>
              </w:rPr>
              <w:t>Return Behaviour: Noise Dominance and Mean Reversion</w:t>
            </w:r>
            <w:r w:rsidR="00697C27">
              <w:rPr>
                <w:noProof/>
                <w:webHidden/>
              </w:rPr>
              <w:tab/>
            </w:r>
            <w:r w:rsidR="00697C27">
              <w:rPr>
                <w:noProof/>
                <w:webHidden/>
              </w:rPr>
              <w:fldChar w:fldCharType="begin"/>
            </w:r>
            <w:r w:rsidR="00697C27">
              <w:rPr>
                <w:noProof/>
                <w:webHidden/>
              </w:rPr>
              <w:instrText xml:space="preserve"> PAGEREF _Toc218670792 \h </w:instrText>
            </w:r>
            <w:r w:rsidR="00697C27">
              <w:rPr>
                <w:noProof/>
                <w:webHidden/>
              </w:rPr>
            </w:r>
            <w:r w:rsidR="00697C27">
              <w:rPr>
                <w:noProof/>
                <w:webHidden/>
              </w:rPr>
              <w:fldChar w:fldCharType="separate"/>
            </w:r>
            <w:r w:rsidR="00697C27">
              <w:rPr>
                <w:noProof/>
                <w:webHidden/>
              </w:rPr>
              <w:t>17</w:t>
            </w:r>
            <w:r w:rsidR="00697C27">
              <w:rPr>
                <w:noProof/>
                <w:webHidden/>
              </w:rPr>
              <w:fldChar w:fldCharType="end"/>
            </w:r>
          </w:hyperlink>
        </w:p>
        <w:p w:rsidR="00697C27" w:rsidRDefault="009B79D1">
          <w:pPr>
            <w:pStyle w:val="TOC3"/>
            <w:tabs>
              <w:tab w:val="right" w:leader="dot" w:pos="9350"/>
            </w:tabs>
            <w:rPr>
              <w:rFonts w:eastAsiaTheme="minorEastAsia"/>
              <w:noProof/>
            </w:rPr>
          </w:pPr>
          <w:hyperlink w:anchor="_Toc218670793" w:history="1">
            <w:r w:rsidR="00697C27">
              <w:rPr>
                <w:rStyle w:val="Hyperlink"/>
                <w:noProof/>
              </w:rPr>
              <w:t>Volatility Clustering: Persistence of Risk</w:t>
            </w:r>
            <w:r w:rsidR="00697C27">
              <w:rPr>
                <w:noProof/>
                <w:webHidden/>
              </w:rPr>
              <w:tab/>
            </w:r>
            <w:r w:rsidR="00697C27">
              <w:rPr>
                <w:noProof/>
                <w:webHidden/>
              </w:rPr>
              <w:fldChar w:fldCharType="begin"/>
            </w:r>
            <w:r w:rsidR="00697C27">
              <w:rPr>
                <w:noProof/>
                <w:webHidden/>
              </w:rPr>
              <w:instrText xml:space="preserve"> PAGEREF _Toc218670793 \h </w:instrText>
            </w:r>
            <w:r w:rsidR="00697C27">
              <w:rPr>
                <w:noProof/>
                <w:webHidden/>
              </w:rPr>
            </w:r>
            <w:r w:rsidR="00697C27">
              <w:rPr>
                <w:noProof/>
                <w:webHidden/>
              </w:rPr>
              <w:fldChar w:fldCharType="separate"/>
            </w:r>
            <w:r w:rsidR="00697C27">
              <w:rPr>
                <w:noProof/>
                <w:webHidden/>
              </w:rPr>
              <w:t>18</w:t>
            </w:r>
            <w:r w:rsidR="00697C27">
              <w:rPr>
                <w:noProof/>
                <w:webHidden/>
              </w:rPr>
              <w:fldChar w:fldCharType="end"/>
            </w:r>
          </w:hyperlink>
        </w:p>
        <w:p w:rsidR="00697C27" w:rsidRDefault="009B79D1">
          <w:pPr>
            <w:pStyle w:val="TOC3"/>
            <w:tabs>
              <w:tab w:val="right" w:leader="dot" w:pos="9350"/>
            </w:tabs>
            <w:rPr>
              <w:rFonts w:eastAsiaTheme="minorEastAsia"/>
              <w:noProof/>
            </w:rPr>
          </w:pPr>
          <w:hyperlink w:anchor="_Toc218670794" w:history="1">
            <w:r w:rsidR="00697C27">
              <w:rPr>
                <w:rStyle w:val="Hyperlink"/>
                <w:noProof/>
              </w:rPr>
              <w:t>Memory Effects: Evidence of Volatility Regimes</w:t>
            </w:r>
            <w:r w:rsidR="00697C27">
              <w:rPr>
                <w:noProof/>
                <w:webHidden/>
              </w:rPr>
              <w:tab/>
            </w:r>
            <w:r w:rsidR="00697C27">
              <w:rPr>
                <w:noProof/>
                <w:webHidden/>
              </w:rPr>
              <w:fldChar w:fldCharType="begin"/>
            </w:r>
            <w:r w:rsidR="00697C27">
              <w:rPr>
                <w:noProof/>
                <w:webHidden/>
              </w:rPr>
              <w:instrText xml:space="preserve"> PAGEREF _Toc218670794 \h </w:instrText>
            </w:r>
            <w:r w:rsidR="00697C27">
              <w:rPr>
                <w:noProof/>
                <w:webHidden/>
              </w:rPr>
            </w:r>
            <w:r w:rsidR="00697C27">
              <w:rPr>
                <w:noProof/>
                <w:webHidden/>
              </w:rPr>
              <w:fldChar w:fldCharType="separate"/>
            </w:r>
            <w:r w:rsidR="00697C27">
              <w:rPr>
                <w:noProof/>
                <w:webHidden/>
              </w:rPr>
              <w:t>19</w:t>
            </w:r>
            <w:r w:rsidR="00697C27">
              <w:rPr>
                <w:noProof/>
                <w:webHidden/>
              </w:rPr>
              <w:fldChar w:fldCharType="end"/>
            </w:r>
          </w:hyperlink>
        </w:p>
        <w:p w:rsidR="00697C27" w:rsidRDefault="009B79D1">
          <w:pPr>
            <w:pStyle w:val="TOC3"/>
            <w:tabs>
              <w:tab w:val="right" w:leader="dot" w:pos="9350"/>
            </w:tabs>
            <w:rPr>
              <w:rFonts w:eastAsiaTheme="minorEastAsia"/>
              <w:noProof/>
            </w:rPr>
          </w:pPr>
          <w:hyperlink w:anchor="_Toc218670795" w:history="1">
            <w:r w:rsidR="00697C27">
              <w:rPr>
                <w:rStyle w:val="Hyperlink"/>
                <w:noProof/>
              </w:rPr>
              <w:t>Implications for Modeling and Strategy</w:t>
            </w:r>
            <w:r w:rsidR="00697C27">
              <w:rPr>
                <w:noProof/>
                <w:webHidden/>
              </w:rPr>
              <w:tab/>
            </w:r>
            <w:r w:rsidR="00697C27">
              <w:rPr>
                <w:noProof/>
                <w:webHidden/>
              </w:rPr>
              <w:fldChar w:fldCharType="begin"/>
            </w:r>
            <w:r w:rsidR="00697C27">
              <w:rPr>
                <w:noProof/>
                <w:webHidden/>
              </w:rPr>
              <w:instrText xml:space="preserve"> PAGEREF _Toc218670795 \h </w:instrText>
            </w:r>
            <w:r w:rsidR="00697C27">
              <w:rPr>
                <w:noProof/>
                <w:webHidden/>
              </w:rPr>
            </w:r>
            <w:r w:rsidR="00697C27">
              <w:rPr>
                <w:noProof/>
                <w:webHidden/>
              </w:rPr>
              <w:fldChar w:fldCharType="separate"/>
            </w:r>
            <w:r w:rsidR="00697C27">
              <w:rPr>
                <w:noProof/>
                <w:webHidden/>
              </w:rPr>
              <w:t>20</w:t>
            </w:r>
            <w:r w:rsidR="00697C27">
              <w:rPr>
                <w:noProof/>
                <w:webHidden/>
              </w:rPr>
              <w:fldChar w:fldCharType="end"/>
            </w:r>
          </w:hyperlink>
        </w:p>
        <w:p w:rsidR="00697C27" w:rsidRDefault="009B79D1">
          <w:pPr>
            <w:pStyle w:val="TOC1"/>
            <w:tabs>
              <w:tab w:val="right" w:leader="dot" w:pos="9350"/>
            </w:tabs>
            <w:rPr>
              <w:rFonts w:eastAsiaTheme="minorEastAsia"/>
              <w:noProof/>
            </w:rPr>
          </w:pPr>
          <w:hyperlink w:anchor="_Toc218670796" w:history="1">
            <w:r w:rsidR="00697C27">
              <w:rPr>
                <w:rStyle w:val="Hyperlink"/>
                <w:noProof/>
              </w:rPr>
              <w:t>STRUCTURAL BREAKS &amp; REGIMES</w:t>
            </w:r>
            <w:r w:rsidR="00697C27">
              <w:rPr>
                <w:noProof/>
                <w:webHidden/>
              </w:rPr>
              <w:tab/>
            </w:r>
            <w:r w:rsidR="00697C27">
              <w:rPr>
                <w:noProof/>
                <w:webHidden/>
              </w:rPr>
              <w:fldChar w:fldCharType="begin"/>
            </w:r>
            <w:r w:rsidR="00697C27">
              <w:rPr>
                <w:noProof/>
                <w:webHidden/>
              </w:rPr>
              <w:instrText xml:space="preserve"> PAGEREF _Toc218670796 \h </w:instrText>
            </w:r>
            <w:r w:rsidR="00697C27">
              <w:rPr>
                <w:noProof/>
                <w:webHidden/>
              </w:rPr>
            </w:r>
            <w:r w:rsidR="00697C27">
              <w:rPr>
                <w:noProof/>
                <w:webHidden/>
              </w:rPr>
              <w:fldChar w:fldCharType="separate"/>
            </w:r>
            <w:r w:rsidR="00697C27">
              <w:rPr>
                <w:noProof/>
                <w:webHidden/>
              </w:rPr>
              <w:t>20</w:t>
            </w:r>
            <w:r w:rsidR="00697C27">
              <w:rPr>
                <w:noProof/>
                <w:webHidden/>
              </w:rPr>
              <w:fldChar w:fldCharType="end"/>
            </w:r>
          </w:hyperlink>
        </w:p>
        <w:p w:rsidR="00697C27" w:rsidRDefault="009B79D1" w:rsidP="00697C27">
          <w:pPr>
            <w:pStyle w:val="TOC2"/>
            <w:tabs>
              <w:tab w:val="right" w:leader="dot" w:pos="9350"/>
            </w:tabs>
            <w:rPr>
              <w:rFonts w:eastAsiaTheme="minorEastAsia"/>
              <w:noProof/>
            </w:rPr>
          </w:pPr>
          <w:hyperlink w:anchor="_Toc218670797" w:history="1">
            <w:r w:rsidR="00697C27">
              <w:rPr>
                <w:rStyle w:val="Hyperlink"/>
                <w:noProof/>
              </w:rPr>
              <w:t>Structural Break Analysis</w:t>
            </w:r>
            <w:r w:rsidR="00697C27">
              <w:rPr>
                <w:noProof/>
                <w:webHidden/>
              </w:rPr>
              <w:tab/>
            </w:r>
            <w:r w:rsidR="00697C27">
              <w:rPr>
                <w:noProof/>
                <w:webHidden/>
              </w:rPr>
              <w:fldChar w:fldCharType="begin"/>
            </w:r>
            <w:r w:rsidR="00697C27">
              <w:rPr>
                <w:noProof/>
                <w:webHidden/>
              </w:rPr>
              <w:instrText xml:space="preserve"> PAGEREF _Toc218670797 \h </w:instrText>
            </w:r>
            <w:r w:rsidR="00697C27">
              <w:rPr>
                <w:noProof/>
                <w:webHidden/>
              </w:rPr>
            </w:r>
            <w:r w:rsidR="00697C27">
              <w:rPr>
                <w:noProof/>
                <w:webHidden/>
              </w:rPr>
              <w:fldChar w:fldCharType="separate"/>
            </w:r>
            <w:r w:rsidR="00697C27">
              <w:rPr>
                <w:noProof/>
                <w:webHidden/>
              </w:rPr>
              <w:t>20</w:t>
            </w:r>
            <w:r w:rsidR="00697C27">
              <w:rPr>
                <w:noProof/>
                <w:webHidden/>
              </w:rPr>
              <w:fldChar w:fldCharType="end"/>
            </w:r>
          </w:hyperlink>
        </w:p>
        <w:p w:rsidR="00697C27" w:rsidRDefault="009B79D1">
          <w:pPr>
            <w:pStyle w:val="TOC3"/>
            <w:tabs>
              <w:tab w:val="right" w:leader="dot" w:pos="9350"/>
            </w:tabs>
            <w:rPr>
              <w:rFonts w:eastAsiaTheme="minorEastAsia"/>
              <w:noProof/>
            </w:rPr>
          </w:pPr>
          <w:hyperlink w:anchor="_Toc218670801" w:history="1">
            <w:r w:rsidR="00697C27">
              <w:rPr>
                <w:rStyle w:val="Hyperlink"/>
                <w:noProof/>
              </w:rPr>
              <w:t>Structural Breaks: What They Tell Us — and What They Do Not</w:t>
            </w:r>
            <w:r w:rsidR="00697C27">
              <w:rPr>
                <w:noProof/>
                <w:webHidden/>
              </w:rPr>
              <w:tab/>
            </w:r>
            <w:r w:rsidR="00697C27">
              <w:rPr>
                <w:noProof/>
                <w:webHidden/>
              </w:rPr>
              <w:fldChar w:fldCharType="begin"/>
            </w:r>
            <w:r w:rsidR="00697C27">
              <w:rPr>
                <w:noProof/>
                <w:webHidden/>
              </w:rPr>
              <w:instrText xml:space="preserve"> PAGEREF _Toc218670801 \h </w:instrText>
            </w:r>
            <w:r w:rsidR="00697C27">
              <w:rPr>
                <w:noProof/>
                <w:webHidden/>
              </w:rPr>
            </w:r>
            <w:r w:rsidR="00697C27">
              <w:rPr>
                <w:noProof/>
                <w:webHidden/>
              </w:rPr>
              <w:fldChar w:fldCharType="separate"/>
            </w:r>
            <w:r w:rsidR="00697C27">
              <w:rPr>
                <w:noProof/>
                <w:webHidden/>
              </w:rPr>
              <w:t>24</w:t>
            </w:r>
            <w:r w:rsidR="00697C27">
              <w:rPr>
                <w:noProof/>
                <w:webHidden/>
              </w:rPr>
              <w:fldChar w:fldCharType="end"/>
            </w:r>
          </w:hyperlink>
        </w:p>
        <w:p w:rsidR="00697C27" w:rsidRDefault="009B79D1">
          <w:pPr>
            <w:pStyle w:val="TOC2"/>
            <w:tabs>
              <w:tab w:val="right" w:leader="dot" w:pos="9350"/>
            </w:tabs>
            <w:rPr>
              <w:rFonts w:eastAsiaTheme="minorEastAsia"/>
              <w:noProof/>
            </w:rPr>
          </w:pPr>
          <w:hyperlink w:anchor="_Toc218670802" w:history="1">
            <w:r w:rsidR="00697C27">
              <w:rPr>
                <w:rStyle w:val="Hyperlink"/>
                <w:noProof/>
              </w:rPr>
              <w:t>Regime Analysis</w:t>
            </w:r>
            <w:r w:rsidR="00697C27">
              <w:rPr>
                <w:noProof/>
                <w:webHidden/>
              </w:rPr>
              <w:tab/>
            </w:r>
            <w:r w:rsidR="00697C27">
              <w:rPr>
                <w:noProof/>
                <w:webHidden/>
              </w:rPr>
              <w:fldChar w:fldCharType="begin"/>
            </w:r>
            <w:r w:rsidR="00697C27">
              <w:rPr>
                <w:noProof/>
                <w:webHidden/>
              </w:rPr>
              <w:instrText xml:space="preserve"> PAGEREF _Toc218670802 \h </w:instrText>
            </w:r>
            <w:r w:rsidR="00697C27">
              <w:rPr>
                <w:noProof/>
                <w:webHidden/>
              </w:rPr>
            </w:r>
            <w:r w:rsidR="00697C27">
              <w:rPr>
                <w:noProof/>
                <w:webHidden/>
              </w:rPr>
              <w:fldChar w:fldCharType="separate"/>
            </w:r>
            <w:r w:rsidR="00697C27">
              <w:rPr>
                <w:noProof/>
                <w:webHidden/>
              </w:rPr>
              <w:t>25</w:t>
            </w:r>
            <w:r w:rsidR="00697C27">
              <w:rPr>
                <w:noProof/>
                <w:webHidden/>
              </w:rPr>
              <w:fldChar w:fldCharType="end"/>
            </w:r>
          </w:hyperlink>
        </w:p>
        <w:p w:rsidR="00697C27" w:rsidRDefault="009B79D1">
          <w:pPr>
            <w:pStyle w:val="TOC3"/>
            <w:tabs>
              <w:tab w:val="right" w:leader="dot" w:pos="9350"/>
            </w:tabs>
            <w:rPr>
              <w:rFonts w:eastAsiaTheme="minorEastAsia"/>
              <w:noProof/>
            </w:rPr>
          </w:pPr>
          <w:hyperlink w:anchor="_Toc218670803" w:history="1">
            <w:r w:rsidR="00697C27">
              <w:rPr>
                <w:rStyle w:val="Hyperlink"/>
                <w:noProof/>
              </w:rPr>
              <w:t>Regime Analysis: Understanding Market Behaviour between Breaks</w:t>
            </w:r>
            <w:r w:rsidR="00697C27">
              <w:rPr>
                <w:noProof/>
                <w:webHidden/>
              </w:rPr>
              <w:tab/>
            </w:r>
            <w:r w:rsidR="00697C27">
              <w:rPr>
                <w:noProof/>
                <w:webHidden/>
              </w:rPr>
              <w:fldChar w:fldCharType="begin"/>
            </w:r>
            <w:r w:rsidR="00697C27">
              <w:rPr>
                <w:noProof/>
                <w:webHidden/>
              </w:rPr>
              <w:instrText xml:space="preserve"> PAGEREF _Toc218670803 \h </w:instrText>
            </w:r>
            <w:r w:rsidR="00697C27">
              <w:rPr>
                <w:noProof/>
                <w:webHidden/>
              </w:rPr>
            </w:r>
            <w:r w:rsidR="00697C27">
              <w:rPr>
                <w:noProof/>
                <w:webHidden/>
              </w:rPr>
              <w:fldChar w:fldCharType="separate"/>
            </w:r>
            <w:r w:rsidR="00697C27">
              <w:rPr>
                <w:noProof/>
                <w:webHidden/>
              </w:rPr>
              <w:t>25</w:t>
            </w:r>
            <w:r w:rsidR="00697C27">
              <w:rPr>
                <w:noProof/>
                <w:webHidden/>
              </w:rPr>
              <w:fldChar w:fldCharType="end"/>
            </w:r>
          </w:hyperlink>
        </w:p>
        <w:p w:rsidR="00697C27" w:rsidRDefault="009B79D1">
          <w:pPr>
            <w:pStyle w:val="TOC3"/>
            <w:tabs>
              <w:tab w:val="right" w:leader="dot" w:pos="9350"/>
            </w:tabs>
            <w:rPr>
              <w:rFonts w:eastAsiaTheme="minorEastAsia"/>
              <w:noProof/>
            </w:rPr>
          </w:pPr>
          <w:hyperlink w:anchor="_Toc218670804" w:history="1">
            <w:r w:rsidR="00697C27">
              <w:rPr>
                <w:rStyle w:val="Hyperlink"/>
                <w:noProof/>
              </w:rPr>
              <w:t>Regime Analysis — Summary Interpretation</w:t>
            </w:r>
            <w:r w:rsidR="00697C27">
              <w:rPr>
                <w:noProof/>
                <w:webHidden/>
              </w:rPr>
              <w:tab/>
            </w:r>
            <w:r w:rsidR="00697C27">
              <w:rPr>
                <w:noProof/>
                <w:webHidden/>
              </w:rPr>
              <w:fldChar w:fldCharType="begin"/>
            </w:r>
            <w:r w:rsidR="00697C27">
              <w:rPr>
                <w:noProof/>
                <w:webHidden/>
              </w:rPr>
              <w:instrText xml:space="preserve"> PAGEREF _Toc218670804 \h </w:instrText>
            </w:r>
            <w:r w:rsidR="00697C27">
              <w:rPr>
                <w:noProof/>
                <w:webHidden/>
              </w:rPr>
            </w:r>
            <w:r w:rsidR="00697C27">
              <w:rPr>
                <w:noProof/>
                <w:webHidden/>
              </w:rPr>
              <w:fldChar w:fldCharType="separate"/>
            </w:r>
            <w:r w:rsidR="00697C27">
              <w:rPr>
                <w:noProof/>
                <w:webHidden/>
              </w:rPr>
              <w:t>26</w:t>
            </w:r>
            <w:r w:rsidR="00697C27">
              <w:rPr>
                <w:noProof/>
                <w:webHidden/>
              </w:rPr>
              <w:fldChar w:fldCharType="end"/>
            </w:r>
          </w:hyperlink>
        </w:p>
        <w:p w:rsidR="00697C27" w:rsidRDefault="009B79D1">
          <w:pPr>
            <w:pStyle w:val="TOC1"/>
            <w:tabs>
              <w:tab w:val="right" w:leader="dot" w:pos="9350"/>
            </w:tabs>
            <w:rPr>
              <w:rFonts w:eastAsiaTheme="minorEastAsia"/>
              <w:noProof/>
            </w:rPr>
          </w:pPr>
          <w:hyperlink w:anchor="_Toc218670805" w:history="1">
            <w:r w:rsidR="00697C27">
              <w:rPr>
                <w:rStyle w:val="Hyperlink"/>
                <w:noProof/>
              </w:rPr>
              <w:t>IMPLICATIONS FOR RISK &amp; OPPORTUNITY</w:t>
            </w:r>
            <w:r w:rsidR="00697C27">
              <w:rPr>
                <w:noProof/>
                <w:webHidden/>
              </w:rPr>
              <w:tab/>
            </w:r>
            <w:r w:rsidR="00697C27">
              <w:rPr>
                <w:noProof/>
                <w:webHidden/>
              </w:rPr>
              <w:fldChar w:fldCharType="begin"/>
            </w:r>
            <w:r w:rsidR="00697C27">
              <w:rPr>
                <w:noProof/>
                <w:webHidden/>
              </w:rPr>
              <w:instrText xml:space="preserve"> PAGEREF _Toc218670805 \h </w:instrText>
            </w:r>
            <w:r w:rsidR="00697C27">
              <w:rPr>
                <w:noProof/>
                <w:webHidden/>
              </w:rPr>
            </w:r>
            <w:r w:rsidR="00697C27">
              <w:rPr>
                <w:noProof/>
                <w:webHidden/>
              </w:rPr>
              <w:fldChar w:fldCharType="separate"/>
            </w:r>
            <w:r w:rsidR="00697C27">
              <w:rPr>
                <w:noProof/>
                <w:webHidden/>
              </w:rPr>
              <w:t>27</w:t>
            </w:r>
            <w:r w:rsidR="00697C27">
              <w:rPr>
                <w:noProof/>
                <w:webHidden/>
              </w:rPr>
              <w:fldChar w:fldCharType="end"/>
            </w:r>
          </w:hyperlink>
        </w:p>
        <w:p w:rsidR="00697C27" w:rsidRDefault="009B79D1">
          <w:pPr>
            <w:pStyle w:val="TOC2"/>
            <w:tabs>
              <w:tab w:val="right" w:leader="dot" w:pos="9350"/>
            </w:tabs>
            <w:rPr>
              <w:rFonts w:eastAsiaTheme="minorEastAsia"/>
              <w:noProof/>
            </w:rPr>
          </w:pPr>
          <w:hyperlink w:anchor="_Toc218670806" w:history="1">
            <w:r w:rsidR="00697C27">
              <w:rPr>
                <w:rStyle w:val="Hyperlink"/>
                <w:noProof/>
              </w:rPr>
              <w:t>Translating Market Behaviour into Investment Insight</w:t>
            </w:r>
            <w:r w:rsidR="00697C27">
              <w:rPr>
                <w:noProof/>
                <w:webHidden/>
              </w:rPr>
              <w:tab/>
            </w:r>
            <w:r w:rsidR="00697C27">
              <w:rPr>
                <w:noProof/>
                <w:webHidden/>
              </w:rPr>
              <w:fldChar w:fldCharType="begin"/>
            </w:r>
            <w:r w:rsidR="00697C27">
              <w:rPr>
                <w:noProof/>
                <w:webHidden/>
              </w:rPr>
              <w:instrText xml:space="preserve"> PAGEREF _Toc218670806 \h </w:instrText>
            </w:r>
            <w:r w:rsidR="00697C27">
              <w:rPr>
                <w:noProof/>
                <w:webHidden/>
              </w:rPr>
            </w:r>
            <w:r w:rsidR="00697C27">
              <w:rPr>
                <w:noProof/>
                <w:webHidden/>
              </w:rPr>
              <w:fldChar w:fldCharType="separate"/>
            </w:r>
            <w:r w:rsidR="00697C27">
              <w:rPr>
                <w:noProof/>
                <w:webHidden/>
              </w:rPr>
              <w:t>27</w:t>
            </w:r>
            <w:r w:rsidR="00697C27">
              <w:rPr>
                <w:noProof/>
                <w:webHidden/>
              </w:rPr>
              <w:fldChar w:fldCharType="end"/>
            </w:r>
          </w:hyperlink>
        </w:p>
        <w:p w:rsidR="00697C27" w:rsidRDefault="009B79D1">
          <w:pPr>
            <w:pStyle w:val="TOC3"/>
            <w:tabs>
              <w:tab w:val="right" w:leader="dot" w:pos="9350"/>
            </w:tabs>
            <w:rPr>
              <w:rFonts w:eastAsiaTheme="minorEastAsia"/>
              <w:noProof/>
            </w:rPr>
          </w:pPr>
          <w:hyperlink w:anchor="_Toc218670807" w:history="1">
            <w:r w:rsidR="00697C27">
              <w:rPr>
                <w:rStyle w:val="Hyperlink"/>
                <w:noProof/>
              </w:rPr>
              <w:t>1. Reframing the Investment Question</w:t>
            </w:r>
            <w:r w:rsidR="00697C27">
              <w:rPr>
                <w:noProof/>
                <w:webHidden/>
              </w:rPr>
              <w:tab/>
            </w:r>
            <w:r w:rsidR="00697C27">
              <w:rPr>
                <w:noProof/>
                <w:webHidden/>
              </w:rPr>
              <w:fldChar w:fldCharType="begin"/>
            </w:r>
            <w:r w:rsidR="00697C27">
              <w:rPr>
                <w:noProof/>
                <w:webHidden/>
              </w:rPr>
              <w:instrText xml:space="preserve"> PAGEREF _Toc218670807 \h </w:instrText>
            </w:r>
            <w:r w:rsidR="00697C27">
              <w:rPr>
                <w:noProof/>
                <w:webHidden/>
              </w:rPr>
            </w:r>
            <w:r w:rsidR="00697C27">
              <w:rPr>
                <w:noProof/>
                <w:webHidden/>
              </w:rPr>
              <w:fldChar w:fldCharType="separate"/>
            </w:r>
            <w:r w:rsidR="00697C27">
              <w:rPr>
                <w:noProof/>
                <w:webHidden/>
              </w:rPr>
              <w:t>27</w:t>
            </w:r>
            <w:r w:rsidR="00697C27">
              <w:rPr>
                <w:noProof/>
                <w:webHidden/>
              </w:rPr>
              <w:fldChar w:fldCharType="end"/>
            </w:r>
          </w:hyperlink>
        </w:p>
        <w:p w:rsidR="00697C27" w:rsidRDefault="009B79D1">
          <w:pPr>
            <w:pStyle w:val="TOC3"/>
            <w:tabs>
              <w:tab w:val="right" w:leader="dot" w:pos="9350"/>
            </w:tabs>
            <w:rPr>
              <w:rFonts w:eastAsiaTheme="minorEastAsia"/>
              <w:noProof/>
            </w:rPr>
          </w:pPr>
          <w:hyperlink w:anchor="_Toc218670808" w:history="1">
            <w:r w:rsidR="00697C27">
              <w:rPr>
                <w:rStyle w:val="Hyperlink"/>
                <w:noProof/>
              </w:rPr>
              <w:t>2. Risk Is Regime-Dependent, Not Constant</w:t>
            </w:r>
            <w:r w:rsidR="00697C27">
              <w:rPr>
                <w:noProof/>
                <w:webHidden/>
              </w:rPr>
              <w:tab/>
            </w:r>
            <w:r w:rsidR="00697C27">
              <w:rPr>
                <w:noProof/>
                <w:webHidden/>
              </w:rPr>
              <w:fldChar w:fldCharType="begin"/>
            </w:r>
            <w:r w:rsidR="00697C27">
              <w:rPr>
                <w:noProof/>
                <w:webHidden/>
              </w:rPr>
              <w:instrText xml:space="preserve"> PAGEREF _Toc218670808 \h </w:instrText>
            </w:r>
            <w:r w:rsidR="00697C27">
              <w:rPr>
                <w:noProof/>
                <w:webHidden/>
              </w:rPr>
            </w:r>
            <w:r w:rsidR="00697C27">
              <w:rPr>
                <w:noProof/>
                <w:webHidden/>
              </w:rPr>
              <w:fldChar w:fldCharType="separate"/>
            </w:r>
            <w:r w:rsidR="00697C27">
              <w:rPr>
                <w:noProof/>
                <w:webHidden/>
              </w:rPr>
              <w:t>27</w:t>
            </w:r>
            <w:r w:rsidR="00697C27">
              <w:rPr>
                <w:noProof/>
                <w:webHidden/>
              </w:rPr>
              <w:fldChar w:fldCharType="end"/>
            </w:r>
          </w:hyperlink>
        </w:p>
        <w:p w:rsidR="00697C27" w:rsidRDefault="009B79D1">
          <w:pPr>
            <w:pStyle w:val="TOC3"/>
            <w:tabs>
              <w:tab w:val="right" w:leader="dot" w:pos="9350"/>
            </w:tabs>
            <w:rPr>
              <w:rFonts w:eastAsiaTheme="minorEastAsia"/>
              <w:noProof/>
            </w:rPr>
          </w:pPr>
          <w:hyperlink w:anchor="_Toc218670809" w:history="1">
            <w:r w:rsidR="00697C27">
              <w:rPr>
                <w:rStyle w:val="Hyperlink"/>
                <w:noProof/>
              </w:rPr>
              <w:t>Key insight</w:t>
            </w:r>
            <w:r w:rsidR="00697C27">
              <w:rPr>
                <w:noProof/>
                <w:webHidden/>
              </w:rPr>
              <w:tab/>
            </w:r>
            <w:r w:rsidR="00697C27">
              <w:rPr>
                <w:noProof/>
                <w:webHidden/>
              </w:rPr>
              <w:fldChar w:fldCharType="begin"/>
            </w:r>
            <w:r w:rsidR="00697C27">
              <w:rPr>
                <w:noProof/>
                <w:webHidden/>
              </w:rPr>
              <w:instrText xml:space="preserve"> PAGEREF _Toc218670809 \h </w:instrText>
            </w:r>
            <w:r w:rsidR="00697C27">
              <w:rPr>
                <w:noProof/>
                <w:webHidden/>
              </w:rPr>
            </w:r>
            <w:r w:rsidR="00697C27">
              <w:rPr>
                <w:noProof/>
                <w:webHidden/>
              </w:rPr>
              <w:fldChar w:fldCharType="separate"/>
            </w:r>
            <w:r w:rsidR="00697C27">
              <w:rPr>
                <w:noProof/>
                <w:webHidden/>
              </w:rPr>
              <w:t>28</w:t>
            </w:r>
            <w:r w:rsidR="00697C27">
              <w:rPr>
                <w:noProof/>
                <w:webHidden/>
              </w:rPr>
              <w:fldChar w:fldCharType="end"/>
            </w:r>
          </w:hyperlink>
        </w:p>
        <w:p w:rsidR="00697C27" w:rsidRDefault="009B79D1">
          <w:pPr>
            <w:pStyle w:val="TOC3"/>
            <w:tabs>
              <w:tab w:val="right" w:leader="dot" w:pos="9350"/>
            </w:tabs>
            <w:rPr>
              <w:rFonts w:eastAsiaTheme="minorEastAsia"/>
              <w:noProof/>
            </w:rPr>
          </w:pPr>
          <w:hyperlink w:anchor="_Toc218670810" w:history="1">
            <w:r w:rsidR="00697C27">
              <w:rPr>
                <w:rStyle w:val="Hyperlink"/>
                <w:noProof/>
              </w:rPr>
              <w:t>3. Opportunity Emerges When Volatility Is Priced, Not Ignored</w:t>
            </w:r>
            <w:r w:rsidR="00697C27">
              <w:rPr>
                <w:noProof/>
                <w:webHidden/>
              </w:rPr>
              <w:tab/>
            </w:r>
            <w:r w:rsidR="00697C27">
              <w:rPr>
                <w:noProof/>
                <w:webHidden/>
              </w:rPr>
              <w:fldChar w:fldCharType="begin"/>
            </w:r>
            <w:r w:rsidR="00697C27">
              <w:rPr>
                <w:noProof/>
                <w:webHidden/>
              </w:rPr>
              <w:instrText xml:space="preserve"> PAGEREF _Toc218670810 \h </w:instrText>
            </w:r>
            <w:r w:rsidR="00697C27">
              <w:rPr>
                <w:noProof/>
                <w:webHidden/>
              </w:rPr>
            </w:r>
            <w:r w:rsidR="00697C27">
              <w:rPr>
                <w:noProof/>
                <w:webHidden/>
              </w:rPr>
              <w:fldChar w:fldCharType="separate"/>
            </w:r>
            <w:r w:rsidR="00697C27">
              <w:rPr>
                <w:noProof/>
                <w:webHidden/>
              </w:rPr>
              <w:t>28</w:t>
            </w:r>
            <w:r w:rsidR="00697C27">
              <w:rPr>
                <w:noProof/>
                <w:webHidden/>
              </w:rPr>
              <w:fldChar w:fldCharType="end"/>
            </w:r>
          </w:hyperlink>
        </w:p>
        <w:p w:rsidR="00697C27" w:rsidRDefault="009B79D1">
          <w:pPr>
            <w:pStyle w:val="TOC3"/>
            <w:tabs>
              <w:tab w:val="right" w:leader="dot" w:pos="9350"/>
            </w:tabs>
            <w:rPr>
              <w:rFonts w:eastAsiaTheme="minorEastAsia"/>
              <w:noProof/>
            </w:rPr>
          </w:pPr>
          <w:hyperlink w:anchor="_Toc218670811" w:history="1">
            <w:r w:rsidR="00697C27">
              <w:rPr>
                <w:rStyle w:val="Hyperlink"/>
                <w:noProof/>
              </w:rPr>
              <w:t>Key insight</w:t>
            </w:r>
            <w:r w:rsidR="00697C27">
              <w:rPr>
                <w:noProof/>
                <w:webHidden/>
              </w:rPr>
              <w:tab/>
            </w:r>
            <w:r w:rsidR="00697C27">
              <w:rPr>
                <w:noProof/>
                <w:webHidden/>
              </w:rPr>
              <w:fldChar w:fldCharType="begin"/>
            </w:r>
            <w:r w:rsidR="00697C27">
              <w:rPr>
                <w:noProof/>
                <w:webHidden/>
              </w:rPr>
              <w:instrText xml:space="preserve"> PAGEREF _Toc218670811 \h </w:instrText>
            </w:r>
            <w:r w:rsidR="00697C27">
              <w:rPr>
                <w:noProof/>
                <w:webHidden/>
              </w:rPr>
            </w:r>
            <w:r w:rsidR="00697C27">
              <w:rPr>
                <w:noProof/>
                <w:webHidden/>
              </w:rPr>
              <w:fldChar w:fldCharType="separate"/>
            </w:r>
            <w:r w:rsidR="00697C27">
              <w:rPr>
                <w:noProof/>
                <w:webHidden/>
              </w:rPr>
              <w:t>28</w:t>
            </w:r>
            <w:r w:rsidR="00697C27">
              <w:rPr>
                <w:noProof/>
                <w:webHidden/>
              </w:rPr>
              <w:fldChar w:fldCharType="end"/>
            </w:r>
          </w:hyperlink>
        </w:p>
        <w:p w:rsidR="00697C27" w:rsidRDefault="009B79D1">
          <w:pPr>
            <w:pStyle w:val="TOC3"/>
            <w:tabs>
              <w:tab w:val="right" w:leader="dot" w:pos="9350"/>
            </w:tabs>
            <w:rPr>
              <w:rFonts w:eastAsiaTheme="minorEastAsia"/>
              <w:noProof/>
            </w:rPr>
          </w:pPr>
          <w:hyperlink w:anchor="_Toc218670812" w:history="1">
            <w:r w:rsidR="00697C27">
              <w:rPr>
                <w:rStyle w:val="Hyperlink"/>
                <w:noProof/>
              </w:rPr>
              <w:t>4. Regime-Specific Risk vs. Opportunity Mapping</w:t>
            </w:r>
            <w:r w:rsidR="00697C27">
              <w:rPr>
                <w:noProof/>
                <w:webHidden/>
              </w:rPr>
              <w:tab/>
            </w:r>
            <w:r w:rsidR="00697C27">
              <w:rPr>
                <w:noProof/>
                <w:webHidden/>
              </w:rPr>
              <w:fldChar w:fldCharType="begin"/>
            </w:r>
            <w:r w:rsidR="00697C27">
              <w:rPr>
                <w:noProof/>
                <w:webHidden/>
              </w:rPr>
              <w:instrText xml:space="preserve"> PAGEREF _Toc218670812 \h </w:instrText>
            </w:r>
            <w:r w:rsidR="00697C27">
              <w:rPr>
                <w:noProof/>
                <w:webHidden/>
              </w:rPr>
            </w:r>
            <w:r w:rsidR="00697C27">
              <w:rPr>
                <w:noProof/>
                <w:webHidden/>
              </w:rPr>
              <w:fldChar w:fldCharType="separate"/>
            </w:r>
            <w:r w:rsidR="00697C27">
              <w:rPr>
                <w:noProof/>
                <w:webHidden/>
              </w:rPr>
              <w:t>28</w:t>
            </w:r>
            <w:r w:rsidR="00697C27">
              <w:rPr>
                <w:noProof/>
                <w:webHidden/>
              </w:rPr>
              <w:fldChar w:fldCharType="end"/>
            </w:r>
          </w:hyperlink>
        </w:p>
        <w:p w:rsidR="00697C27" w:rsidRDefault="009B79D1">
          <w:pPr>
            <w:pStyle w:val="TOC3"/>
            <w:tabs>
              <w:tab w:val="right" w:leader="dot" w:pos="9350"/>
            </w:tabs>
            <w:rPr>
              <w:rFonts w:eastAsiaTheme="minorEastAsia"/>
              <w:noProof/>
            </w:rPr>
          </w:pPr>
          <w:hyperlink w:anchor="_Toc218670813" w:history="1">
            <w:r w:rsidR="00697C27">
              <w:rPr>
                <w:rStyle w:val="Hyperlink"/>
                <w:noProof/>
              </w:rPr>
              <w:t>Risk vs. Opportunity by Regime</w:t>
            </w:r>
            <w:r w:rsidR="00697C27">
              <w:rPr>
                <w:noProof/>
                <w:webHidden/>
              </w:rPr>
              <w:tab/>
            </w:r>
            <w:r w:rsidR="00697C27">
              <w:rPr>
                <w:noProof/>
                <w:webHidden/>
              </w:rPr>
              <w:fldChar w:fldCharType="begin"/>
            </w:r>
            <w:r w:rsidR="00697C27">
              <w:rPr>
                <w:noProof/>
                <w:webHidden/>
              </w:rPr>
              <w:instrText xml:space="preserve"> PAGEREF _Toc218670813 \h </w:instrText>
            </w:r>
            <w:r w:rsidR="00697C27">
              <w:rPr>
                <w:noProof/>
                <w:webHidden/>
              </w:rPr>
            </w:r>
            <w:r w:rsidR="00697C27">
              <w:rPr>
                <w:noProof/>
                <w:webHidden/>
              </w:rPr>
              <w:fldChar w:fldCharType="separate"/>
            </w:r>
            <w:r w:rsidR="00697C27">
              <w:rPr>
                <w:noProof/>
                <w:webHidden/>
              </w:rPr>
              <w:t>29</w:t>
            </w:r>
            <w:r w:rsidR="00697C27">
              <w:rPr>
                <w:noProof/>
                <w:webHidden/>
              </w:rPr>
              <w:fldChar w:fldCharType="end"/>
            </w:r>
          </w:hyperlink>
        </w:p>
        <w:p w:rsidR="00697C27" w:rsidRDefault="009B79D1">
          <w:pPr>
            <w:pStyle w:val="TOC3"/>
            <w:tabs>
              <w:tab w:val="right" w:leader="dot" w:pos="9350"/>
            </w:tabs>
            <w:rPr>
              <w:rFonts w:eastAsiaTheme="minorEastAsia"/>
              <w:noProof/>
            </w:rPr>
          </w:pPr>
          <w:hyperlink w:anchor="_Toc218670814" w:history="1">
            <w:r w:rsidR="00697C27">
              <w:rPr>
                <w:rStyle w:val="Hyperlink"/>
                <w:noProof/>
              </w:rPr>
              <w:t>5. Why Volatility Is the Correct Focus Going Forward</w:t>
            </w:r>
            <w:r w:rsidR="00697C27">
              <w:rPr>
                <w:noProof/>
                <w:webHidden/>
              </w:rPr>
              <w:tab/>
            </w:r>
            <w:r w:rsidR="00697C27">
              <w:rPr>
                <w:noProof/>
                <w:webHidden/>
              </w:rPr>
              <w:fldChar w:fldCharType="begin"/>
            </w:r>
            <w:r w:rsidR="00697C27">
              <w:rPr>
                <w:noProof/>
                <w:webHidden/>
              </w:rPr>
              <w:instrText xml:space="preserve"> PAGEREF _Toc218670814 \h </w:instrText>
            </w:r>
            <w:r w:rsidR="00697C27">
              <w:rPr>
                <w:noProof/>
                <w:webHidden/>
              </w:rPr>
            </w:r>
            <w:r w:rsidR="00697C27">
              <w:rPr>
                <w:noProof/>
                <w:webHidden/>
              </w:rPr>
              <w:fldChar w:fldCharType="separate"/>
            </w:r>
            <w:r w:rsidR="00697C27">
              <w:rPr>
                <w:noProof/>
                <w:webHidden/>
              </w:rPr>
              <w:t>29</w:t>
            </w:r>
            <w:r w:rsidR="00697C27">
              <w:rPr>
                <w:noProof/>
                <w:webHidden/>
              </w:rPr>
              <w:fldChar w:fldCharType="end"/>
            </w:r>
          </w:hyperlink>
        </w:p>
        <w:p w:rsidR="00697C27" w:rsidRDefault="009B79D1">
          <w:pPr>
            <w:pStyle w:val="TOC3"/>
            <w:tabs>
              <w:tab w:val="right" w:leader="dot" w:pos="9350"/>
            </w:tabs>
            <w:rPr>
              <w:rFonts w:eastAsiaTheme="minorEastAsia"/>
              <w:noProof/>
            </w:rPr>
          </w:pPr>
          <w:hyperlink w:anchor="_Toc218670815" w:history="1">
            <w:r w:rsidR="00697C27">
              <w:rPr>
                <w:rStyle w:val="Hyperlink"/>
                <w:noProof/>
              </w:rPr>
              <w:t>6. What This Means for Investors</w:t>
            </w:r>
            <w:r w:rsidR="00697C27">
              <w:rPr>
                <w:noProof/>
                <w:webHidden/>
              </w:rPr>
              <w:tab/>
            </w:r>
            <w:r w:rsidR="00697C27">
              <w:rPr>
                <w:noProof/>
                <w:webHidden/>
              </w:rPr>
              <w:fldChar w:fldCharType="begin"/>
            </w:r>
            <w:r w:rsidR="00697C27">
              <w:rPr>
                <w:noProof/>
                <w:webHidden/>
              </w:rPr>
              <w:instrText xml:space="preserve"> PAGEREF _Toc218670815 \h </w:instrText>
            </w:r>
            <w:r w:rsidR="00697C27">
              <w:rPr>
                <w:noProof/>
                <w:webHidden/>
              </w:rPr>
            </w:r>
            <w:r w:rsidR="00697C27">
              <w:rPr>
                <w:noProof/>
                <w:webHidden/>
              </w:rPr>
              <w:fldChar w:fldCharType="separate"/>
            </w:r>
            <w:r w:rsidR="00697C27">
              <w:rPr>
                <w:noProof/>
                <w:webHidden/>
              </w:rPr>
              <w:t>29</w:t>
            </w:r>
            <w:r w:rsidR="00697C27">
              <w:rPr>
                <w:noProof/>
                <w:webHidden/>
              </w:rPr>
              <w:fldChar w:fldCharType="end"/>
            </w:r>
          </w:hyperlink>
        </w:p>
        <w:p w:rsidR="00697C27" w:rsidRDefault="009B79D1" w:rsidP="00697C27">
          <w:pPr>
            <w:pStyle w:val="TOC1"/>
            <w:tabs>
              <w:tab w:val="right" w:leader="dot" w:pos="9350"/>
            </w:tabs>
            <w:rPr>
              <w:rFonts w:eastAsiaTheme="minorEastAsia"/>
              <w:noProof/>
            </w:rPr>
          </w:pPr>
          <w:hyperlink w:anchor="_Toc218670816" w:history="1">
            <w:r w:rsidR="00697C27">
              <w:rPr>
                <w:rStyle w:val="Hyperlink"/>
                <w:noProof/>
              </w:rPr>
              <w:t>Forward Work: Volatility &amp; Regime-Aware Modeling</w:t>
            </w:r>
            <w:r w:rsidR="00697C27">
              <w:rPr>
                <w:noProof/>
                <w:webHidden/>
              </w:rPr>
              <w:tab/>
            </w:r>
            <w:r w:rsidR="00697C27">
              <w:rPr>
                <w:noProof/>
                <w:webHidden/>
              </w:rPr>
              <w:fldChar w:fldCharType="begin"/>
            </w:r>
            <w:r w:rsidR="00697C27">
              <w:rPr>
                <w:noProof/>
                <w:webHidden/>
              </w:rPr>
              <w:instrText xml:space="preserve"> PAGEREF _Toc218670816 \h </w:instrText>
            </w:r>
            <w:r w:rsidR="00697C27">
              <w:rPr>
                <w:noProof/>
                <w:webHidden/>
              </w:rPr>
            </w:r>
            <w:r w:rsidR="00697C27">
              <w:rPr>
                <w:noProof/>
                <w:webHidden/>
              </w:rPr>
              <w:fldChar w:fldCharType="separate"/>
            </w:r>
            <w:r w:rsidR="00697C27">
              <w:rPr>
                <w:noProof/>
                <w:webHidden/>
              </w:rPr>
              <w:t>30</w:t>
            </w:r>
            <w:r w:rsidR="00697C27">
              <w:rPr>
                <w:noProof/>
                <w:webHidden/>
              </w:rPr>
              <w:fldChar w:fldCharType="end"/>
            </w:r>
          </w:hyperlink>
        </w:p>
        <w:p w:rsidR="00697C27" w:rsidRDefault="009B79D1">
          <w:pPr>
            <w:pStyle w:val="TOC2"/>
            <w:tabs>
              <w:tab w:val="right" w:leader="dot" w:pos="9350"/>
            </w:tabs>
            <w:rPr>
              <w:rFonts w:eastAsiaTheme="minorEastAsia"/>
              <w:noProof/>
            </w:rPr>
          </w:pPr>
          <w:hyperlink w:anchor="_Toc218670818" w:history="1">
            <w:r w:rsidR="00697C27">
              <w:rPr>
                <w:rStyle w:val="Hyperlink"/>
                <w:noProof/>
              </w:rPr>
              <w:t xml:space="preserve">Closing Statement </w:t>
            </w:r>
            <w:r w:rsidR="00697C27">
              <w:rPr>
                <w:noProof/>
                <w:webHidden/>
              </w:rPr>
              <w:tab/>
            </w:r>
            <w:r w:rsidR="00697C27">
              <w:rPr>
                <w:noProof/>
                <w:webHidden/>
              </w:rPr>
              <w:fldChar w:fldCharType="begin"/>
            </w:r>
            <w:r w:rsidR="00697C27">
              <w:rPr>
                <w:noProof/>
                <w:webHidden/>
              </w:rPr>
              <w:instrText xml:space="preserve"> PAGEREF _Toc218670818 \h </w:instrText>
            </w:r>
            <w:r w:rsidR="00697C27">
              <w:rPr>
                <w:noProof/>
                <w:webHidden/>
              </w:rPr>
            </w:r>
            <w:r w:rsidR="00697C27">
              <w:rPr>
                <w:noProof/>
                <w:webHidden/>
              </w:rPr>
              <w:fldChar w:fldCharType="separate"/>
            </w:r>
            <w:r w:rsidR="00697C27">
              <w:rPr>
                <w:noProof/>
                <w:webHidden/>
              </w:rPr>
              <w:t>31</w:t>
            </w:r>
            <w:r w:rsidR="00697C27">
              <w:rPr>
                <w:noProof/>
                <w:webHidden/>
              </w:rPr>
              <w:fldChar w:fldCharType="end"/>
            </w:r>
          </w:hyperlink>
        </w:p>
        <w:p w:rsidR="0059508E" w:rsidRPr="008D701E" w:rsidRDefault="00697C27" w:rsidP="008D701E">
          <w:r>
            <w:rPr>
              <w:b/>
              <w:bCs/>
              <w:noProof/>
            </w:rPr>
            <w:fldChar w:fldCharType="end"/>
          </w:r>
        </w:p>
      </w:sdtContent>
    </w:sdt>
    <w:p w:rsidR="0059508E" w:rsidRDefault="009B79D1" w:rsidP="0059508E">
      <w:r>
        <w:pict>
          <v:rect id="_x0000_i1025" style="width:0;height:1.5pt" o:hralign="center" o:hrstd="t" o:hr="t" fillcolor="#a0a0a0" stroked="f"/>
        </w:pict>
      </w:r>
    </w:p>
    <w:p w:rsidR="005C2FEB" w:rsidRDefault="009B79D1" w:rsidP="0059508E">
      <w:r>
        <w:pict>
          <v:rect id="_x0000_i1026" style="width:0;height:1.5pt" o:hralign="center" o:hrstd="t" o:hr="t" fillcolor="#a0a0a0" stroked="f"/>
        </w:pict>
      </w:r>
    </w:p>
    <w:p w:rsidR="0059508E" w:rsidRDefault="0059508E" w:rsidP="0059508E"/>
    <w:p w:rsidR="0059508E" w:rsidRPr="0059508E" w:rsidRDefault="0059508E" w:rsidP="0059508E"/>
    <w:p w:rsidR="006D6BC4" w:rsidRPr="006D6BC4" w:rsidRDefault="006D6BC4" w:rsidP="001C0795">
      <w:pPr>
        <w:pStyle w:val="Heading1"/>
      </w:pPr>
      <w:bookmarkStart w:id="1" w:name="_Toc218670771"/>
      <w:r>
        <w:t>Executive Summary</w:t>
      </w:r>
      <w:bookmarkEnd w:id="1"/>
    </w:p>
    <w:p w:rsidR="006D6BC4" w:rsidRPr="006D6BC4" w:rsidRDefault="006D6BC4" w:rsidP="006D6BC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report presents a data-driven analysis of Safaricom PLC’s equity behavior with the objective of understanding </w:t>
      </w:r>
      <w:r>
        <w:rPr>
          <w:rFonts w:ascii="Times New Roman" w:eastAsia="Times New Roman" w:hAnsi="Times New Roman" w:cs="Times New Roman"/>
          <w:b/>
          <w:bCs/>
          <w:sz w:val="24"/>
          <w:szCs w:val="24"/>
        </w:rPr>
        <w:t>how the stock evolves across market conditions, how risk manifests over time, and where analytical focus provides the most value for investment decision-making</w:t>
      </w:r>
      <w:r>
        <w:rPr>
          <w:rFonts w:ascii="Times New Roman" w:eastAsia="Times New Roman" w:hAnsi="Times New Roman" w:cs="Times New Roman"/>
          <w:sz w:val="24"/>
          <w:szCs w:val="24"/>
        </w:rPr>
        <w:t>.</w:t>
      </w:r>
    </w:p>
    <w:p w:rsidR="006D6BC4" w:rsidRPr="006D6BC4" w:rsidRDefault="006D6BC4" w:rsidP="006D6BC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initially set out to explore the feasibility of </w:t>
      </w:r>
      <w:r>
        <w:rPr>
          <w:rFonts w:ascii="Times New Roman" w:eastAsia="Times New Roman" w:hAnsi="Times New Roman" w:cs="Times New Roman"/>
          <w:b/>
          <w:bCs/>
          <w:sz w:val="24"/>
          <w:szCs w:val="24"/>
        </w:rPr>
        <w:t>price prediction</w:t>
      </w:r>
      <w:r>
        <w:rPr>
          <w:rFonts w:ascii="Times New Roman" w:eastAsia="Times New Roman" w:hAnsi="Times New Roman" w:cs="Times New Roman"/>
          <w:sz w:val="24"/>
          <w:szCs w:val="24"/>
        </w:rPr>
        <w:t xml:space="preserve"> using classical time series techniques. However, as the analysis progressed, the data itself challenged this premise! Empirical diagnostics consistently indicated that Safaricom’s share price does not evolve under a single, stable process. Instead, it exhibits </w:t>
      </w:r>
      <w:r>
        <w:rPr>
          <w:rFonts w:ascii="Times New Roman" w:eastAsia="Times New Roman" w:hAnsi="Times New Roman" w:cs="Times New Roman"/>
          <w:b/>
          <w:bCs/>
          <w:sz w:val="24"/>
          <w:szCs w:val="24"/>
        </w:rPr>
        <w:t>non-stationary behavior characterized by structural breaks, regime shifts, and periods of materially different risk dynamics</w:t>
      </w:r>
      <w:r>
        <w:rPr>
          <w:rFonts w:ascii="Times New Roman" w:eastAsia="Times New Roman" w:hAnsi="Times New Roman" w:cs="Times New Roman"/>
          <w:sz w:val="24"/>
          <w:szCs w:val="24"/>
        </w:rPr>
        <w:t xml:space="preserve">. In light of this evidence, the analytical focus shifted away from direct price forecasting toward a deeper examination of </w:t>
      </w:r>
      <w:r>
        <w:rPr>
          <w:rFonts w:ascii="Times New Roman" w:eastAsia="Times New Roman" w:hAnsi="Times New Roman" w:cs="Times New Roman"/>
          <w:b/>
          <w:bCs/>
          <w:sz w:val="24"/>
          <w:szCs w:val="24"/>
        </w:rPr>
        <w:t>market structure, regime behavior, and volatility dynamics</w:t>
      </w:r>
      <w:r>
        <w:rPr>
          <w:rFonts w:ascii="Times New Roman" w:eastAsia="Times New Roman" w:hAnsi="Times New Roman" w:cs="Times New Roman"/>
          <w:sz w:val="24"/>
          <w:szCs w:val="24"/>
        </w:rPr>
        <w:t>.</w:t>
      </w:r>
    </w:p>
    <w:p w:rsidR="006D6BC4" w:rsidRPr="006D6BC4" w:rsidRDefault="009B79D1" w:rsidP="006D6BC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6D6BC4" w:rsidRPr="006D6BC4" w:rsidRDefault="006D6BC4" w:rsidP="001C0795">
      <w:pPr>
        <w:pStyle w:val="Heading2"/>
      </w:pPr>
      <w:bookmarkStart w:id="2" w:name="_Toc218670772"/>
      <w:r>
        <w:t>Key Findings</w:t>
      </w:r>
      <w:bookmarkEnd w:id="2"/>
    </w:p>
    <w:p w:rsidR="006D6BC4" w:rsidRPr="006D6BC4" w:rsidRDefault="006D6BC4" w:rsidP="006D6BC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 Price levels are non-stationary and regime-dependent</w:t>
      </w:r>
    </w:p>
    <w:p w:rsidR="006D6BC4" w:rsidRPr="006D6BC4" w:rsidRDefault="006D6BC4" w:rsidP="006D6BC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Safaricom’s share price displays long-term trends punctuated by abrupt changes rather than smooth, continuous growth. Decomposition and rolling analyses show that price evolution reflects </w:t>
      </w:r>
      <w:r>
        <w:rPr>
          <w:rFonts w:ascii="Times New Roman" w:eastAsia="Times New Roman" w:hAnsi="Times New Roman" w:cs="Times New Roman"/>
          <w:b/>
          <w:bCs/>
          <w:sz w:val="24"/>
          <w:szCs w:val="24"/>
        </w:rPr>
        <w:t>accumulated market revaluation across distinct regimes</w:t>
      </w:r>
      <w:r>
        <w:rPr>
          <w:rFonts w:ascii="Times New Roman" w:eastAsia="Times New Roman" w:hAnsi="Times New Roman" w:cs="Times New Roman"/>
          <w:sz w:val="24"/>
          <w:szCs w:val="24"/>
        </w:rPr>
        <w:t xml:space="preserve">, not predictable drift. </w:t>
      </w:r>
      <w:r>
        <w:rPr>
          <w:rFonts w:ascii="Times New Roman" w:eastAsia="Times New Roman" w:hAnsi="Times New Roman" w:cs="Times New Roman"/>
          <w:sz w:val="24"/>
          <w:szCs w:val="24"/>
        </w:rPr>
        <w:lastRenderedPageBreak/>
        <w:t>Structural break diagnostics further reinforce that price behavior changes meaningfully over time, invalidating assumptions required for stable price-level forecasting models.</w:t>
      </w:r>
    </w:p>
    <w:p w:rsidR="006D6BC4" w:rsidRPr="006D6BC4" w:rsidRDefault="006D6BC4" w:rsidP="006D6BC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Implication: </w:t>
      </w:r>
      <w:r>
        <w:rPr>
          <w:rFonts w:ascii="Times New Roman" w:eastAsia="Times New Roman" w:hAnsi="Times New Roman" w:cs="Times New Roman"/>
          <w:sz w:val="24"/>
          <w:szCs w:val="24"/>
        </w:rPr>
        <w:br/>
        <w:t>Direct price prediction is inherently fragile for this asset and highly sensitive to regime assumptions.</w:t>
      </w:r>
    </w:p>
    <w:p w:rsidR="006D6BC4" w:rsidRPr="006D6BC4" w:rsidRDefault="006D6BC4" w:rsidP="006D6BC4">
      <w:pPr>
        <w:spacing w:after="0" w:line="240" w:lineRule="auto"/>
        <w:rPr>
          <w:rFonts w:ascii="Times New Roman" w:eastAsia="Times New Roman" w:hAnsi="Times New Roman" w:cs="Times New Roman"/>
          <w:sz w:val="24"/>
          <w:szCs w:val="24"/>
        </w:rPr>
      </w:pPr>
    </w:p>
    <w:p w:rsidR="006D6BC4" w:rsidRPr="006D6BC4" w:rsidRDefault="006D6BC4" w:rsidP="006D6BC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Returns are stationary but largely unpredictable in the mean</w:t>
      </w:r>
    </w:p>
    <w:p w:rsidR="006D6BC4" w:rsidRPr="006D6BC4" w:rsidRDefault="006D6BC4" w:rsidP="006D6BC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Both simple and log returns are statistically stationary, indicating that daily price changes fluctuate around a stable long-term average. However, autocorrelation analysis reveals </w:t>
      </w:r>
      <w:r>
        <w:rPr>
          <w:rFonts w:ascii="Times New Roman" w:eastAsia="Times New Roman" w:hAnsi="Times New Roman" w:cs="Times New Roman"/>
          <w:b/>
          <w:bCs/>
          <w:sz w:val="24"/>
          <w:szCs w:val="24"/>
        </w:rPr>
        <w:t>minimal persistent linear dependence in returns</w:t>
      </w:r>
      <w:r>
        <w:rPr>
          <w:rFonts w:ascii="Times New Roman" w:eastAsia="Times New Roman" w:hAnsi="Times New Roman" w:cs="Times New Roman"/>
          <w:sz w:val="24"/>
          <w:szCs w:val="24"/>
        </w:rPr>
        <w:t>, suggesting that short-term directional movements are largely stochastic.</w:t>
      </w:r>
    </w:p>
    <w:p w:rsidR="006D6BC4" w:rsidRDefault="006D6BC4" w:rsidP="00ED18D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Implication: </w:t>
      </w:r>
      <w:r>
        <w:rPr>
          <w:rFonts w:ascii="Times New Roman" w:eastAsia="Times New Roman" w:hAnsi="Times New Roman" w:cs="Times New Roman"/>
          <w:sz w:val="24"/>
          <w:szCs w:val="24"/>
        </w:rPr>
        <w:br/>
        <w:t>Mean return forecasting offers limited practical value, as directional predictability is weak.</w:t>
      </w:r>
    </w:p>
    <w:p w:rsidR="0051099A" w:rsidRPr="006D6BC4" w:rsidRDefault="0051099A" w:rsidP="00ED18DF">
      <w:pPr>
        <w:spacing w:before="100" w:beforeAutospacing="1" w:after="100" w:afterAutospacing="1" w:line="240" w:lineRule="auto"/>
        <w:rPr>
          <w:rFonts w:ascii="Times New Roman" w:eastAsia="Times New Roman" w:hAnsi="Times New Roman" w:cs="Times New Roman"/>
          <w:sz w:val="24"/>
          <w:szCs w:val="24"/>
        </w:rPr>
      </w:pPr>
    </w:p>
    <w:p w:rsidR="006D6BC4" w:rsidRPr="006D6BC4" w:rsidRDefault="006D6BC4" w:rsidP="006D6BC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Volatility exhibits strong persistence and clustering</w:t>
      </w:r>
    </w:p>
    <w:p w:rsidR="006D6BC4" w:rsidRPr="006D6BC4" w:rsidRDefault="006D6BC4" w:rsidP="006D6BC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contrast to returns, volatility shows clear structure. Absolute and squared returns display significant autocorrelation across multiple lags, and formal tests strongly reject the hypothesis of independent variance. This indicates that </w:t>
      </w:r>
      <w:r>
        <w:rPr>
          <w:rFonts w:ascii="Times New Roman" w:eastAsia="Times New Roman" w:hAnsi="Times New Roman" w:cs="Times New Roman"/>
          <w:b/>
          <w:bCs/>
          <w:sz w:val="24"/>
          <w:szCs w:val="24"/>
        </w:rPr>
        <w:t>periods of high uncertainty tend to cluster</w:t>
      </w:r>
      <w:r>
        <w:rPr>
          <w:rFonts w:ascii="Times New Roman" w:eastAsia="Times New Roman" w:hAnsi="Times New Roman" w:cs="Times New Roman"/>
          <w:sz w:val="24"/>
          <w:szCs w:val="24"/>
        </w:rPr>
        <w:t>, as do periods of relative calm.</w:t>
      </w:r>
    </w:p>
    <w:p w:rsidR="006D6BC4" w:rsidRPr="006D6BC4" w:rsidRDefault="006D6BC4" w:rsidP="006D6BC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Implication: </w:t>
      </w:r>
      <w:r>
        <w:rPr>
          <w:rFonts w:ascii="Times New Roman" w:eastAsia="Times New Roman" w:hAnsi="Times New Roman" w:cs="Times New Roman"/>
          <w:sz w:val="24"/>
          <w:szCs w:val="24"/>
        </w:rPr>
        <w:br/>
        <w:t xml:space="preserve">While returns are difficult to predict, </w:t>
      </w:r>
      <w:r>
        <w:rPr>
          <w:rFonts w:ascii="Times New Roman" w:eastAsia="Times New Roman" w:hAnsi="Times New Roman" w:cs="Times New Roman"/>
          <w:b/>
          <w:bCs/>
          <w:sz w:val="24"/>
          <w:szCs w:val="24"/>
        </w:rPr>
        <w:t>risk is predictable</w:t>
      </w:r>
      <w:r>
        <w:rPr>
          <w:rFonts w:ascii="Times New Roman" w:eastAsia="Times New Roman" w:hAnsi="Times New Roman" w:cs="Times New Roman"/>
          <w:sz w:val="24"/>
          <w:szCs w:val="24"/>
        </w:rPr>
        <w:t>. Volatility dynamics provide a meaningful and actionable analytical signal.</w:t>
      </w:r>
    </w:p>
    <w:p w:rsidR="006D6BC4" w:rsidRPr="006D6BC4" w:rsidRDefault="006D6BC4" w:rsidP="006D6BC4">
      <w:pPr>
        <w:spacing w:after="0" w:line="240" w:lineRule="auto"/>
        <w:rPr>
          <w:rFonts w:ascii="Times New Roman" w:eastAsia="Times New Roman" w:hAnsi="Times New Roman" w:cs="Times New Roman"/>
          <w:sz w:val="24"/>
          <w:szCs w:val="24"/>
        </w:rPr>
      </w:pPr>
    </w:p>
    <w:p w:rsidR="006D6BC4" w:rsidRPr="006D6BC4" w:rsidRDefault="006D6BC4" w:rsidP="006D6BC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 Structural breaks coincide with shifts in market regimes</w:t>
      </w:r>
    </w:p>
    <w:p w:rsidR="006D6BC4" w:rsidRPr="006D6BC4" w:rsidRDefault="006D6BC4" w:rsidP="006D6BC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analysis identifies multiple candidate structural breakpoints that align with observable changes in trend behavior and volatility intensity. These breaks do not operate in isolation; instead, they often mark </w:t>
      </w:r>
      <w:r>
        <w:rPr>
          <w:rFonts w:ascii="Times New Roman" w:eastAsia="Times New Roman" w:hAnsi="Times New Roman" w:cs="Times New Roman"/>
          <w:b/>
          <w:bCs/>
          <w:sz w:val="24"/>
          <w:szCs w:val="24"/>
        </w:rPr>
        <w:t>transitions between distinct market regimes</w:t>
      </w:r>
      <w:r>
        <w:rPr>
          <w:rFonts w:ascii="Times New Roman" w:eastAsia="Times New Roman" w:hAnsi="Times New Roman" w:cs="Times New Roman"/>
          <w:sz w:val="24"/>
          <w:szCs w:val="24"/>
        </w:rPr>
        <w:t>, each characterized by different risk profiles, trend persistence, and investor behavior.</w:t>
      </w:r>
    </w:p>
    <w:p w:rsidR="006D6BC4" w:rsidRPr="006D6BC4" w:rsidRDefault="006D6BC4" w:rsidP="006D6BC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Implication: </w:t>
      </w:r>
      <w:r>
        <w:rPr>
          <w:rFonts w:ascii="Times New Roman" w:eastAsia="Times New Roman" w:hAnsi="Times New Roman" w:cs="Times New Roman"/>
          <w:sz w:val="24"/>
          <w:szCs w:val="24"/>
        </w:rPr>
        <w:br/>
        <w:t xml:space="preserve">Safaricom equity should be understood as operating under </w:t>
      </w:r>
      <w:r>
        <w:rPr>
          <w:rFonts w:ascii="Times New Roman" w:eastAsia="Times New Roman" w:hAnsi="Times New Roman" w:cs="Times New Roman"/>
          <w:b/>
          <w:bCs/>
          <w:sz w:val="24"/>
          <w:szCs w:val="24"/>
        </w:rPr>
        <w:t>multiple regimes</w:t>
      </w:r>
      <w:r>
        <w:rPr>
          <w:rFonts w:ascii="Times New Roman" w:eastAsia="Times New Roman" w:hAnsi="Times New Roman" w:cs="Times New Roman"/>
          <w:sz w:val="24"/>
          <w:szCs w:val="24"/>
        </w:rPr>
        <w:t>, rather than a single homogeneous process.</w:t>
      </w:r>
    </w:p>
    <w:p w:rsidR="006D6BC4" w:rsidRPr="006D6BC4" w:rsidRDefault="006D6BC4" w:rsidP="006D6BC4">
      <w:pPr>
        <w:spacing w:after="0" w:line="240" w:lineRule="auto"/>
        <w:rPr>
          <w:rFonts w:ascii="Times New Roman" w:eastAsia="Times New Roman" w:hAnsi="Times New Roman" w:cs="Times New Roman"/>
          <w:sz w:val="24"/>
          <w:szCs w:val="24"/>
        </w:rPr>
      </w:pPr>
    </w:p>
    <w:p w:rsidR="006D6BC4" w:rsidRPr="006D6BC4" w:rsidRDefault="006D6BC4" w:rsidP="006D6BC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 Risk and opportunity are regime-dependent</w:t>
      </w:r>
    </w:p>
    <w:p w:rsidR="00ED18DF" w:rsidRPr="006D6BC4" w:rsidRDefault="006D6BC4" w:rsidP="006D6BC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Periods following structural breaks are typically dominated by elevated uncertainty and volatility repricing, where capital preservation becomes paramount. Opportunity tends to emerge only after volatility stabilizes and regime behavior becomes persistent. This asymmetry underscores the importance of </w:t>
      </w:r>
      <w:r>
        <w:rPr>
          <w:rFonts w:ascii="Times New Roman" w:eastAsia="Times New Roman" w:hAnsi="Times New Roman" w:cs="Times New Roman"/>
          <w:b/>
          <w:bCs/>
          <w:sz w:val="24"/>
          <w:szCs w:val="24"/>
        </w:rPr>
        <w:t>regime-aware analysis</w:t>
      </w:r>
      <w:r>
        <w:rPr>
          <w:rFonts w:ascii="Times New Roman" w:eastAsia="Times New Roman" w:hAnsi="Times New Roman" w:cs="Times New Roman"/>
          <w:sz w:val="24"/>
          <w:szCs w:val="24"/>
        </w:rPr>
        <w:t xml:space="preserve"> when evaluating both downside risk and upside potential.</w:t>
      </w:r>
    </w:p>
    <w:p w:rsidR="006D6BC4" w:rsidRPr="006D6BC4" w:rsidRDefault="009B79D1" w:rsidP="006D6BC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6D6BC4" w:rsidRPr="006D6BC4" w:rsidRDefault="006D6BC4" w:rsidP="00ED18DF">
      <w:pPr>
        <w:pStyle w:val="Heading2"/>
      </w:pPr>
      <w:bookmarkStart w:id="3" w:name="_Toc218670773"/>
      <w:r>
        <w:t>Strategic Reframing of the Analysis</w:t>
      </w:r>
      <w:bookmarkEnd w:id="3"/>
    </w:p>
    <w:p w:rsidR="006D6BC4" w:rsidRPr="006D6BC4" w:rsidRDefault="006D6BC4" w:rsidP="006D6BC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Taken together, these findings motivate a reframing of how Safaricom’s stock should be analyzed:</w:t>
      </w:r>
    </w:p>
    <w:p w:rsidR="006D6BC4" w:rsidRPr="006D6BC4" w:rsidRDefault="006D6BC4" w:rsidP="006D6BC4">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Price levels reflect </w:t>
      </w:r>
      <w:r>
        <w:rPr>
          <w:rFonts w:ascii="Times New Roman" w:eastAsia="Times New Roman" w:hAnsi="Times New Roman" w:cs="Times New Roman"/>
          <w:b/>
          <w:bCs/>
          <w:sz w:val="24"/>
          <w:szCs w:val="24"/>
        </w:rPr>
        <w:t>historical accumulation of regimes</w:t>
      </w:r>
      <w:r>
        <w:rPr>
          <w:rFonts w:ascii="Times New Roman" w:eastAsia="Times New Roman" w:hAnsi="Times New Roman" w:cs="Times New Roman"/>
          <w:sz w:val="24"/>
          <w:szCs w:val="24"/>
        </w:rPr>
        <w:t>, not smooth growth trajectories.</w:t>
      </w:r>
    </w:p>
    <w:p w:rsidR="006D6BC4" w:rsidRPr="006D6BC4" w:rsidRDefault="006D6BC4" w:rsidP="006D6BC4">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Returns encode randomness more than signal.</w:t>
      </w:r>
    </w:p>
    <w:p w:rsidR="006D6BC4" w:rsidRPr="006D6BC4" w:rsidRDefault="006D6BC4" w:rsidP="006D6BC4">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Volatility captures </w:t>
      </w:r>
      <w:r>
        <w:rPr>
          <w:rFonts w:ascii="Times New Roman" w:eastAsia="Times New Roman" w:hAnsi="Times New Roman" w:cs="Times New Roman"/>
          <w:b/>
          <w:bCs/>
          <w:sz w:val="24"/>
          <w:szCs w:val="24"/>
        </w:rPr>
        <w:t>how uncertain the market is about valuation at any given time</w:t>
      </w:r>
      <w:r>
        <w:rPr>
          <w:rFonts w:ascii="Times New Roman" w:eastAsia="Times New Roman" w:hAnsi="Times New Roman" w:cs="Times New Roman"/>
          <w:sz w:val="24"/>
          <w:szCs w:val="24"/>
        </w:rPr>
        <w:t>.</w:t>
      </w:r>
    </w:p>
    <w:p w:rsidR="006D6BC4" w:rsidRPr="006D6BC4" w:rsidRDefault="006D6BC4" w:rsidP="006D6BC4">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Structural breaks act as gateways between regimes, reshaping the balance between risk and opportunity.</w:t>
      </w:r>
    </w:p>
    <w:p w:rsidR="00040FD2" w:rsidRDefault="006D6BC4" w:rsidP="006D6BC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 result, the most appropriate analytical path forward is not price forecasting, but </w:t>
      </w:r>
      <w:r>
        <w:rPr>
          <w:rFonts w:ascii="Times New Roman" w:eastAsia="Times New Roman" w:hAnsi="Times New Roman" w:cs="Times New Roman"/>
          <w:b/>
          <w:bCs/>
          <w:sz w:val="24"/>
          <w:szCs w:val="24"/>
        </w:rPr>
        <w:t>volatility-focused and regime-aware modeling</w:t>
      </w:r>
      <w:r>
        <w:rPr>
          <w:rFonts w:ascii="Times New Roman" w:eastAsia="Times New Roman" w:hAnsi="Times New Roman" w:cs="Times New Roman"/>
          <w:sz w:val="24"/>
          <w:szCs w:val="24"/>
        </w:rPr>
        <w:t>, which aligns with the empirical behavior observed in the data.</w:t>
      </w:r>
    </w:p>
    <w:p w:rsidR="00490A72" w:rsidRDefault="009B79D1" w:rsidP="006D6BC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040FD2" w:rsidRPr="00ED18DF" w:rsidRDefault="00040FD2" w:rsidP="00ED18DF">
      <w:pPr>
        <w:pStyle w:val="Heading3"/>
      </w:pPr>
      <w:bookmarkStart w:id="4" w:name="_Toc218670774"/>
      <w:r>
        <w:t>Investor Perspective</w:t>
      </w:r>
      <w:bookmarkEnd w:id="4"/>
    </w:p>
    <w:p w:rsidR="00040FD2" w:rsidRDefault="00040FD2" w:rsidP="00040FD2">
      <w:pPr>
        <w:pStyle w:val="NormalWeb"/>
      </w:pPr>
      <w:r>
        <w:t xml:space="preserve">In practical terms, this analysis shows that Safaricom’s share price does not behave like a smooth growth asset that can be forecasted reliably from past prices alone. Instead, it behaves like an asset that </w:t>
      </w:r>
      <w:r>
        <w:rPr>
          <w:rStyle w:val="Strong"/>
        </w:rPr>
        <w:t>moves through phases of uncertainty and stability</w:t>
      </w:r>
      <w:r>
        <w:t>, often triggered by economic, policy, or firm-specific developments.</w:t>
      </w:r>
    </w:p>
    <w:p w:rsidR="00040FD2" w:rsidRDefault="00040FD2" w:rsidP="00040FD2">
      <w:pPr>
        <w:pStyle w:val="NormalWeb"/>
      </w:pPr>
      <w:r>
        <w:t>During some periods, uncertainty dominates and price movements become volatile and unpredictable. In other periods, risk stabilizes and the market begins to rebuild confidence, allowing value to accumulate over time. These phases do not occur randomly — they tend to persist once established.</w:t>
      </w:r>
    </w:p>
    <w:p w:rsidR="00040FD2" w:rsidRDefault="00040FD2" w:rsidP="00040FD2">
      <w:pPr>
        <w:pStyle w:val="NormalWeb"/>
      </w:pPr>
      <w:r>
        <w:t xml:space="preserve">From an investment perspective, this means that </w:t>
      </w:r>
      <w:r>
        <w:rPr>
          <w:rStyle w:val="Strong"/>
        </w:rPr>
        <w:t>understanding when risk is rising or stabilizing is more valuable than attempting to predict short-term price movements</w:t>
      </w:r>
      <w:r>
        <w:t>. The most meaningful insights come from identifying when the market is uncertain, when it is stabilizing, and how long those conditions tend to last.</w:t>
      </w:r>
    </w:p>
    <w:p w:rsidR="00040FD2" w:rsidRPr="00080170" w:rsidRDefault="00490A72" w:rsidP="00490A72">
      <w:pPr>
        <w:spacing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Cs/>
          <w:sz w:val="24"/>
          <w:szCs w:val="24"/>
        </w:rPr>
        <w:t xml:space="preserve">In summary, Safaricom’s stock is </w:t>
      </w:r>
      <w:r>
        <w:rPr>
          <w:rFonts w:ascii="Times New Roman" w:eastAsia="Times New Roman" w:hAnsi="Times New Roman" w:cs="Times New Roman"/>
          <w:b/>
          <w:bCs/>
          <w:sz w:val="24"/>
          <w:szCs w:val="24"/>
        </w:rPr>
        <w:t>not best understood as a price to be predicted</w:t>
      </w:r>
      <w:r>
        <w:rPr>
          <w:rFonts w:ascii="Times New Roman" w:eastAsia="Times New Roman" w:hAnsi="Times New Roman" w:cs="Times New Roman"/>
          <w:bCs/>
          <w:sz w:val="24"/>
          <w:szCs w:val="24"/>
        </w:rPr>
        <w:t xml:space="preserve">, but as </w:t>
      </w:r>
      <w:r>
        <w:rPr>
          <w:rFonts w:ascii="Times New Roman" w:eastAsia="Times New Roman" w:hAnsi="Times New Roman" w:cs="Times New Roman"/>
          <w:b/>
          <w:bCs/>
          <w:sz w:val="24"/>
          <w:szCs w:val="24"/>
        </w:rPr>
        <w:t>a system that transitions between regimes of uncertainty and stability</w:t>
      </w:r>
      <w:r>
        <w:rPr>
          <w:rFonts w:ascii="Times New Roman" w:eastAsia="Times New Roman" w:hAnsi="Times New Roman" w:cs="Times New Roman"/>
          <w:bCs/>
          <w:sz w:val="24"/>
          <w:szCs w:val="24"/>
        </w:rPr>
        <w:t xml:space="preserve">. In this context, understanding and </w:t>
      </w:r>
      <w:r>
        <w:rPr>
          <w:rFonts w:ascii="Times New Roman" w:eastAsia="Times New Roman" w:hAnsi="Times New Roman" w:cs="Times New Roman"/>
          <w:b/>
          <w:bCs/>
          <w:sz w:val="24"/>
          <w:szCs w:val="24"/>
        </w:rPr>
        <w:t>modeling risk is more informative than forecasting returns</w:t>
      </w:r>
      <w:r>
        <w:rPr>
          <w:rFonts w:ascii="Times New Roman" w:eastAsia="Times New Roman" w:hAnsi="Times New Roman" w:cs="Times New Roman"/>
          <w:bCs/>
          <w:sz w:val="24"/>
          <w:szCs w:val="24"/>
        </w:rPr>
        <w:t xml:space="preserve">. </w:t>
      </w:r>
      <w:r>
        <w:rPr>
          <w:rFonts w:ascii="Times New Roman" w:hAnsi="Times New Roman" w:cs="Times New Roman"/>
          <w:sz w:val="24"/>
        </w:rPr>
        <w:t xml:space="preserve">This reframing shifts the analytical focus from </w:t>
      </w:r>
      <w:r>
        <w:rPr>
          <w:rFonts w:ascii="Times New Roman" w:hAnsi="Times New Roman" w:cs="Times New Roman"/>
          <w:b/>
          <w:sz w:val="24"/>
        </w:rPr>
        <w:t>“Where will the price go next?”</w:t>
      </w:r>
      <w:r>
        <w:rPr>
          <w:rFonts w:ascii="Times New Roman" w:hAnsi="Times New Roman" w:cs="Times New Roman"/>
          <w:sz w:val="24"/>
        </w:rPr>
        <w:t xml:space="preserve"> to “</w:t>
      </w:r>
      <w:r>
        <w:rPr>
          <w:rFonts w:ascii="Times New Roman" w:hAnsi="Times New Roman" w:cs="Times New Roman"/>
          <w:b/>
          <w:sz w:val="24"/>
        </w:rPr>
        <w:t>How risky is the environment</w:t>
      </w:r>
      <w:r>
        <w:rPr>
          <w:rFonts w:ascii="Times New Roman" w:hAnsi="Times New Roman" w:cs="Times New Roman"/>
          <w:sz w:val="24"/>
        </w:rPr>
        <w:t xml:space="preserve"> we are operating in right now, and how is that changing?”</w:t>
      </w:r>
    </w:p>
    <w:p w:rsidR="00040FD2" w:rsidRPr="006D6BC4" w:rsidRDefault="00040FD2" w:rsidP="006D6BC4">
      <w:pPr>
        <w:spacing w:before="100" w:beforeAutospacing="1" w:after="100" w:afterAutospacing="1" w:line="240" w:lineRule="auto"/>
        <w:rPr>
          <w:rFonts w:ascii="Times New Roman" w:eastAsia="Times New Roman" w:hAnsi="Times New Roman" w:cs="Times New Roman"/>
          <w:sz w:val="24"/>
          <w:szCs w:val="24"/>
        </w:rPr>
      </w:pPr>
    </w:p>
    <w:p w:rsidR="006D6BC4" w:rsidRPr="006D6BC4" w:rsidRDefault="009B79D1" w:rsidP="006D6BC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6D6BC4" w:rsidRPr="00ED18DF" w:rsidRDefault="006D6BC4" w:rsidP="00ED18DF">
      <w:pPr>
        <w:pStyle w:val="Heading2"/>
      </w:pPr>
      <w:bookmarkStart w:id="5" w:name="_Toc218670775"/>
      <w:r>
        <w:t>Scope of This Report and Forward Direction</w:t>
      </w:r>
      <w:bookmarkEnd w:id="5"/>
    </w:p>
    <w:p w:rsidR="006D6BC4" w:rsidRPr="006D6BC4" w:rsidRDefault="006D6BC4" w:rsidP="006D6BC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report therefore concentrates on:</w:t>
      </w:r>
    </w:p>
    <w:p w:rsidR="006D6BC4" w:rsidRPr="006D6BC4" w:rsidRDefault="006D6BC4" w:rsidP="006D6BC4">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Diagnosing Safaricom’s market behavior,</w:t>
      </w:r>
    </w:p>
    <w:p w:rsidR="006D6BC4" w:rsidRPr="006D6BC4" w:rsidRDefault="006D6BC4" w:rsidP="006D6BC4">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Interpreting structural breaks and regime dynamics,</w:t>
      </w:r>
    </w:p>
    <w:p w:rsidR="006D6BC4" w:rsidRPr="006D6BC4" w:rsidRDefault="006D6BC4" w:rsidP="006D6BC4">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Framing the asset through a </w:t>
      </w:r>
      <w:r>
        <w:rPr>
          <w:rFonts w:ascii="Times New Roman" w:eastAsia="Times New Roman" w:hAnsi="Times New Roman" w:cs="Times New Roman"/>
          <w:b/>
          <w:bCs/>
          <w:sz w:val="24"/>
          <w:szCs w:val="24"/>
        </w:rPr>
        <w:t xml:space="preserve">risk versus opportunity </w:t>
      </w:r>
      <w:r>
        <w:rPr>
          <w:rFonts w:ascii="Times New Roman" w:eastAsia="Times New Roman" w:hAnsi="Times New Roman" w:cs="Times New Roman"/>
          <w:bCs/>
          <w:sz w:val="24"/>
          <w:szCs w:val="24"/>
        </w:rPr>
        <w:t>lens</w:t>
      </w:r>
      <w:r>
        <w:rPr>
          <w:rFonts w:ascii="Times New Roman" w:eastAsia="Times New Roman" w:hAnsi="Times New Roman" w:cs="Times New Roman"/>
          <w:sz w:val="24"/>
          <w:szCs w:val="24"/>
        </w:rPr>
        <w:t>.</w:t>
      </w:r>
    </w:p>
    <w:p w:rsidR="006D6BC4" w:rsidRDefault="006D6BC4" w:rsidP="001670E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Model-based volatility forecasting and regime-switching models are identified as the natural next step, but are intentionally reserved for subsequent work to ensure that modeling choices are grounded in a clear understanding of the underlying market structure.</w:t>
      </w:r>
    </w:p>
    <w:p w:rsidR="0040044A" w:rsidRDefault="00E164D9">
      <w:pPr>
        <w:pStyle w:val="NormalWeb"/>
      </w:pPr>
      <w:r>
        <w:t>A live event since the analysis window — Vodacom’s move to a controlling 55% stake (announced December 2025, closed June 2026) — has since provided an out-of-sample test of this thesis; it is examined in Forward Work.</w:t>
      </w:r>
    </w:p>
    <w:p w:rsidR="0051099A" w:rsidRDefault="0051099A" w:rsidP="006D6BC4">
      <w:pPr>
        <w:pStyle w:val="NormalWeb"/>
      </w:pPr>
    </w:p>
    <w:p w:rsidR="008D701E" w:rsidRDefault="008D701E" w:rsidP="006D6BC4">
      <w:pPr>
        <w:pStyle w:val="NormalWeb"/>
      </w:pPr>
    </w:p>
    <w:p w:rsidR="008D701E" w:rsidRDefault="009B79D1" w:rsidP="006D6BC4">
      <w:pPr>
        <w:pStyle w:val="NormalWeb"/>
      </w:pPr>
      <w:r>
        <w:pict>
          <v:rect id="_x0000_i1031" style="width:0;height:1.5pt" o:hralign="center" o:hrstd="t" o:hr="t" fillcolor="#a0a0a0" stroked="f"/>
        </w:pict>
      </w:r>
    </w:p>
    <w:p w:rsidR="008D701E" w:rsidRDefault="009B79D1" w:rsidP="006D6BC4">
      <w:pPr>
        <w:pStyle w:val="NormalWeb"/>
      </w:pPr>
      <w:r>
        <w:pict>
          <v:rect id="_x0000_i1032" style="width:0;height:1.5pt" o:hralign="center" o:hrstd="t" o:hr="t" fillcolor="#a0a0a0" stroked="f"/>
        </w:pict>
      </w:r>
    </w:p>
    <w:p w:rsidR="008D701E" w:rsidRDefault="008D701E" w:rsidP="006D6BC4">
      <w:pPr>
        <w:pStyle w:val="NormalWeb"/>
      </w:pPr>
    </w:p>
    <w:p w:rsidR="008D701E" w:rsidRDefault="008D701E" w:rsidP="006D6BC4">
      <w:pPr>
        <w:pStyle w:val="NormalWeb"/>
      </w:pPr>
    </w:p>
    <w:p w:rsidR="00490A72" w:rsidRDefault="0028756B" w:rsidP="0028756B">
      <w:pPr>
        <w:pStyle w:val="Heading1"/>
      </w:pPr>
      <w:bookmarkStart w:id="6" w:name="_Toc218670776"/>
      <w:r>
        <w:t>KEY CONCEPTS &amp; DEFINITIONS</w:t>
      </w:r>
      <w:bookmarkEnd w:id="6"/>
    </w:p>
    <w:p w:rsidR="0028756B" w:rsidRDefault="0028756B" w:rsidP="0028756B">
      <w:pPr>
        <w:pStyle w:val="NormalWeb"/>
        <w:rPr>
          <w:rStyle w:val="Strong"/>
          <w:b w:val="0"/>
        </w:rPr>
      </w:pPr>
      <w:r>
        <w:rPr>
          <w:rStyle w:val="Strong"/>
          <w:b w:val="0"/>
        </w:rPr>
        <w:t xml:space="preserve">Due to the technical nature of this report, some definitions may be useful to keep in mind in order to fully grasp the contents herein. The following terms should help clarify some of the nuanced terminology and technical jargon for a non-technical audience as well as provide refresher relevant for vocabulary contained in this report. </w:t>
      </w:r>
    </w:p>
    <w:p w:rsidR="0028756B" w:rsidRPr="0028756B" w:rsidRDefault="00D32FE2" w:rsidP="0028756B">
      <w:pPr>
        <w:pStyle w:val="NormalWeb"/>
        <w:rPr>
          <w:rStyle w:val="Strong"/>
          <w:b w:val="0"/>
        </w:rPr>
      </w:pPr>
      <w:r>
        <w:rPr>
          <w:rStyle w:val="Strong"/>
          <w:b w:val="0"/>
        </w:rPr>
        <w:t>The list of key concepts is as follows:</w:t>
      </w:r>
    </w:p>
    <w:p w:rsidR="0028756B" w:rsidRDefault="0028756B" w:rsidP="008D701E">
      <w:pPr>
        <w:pStyle w:val="NormalWeb"/>
        <w:numPr>
          <w:ilvl w:val="0"/>
          <w:numId w:val="46"/>
        </w:numPr>
      </w:pPr>
      <w:r>
        <w:rPr>
          <w:rStyle w:val="Strong"/>
        </w:rPr>
        <w:t>Structural Break</w:t>
      </w:r>
      <w:r>
        <w:t xml:space="preserve"> - Point in time where the underlying data-generating process changes. This means that statistical properties, such as mean or variance, are altered, often due to external events or policy changes.</w:t>
      </w:r>
    </w:p>
    <w:p w:rsidR="0028756B" w:rsidRDefault="0028756B" w:rsidP="008D701E">
      <w:pPr>
        <w:pStyle w:val="NormalWeb"/>
        <w:numPr>
          <w:ilvl w:val="0"/>
          <w:numId w:val="46"/>
        </w:numPr>
      </w:pPr>
      <w:r>
        <w:rPr>
          <w:rStyle w:val="Strong"/>
        </w:rPr>
        <w:t>Regime Shift</w:t>
      </w:r>
      <w:r>
        <w:t xml:space="preserve"> - Represents a significant change in the behavior of a time series, often characterized by different patterns in trends, volatility, and correlations. It usually indicates a shift from one market condition to another.</w:t>
      </w:r>
    </w:p>
    <w:p w:rsidR="00D32FE2" w:rsidRDefault="00D32FE2" w:rsidP="008D701E">
      <w:pPr>
        <w:pStyle w:val="NormalWeb"/>
        <w:numPr>
          <w:ilvl w:val="0"/>
          <w:numId w:val="46"/>
        </w:numPr>
      </w:pPr>
      <w:r>
        <w:rPr>
          <w:rStyle w:val="Strong"/>
        </w:rPr>
        <w:t>Volatility Regime</w:t>
      </w:r>
      <w:r>
        <w:t xml:space="preserve"> - Period during which the level and behavior of volatility remain relatively stable. Within each regime, volatility patterns are consistent, but they can change when a regime shift occurs.</w:t>
      </w:r>
    </w:p>
    <w:p w:rsidR="0028756B" w:rsidRDefault="0028756B" w:rsidP="008D701E">
      <w:pPr>
        <w:pStyle w:val="NormalWeb"/>
        <w:numPr>
          <w:ilvl w:val="0"/>
          <w:numId w:val="46"/>
        </w:numPr>
      </w:pPr>
      <w:r>
        <w:rPr>
          <w:rStyle w:val="Strong"/>
        </w:rPr>
        <w:t>Simple Return</w:t>
      </w:r>
      <w:r>
        <w:t xml:space="preserve"> - Measures the percentage change in the price of an asset over a specific period. It’s calculated as the difference between the ending and starting prices, divided by the starting price.</w:t>
      </w:r>
    </w:p>
    <w:p w:rsidR="0028756B" w:rsidRDefault="0028756B" w:rsidP="008D701E">
      <w:pPr>
        <w:pStyle w:val="NormalWeb"/>
        <w:numPr>
          <w:ilvl w:val="0"/>
          <w:numId w:val="46"/>
        </w:numPr>
      </w:pPr>
      <w:r>
        <w:rPr>
          <w:rStyle w:val="Strong"/>
        </w:rPr>
        <w:t>Log Return</w:t>
      </w:r>
      <w:r>
        <w:t xml:space="preserve"> – Is the natural logarithm of the ratio of the ending price to the starting price. It’s often preferred in finance because it is time-additive and easier to handle in continuous compounding.</w:t>
      </w:r>
    </w:p>
    <w:p w:rsidR="0028756B" w:rsidRDefault="0028756B" w:rsidP="008D701E">
      <w:pPr>
        <w:pStyle w:val="NormalWeb"/>
        <w:numPr>
          <w:ilvl w:val="0"/>
          <w:numId w:val="46"/>
        </w:numPr>
      </w:pPr>
      <w:r>
        <w:rPr>
          <w:rStyle w:val="Strong"/>
        </w:rPr>
        <w:t>Repricing</w:t>
      </w:r>
      <w:r>
        <w:t xml:space="preserve"> – Refers to the adjustment of an asset’s value to reflect new information, market conditions, or changes in fundamentals.</w:t>
      </w:r>
    </w:p>
    <w:p w:rsidR="0028756B" w:rsidRDefault="0028756B" w:rsidP="008D701E">
      <w:pPr>
        <w:pStyle w:val="NormalWeb"/>
        <w:numPr>
          <w:ilvl w:val="0"/>
          <w:numId w:val="46"/>
        </w:numPr>
      </w:pPr>
      <w:r>
        <w:rPr>
          <w:rStyle w:val="Strong"/>
        </w:rPr>
        <w:t>Capital Preservation</w:t>
      </w:r>
      <w:r>
        <w:t xml:space="preserve"> - Is an investment strategy focused on preventing the loss of the initial investment. It prioritizes minimizing risk over achieving high returns.</w:t>
      </w:r>
    </w:p>
    <w:p w:rsidR="0028756B" w:rsidRDefault="0028756B" w:rsidP="008D701E">
      <w:pPr>
        <w:pStyle w:val="NormalWeb"/>
        <w:numPr>
          <w:ilvl w:val="0"/>
          <w:numId w:val="46"/>
        </w:numPr>
      </w:pPr>
      <w:r>
        <w:rPr>
          <w:rStyle w:val="Strong"/>
        </w:rPr>
        <w:t>Regime Behaviour</w:t>
      </w:r>
      <w:r>
        <w:br/>
        <w:t>Regime behavior refers to the characteristic patterns and dynamics of an asset within a specific market regime, including trends, volatility, and correlation structures.</w:t>
      </w:r>
    </w:p>
    <w:p w:rsidR="0028756B" w:rsidRDefault="0028756B" w:rsidP="008D701E">
      <w:pPr>
        <w:pStyle w:val="NormalWeb"/>
        <w:numPr>
          <w:ilvl w:val="0"/>
          <w:numId w:val="46"/>
        </w:numPr>
      </w:pPr>
      <w:r>
        <w:rPr>
          <w:rStyle w:val="Strong"/>
        </w:rPr>
        <w:t>Volatility Forecasting</w:t>
      </w:r>
      <w:r>
        <w:t xml:space="preserve"> – This involves predicting future levels of market volatility, using historical data and statistical models to anticipate periods of increased or decreased risk.</w:t>
      </w:r>
    </w:p>
    <w:p w:rsidR="0028756B" w:rsidRDefault="0028756B" w:rsidP="008D701E">
      <w:pPr>
        <w:pStyle w:val="NormalWeb"/>
        <w:numPr>
          <w:ilvl w:val="0"/>
          <w:numId w:val="46"/>
        </w:numPr>
      </w:pPr>
      <w:r>
        <w:rPr>
          <w:rStyle w:val="Strong"/>
        </w:rPr>
        <w:t>Volatility Proxy</w:t>
      </w:r>
      <w:r>
        <w:t xml:space="preserve"> - Is an indicator or measure that approximates market volatility, often derived from trading volume, option prices, or other related metrics.</w:t>
      </w:r>
    </w:p>
    <w:p w:rsidR="0028756B" w:rsidRDefault="0028756B" w:rsidP="008D701E">
      <w:pPr>
        <w:pStyle w:val="NormalWeb"/>
        <w:numPr>
          <w:ilvl w:val="0"/>
          <w:numId w:val="46"/>
        </w:numPr>
      </w:pPr>
      <w:r>
        <w:rPr>
          <w:rStyle w:val="Strong"/>
        </w:rPr>
        <w:t>Rolling Statistics</w:t>
      </w:r>
      <w:r>
        <w:t xml:space="preserve"> – Are calculations, such as mean or variance, that are computed over a moving window of data points. This helps in understanding trends and volatility over time.</w:t>
      </w:r>
    </w:p>
    <w:p w:rsidR="0028756B" w:rsidRDefault="0028756B" w:rsidP="008D701E">
      <w:pPr>
        <w:pStyle w:val="NormalWeb"/>
        <w:numPr>
          <w:ilvl w:val="0"/>
          <w:numId w:val="46"/>
        </w:numPr>
      </w:pPr>
      <w:r>
        <w:rPr>
          <w:rStyle w:val="Strong"/>
        </w:rPr>
        <w:t>Market Regime</w:t>
      </w:r>
      <w:r>
        <w:t xml:space="preserve"> is a distinct period during which the market behaves in a consistent manner, with stable patterns in returns, volatility, and correlations.</w:t>
      </w:r>
    </w:p>
    <w:p w:rsidR="009F2180" w:rsidRPr="009F2180" w:rsidRDefault="009F2180" w:rsidP="008D701E">
      <w:pPr>
        <w:pStyle w:val="NormalWeb"/>
        <w:numPr>
          <w:ilvl w:val="0"/>
          <w:numId w:val="46"/>
        </w:numPr>
        <w:rPr>
          <w:b/>
        </w:rPr>
      </w:pPr>
      <w:r>
        <w:rPr>
          <w:b/>
        </w:rPr>
        <w:t xml:space="preserve">Regime-Aware Market Analysis </w:t>
      </w:r>
      <w:r>
        <w:t>is an approach that explicitly recognizes that markets behave differently under different conditions (regimes). Instead of assuming one stable pattern over time, it adapts interpretation, risk assessment, and modeling to the prevailing market regime.</w:t>
      </w:r>
    </w:p>
    <w:p w:rsidR="008D701E" w:rsidRDefault="009F2180" w:rsidP="008D701E">
      <w:pPr>
        <w:pStyle w:val="NormalWeb"/>
        <w:numPr>
          <w:ilvl w:val="0"/>
          <w:numId w:val="46"/>
        </w:numPr>
      </w:pPr>
      <w:r>
        <w:rPr>
          <w:b/>
        </w:rPr>
        <w:t>ACF–PACF</w:t>
      </w:r>
      <w:r>
        <w:t xml:space="preserve"> (Autocorrelation Function &amp; Partial Autocorrelation Function)</w:t>
      </w:r>
    </w:p>
    <w:p w:rsidR="009F2180" w:rsidRDefault="009F2180" w:rsidP="008D701E">
      <w:pPr>
        <w:pStyle w:val="NormalWeb"/>
        <w:numPr>
          <w:ilvl w:val="0"/>
          <w:numId w:val="47"/>
        </w:numPr>
      </w:pPr>
      <w:r>
        <w:t>ACF measures how a variable correlates with its own past values across different time lags.</w:t>
      </w:r>
    </w:p>
    <w:p w:rsidR="009F2180" w:rsidRDefault="009F2180" w:rsidP="008D701E">
      <w:pPr>
        <w:pStyle w:val="NormalWeb"/>
        <w:numPr>
          <w:ilvl w:val="0"/>
          <w:numId w:val="47"/>
        </w:numPr>
      </w:pPr>
      <w:r>
        <w:t>PACF measures the direct correlation between a variable and a specific lag, removing the influence of intermediate lags.</w:t>
      </w:r>
    </w:p>
    <w:p w:rsidR="009F2180" w:rsidRDefault="009F2180" w:rsidP="008D701E">
      <w:pPr>
        <w:pStyle w:val="NormalWeb"/>
        <w:numPr>
          <w:ilvl w:val="0"/>
          <w:numId w:val="46"/>
        </w:numPr>
      </w:pPr>
      <w:r>
        <w:rPr>
          <w:b/>
        </w:rPr>
        <w:t>Lag Structure</w:t>
      </w:r>
      <w:r>
        <w:t xml:space="preserve"> - Refers to how past values of a variable influence its current value over time. It defines which historical periods are statistically relevant to current behavior.</w:t>
      </w:r>
    </w:p>
    <w:p w:rsidR="009F2180" w:rsidRDefault="009F2180" w:rsidP="008D701E">
      <w:pPr>
        <w:pStyle w:val="NormalWeb"/>
        <w:numPr>
          <w:ilvl w:val="0"/>
          <w:numId w:val="46"/>
        </w:numPr>
      </w:pPr>
      <w:r>
        <w:rPr>
          <w:b/>
        </w:rPr>
        <w:t>QQ Plot</w:t>
      </w:r>
      <w:r>
        <w:t xml:space="preserve"> (Quantile–Quantile Plot) - Is used to compare the distribution of observed data to a theoretical distribution (often normal). Deviations from the reference line indicate skewness, fat tails, or non-normal behavior.</w:t>
      </w:r>
    </w:p>
    <w:p w:rsidR="009F2180" w:rsidRDefault="009F2180" w:rsidP="008D701E">
      <w:pPr>
        <w:pStyle w:val="NormalWeb"/>
        <w:numPr>
          <w:ilvl w:val="0"/>
          <w:numId w:val="46"/>
        </w:numPr>
      </w:pPr>
      <w:r>
        <w:rPr>
          <w:b/>
        </w:rPr>
        <w:t>Non-Stationary</w:t>
      </w:r>
      <w:r>
        <w:t xml:space="preserve"> - Describes a time series is non-stationary when its statistical properties (mean, variance, or correlation structure) change over time.</w:t>
      </w:r>
    </w:p>
    <w:p w:rsidR="009F2180" w:rsidRDefault="009F2180" w:rsidP="008D701E">
      <w:pPr>
        <w:pStyle w:val="NormalWeb"/>
        <w:numPr>
          <w:ilvl w:val="0"/>
          <w:numId w:val="46"/>
        </w:numPr>
      </w:pPr>
      <w:r>
        <w:rPr>
          <w:b/>
        </w:rPr>
        <w:t>Decomposition</w:t>
      </w:r>
      <w:r>
        <w:t xml:space="preserve"> – Technique that breaks down a time series into components such as trend, seasonality, and residual noise.</w:t>
      </w:r>
    </w:p>
    <w:p w:rsidR="00D32FE2" w:rsidRDefault="00D32FE2" w:rsidP="008D701E">
      <w:pPr>
        <w:pStyle w:val="Heading3"/>
        <w:numPr>
          <w:ilvl w:val="0"/>
          <w:numId w:val="46"/>
        </w:numPr>
        <w:rPr>
          <w:b w:val="0"/>
          <w:sz w:val="24"/>
          <w:szCs w:val="24"/>
        </w:rPr>
      </w:pPr>
      <w:bookmarkStart w:id="7" w:name="_Toc218670777"/>
      <w:r>
        <w:rPr>
          <w:rStyle w:val="Strong"/>
          <w:b/>
          <w:bCs/>
          <w:sz w:val="24"/>
          <w:szCs w:val="24"/>
        </w:rPr>
        <w:t xml:space="preserve">Standard Deviation - </w:t>
      </w:r>
      <w:r>
        <w:rPr>
          <w:b w:val="0"/>
          <w:sz w:val="24"/>
          <w:szCs w:val="24"/>
        </w:rPr>
        <w:t>Measures how much returns typically deviate from their average value over a given period. It is the most commonly used practical measure of market volatility.</w:t>
      </w:r>
      <w:bookmarkEnd w:id="7"/>
    </w:p>
    <w:p w:rsidR="00D32FE2" w:rsidRPr="00D32FE2" w:rsidRDefault="00D32FE2" w:rsidP="008D701E">
      <w:pPr>
        <w:pStyle w:val="Heading3"/>
        <w:numPr>
          <w:ilvl w:val="0"/>
          <w:numId w:val="46"/>
        </w:numPr>
        <w:rPr>
          <w:sz w:val="24"/>
          <w:szCs w:val="24"/>
        </w:rPr>
      </w:pPr>
      <w:bookmarkStart w:id="8" w:name="_Toc218670778"/>
      <w:r>
        <w:rPr>
          <w:sz w:val="24"/>
          <w:szCs w:val="24"/>
        </w:rPr>
        <w:t xml:space="preserve">Variance - </w:t>
      </w:r>
      <w:r>
        <w:rPr>
          <w:b w:val="0"/>
          <w:sz w:val="24"/>
          <w:szCs w:val="24"/>
        </w:rPr>
        <w:t>Is the square of standard deviation and represents the average magnitude of deviations from the mean return.</w:t>
      </w:r>
      <w:bookmarkEnd w:id="8"/>
    </w:p>
    <w:p w:rsidR="009F2180" w:rsidRDefault="00D32FE2" w:rsidP="008D701E">
      <w:pPr>
        <w:pStyle w:val="NormalWeb"/>
        <w:numPr>
          <w:ilvl w:val="0"/>
          <w:numId w:val="46"/>
        </w:numPr>
      </w:pPr>
      <w:r>
        <w:rPr>
          <w:b/>
        </w:rPr>
        <w:t>Autocorrelation</w:t>
      </w:r>
      <w:r>
        <w:t xml:space="preserve"> - Is the correlation of a variable with its own past values.</w:t>
      </w:r>
    </w:p>
    <w:p w:rsidR="009F2180" w:rsidRDefault="00D32FE2" w:rsidP="008D701E">
      <w:pPr>
        <w:pStyle w:val="NormalWeb"/>
        <w:numPr>
          <w:ilvl w:val="0"/>
          <w:numId w:val="46"/>
        </w:numPr>
      </w:pPr>
      <w:r>
        <w:rPr>
          <w:b/>
        </w:rPr>
        <w:t>Variance</w:t>
      </w:r>
      <w:r>
        <w:t xml:space="preserve"> - Measures the dispersion of returns around their mean and is a fundamental measure of risk.</w:t>
      </w:r>
    </w:p>
    <w:p w:rsidR="009F2180" w:rsidRDefault="009F2180" w:rsidP="009F2180">
      <w:pPr>
        <w:pStyle w:val="NormalWeb"/>
      </w:pPr>
    </w:p>
    <w:p w:rsidR="009F2180" w:rsidRDefault="00D32FE2" w:rsidP="008D701E">
      <w:pPr>
        <w:pStyle w:val="NormalWeb"/>
        <w:numPr>
          <w:ilvl w:val="0"/>
          <w:numId w:val="46"/>
        </w:numPr>
      </w:pPr>
      <w:r>
        <w:rPr>
          <w:b/>
        </w:rPr>
        <w:t>Regime-Dependent</w:t>
      </w:r>
      <w:r>
        <w:t xml:space="preserve"> - A process is regime-dependent when its behavior changes depending on the prevailing market regime.</w:t>
      </w:r>
    </w:p>
    <w:p w:rsidR="009F2180" w:rsidRDefault="00D32FE2" w:rsidP="008D701E">
      <w:pPr>
        <w:pStyle w:val="NormalWeb"/>
        <w:numPr>
          <w:ilvl w:val="0"/>
          <w:numId w:val="46"/>
        </w:numPr>
      </w:pPr>
      <w:r>
        <w:rPr>
          <w:b/>
        </w:rPr>
        <w:t>Volatility Clustering</w:t>
      </w:r>
      <w:r>
        <w:t xml:space="preserve"> - Refers to the tendency for high-volatility periods to follow high-volatility periods, and low-volatility periods to follow low-volatility periods.</w:t>
      </w:r>
    </w:p>
    <w:p w:rsidR="00D32FE2" w:rsidRPr="00D32FE2" w:rsidRDefault="00D32FE2" w:rsidP="008D701E">
      <w:pPr>
        <w:pStyle w:val="Heading3"/>
        <w:numPr>
          <w:ilvl w:val="0"/>
          <w:numId w:val="46"/>
        </w:numPr>
        <w:rPr>
          <w:b w:val="0"/>
          <w:sz w:val="24"/>
          <w:szCs w:val="24"/>
        </w:rPr>
      </w:pPr>
      <w:bookmarkStart w:id="9" w:name="_Toc218670779"/>
      <w:r>
        <w:rPr>
          <w:rStyle w:val="Strong"/>
          <w:b/>
          <w:bCs/>
          <w:sz w:val="24"/>
          <w:szCs w:val="24"/>
        </w:rPr>
        <w:t xml:space="preserve">Correlation - </w:t>
      </w:r>
      <w:r>
        <w:rPr>
          <w:b w:val="0"/>
          <w:sz w:val="24"/>
          <w:szCs w:val="24"/>
        </w:rPr>
        <w:t>Measures the degree to which two variables move in relation to each other, ranging from -1 (move in opposite directions) to +1 (move in the same direction).</w:t>
      </w:r>
      <w:bookmarkEnd w:id="9"/>
    </w:p>
    <w:p w:rsidR="00D32FE2" w:rsidRPr="00D32FE2" w:rsidRDefault="00D32FE2" w:rsidP="008D701E">
      <w:pPr>
        <w:pStyle w:val="Heading3"/>
        <w:numPr>
          <w:ilvl w:val="0"/>
          <w:numId w:val="46"/>
        </w:numPr>
        <w:rPr>
          <w:b w:val="0"/>
        </w:rPr>
      </w:pPr>
      <w:bookmarkStart w:id="10" w:name="_Toc218670780"/>
      <w:r>
        <w:rPr>
          <w:rStyle w:val="Strong"/>
          <w:b/>
          <w:bCs/>
          <w:sz w:val="24"/>
          <w:szCs w:val="24"/>
        </w:rPr>
        <w:t>Mean Reversion -</w:t>
      </w:r>
      <w:r>
        <w:rPr>
          <w:rStyle w:val="Strong"/>
          <w:b/>
          <w:bCs/>
        </w:rPr>
        <w:t xml:space="preserve"> </w:t>
      </w:r>
      <w:r>
        <w:rPr>
          <w:b w:val="0"/>
          <w:sz w:val="24"/>
          <w:szCs w:val="24"/>
        </w:rPr>
        <w:t>Refers to the tendency of an asset’s price or returns to move back toward its long-term average after periods of unusually high or low values.</w:t>
      </w:r>
      <w:bookmarkEnd w:id="10"/>
    </w:p>
    <w:p w:rsidR="0028756B" w:rsidRDefault="0028756B" w:rsidP="006D6BC4">
      <w:pPr>
        <w:pStyle w:val="NormalWeb"/>
      </w:pPr>
    </w:p>
    <w:p w:rsidR="00D32FE2" w:rsidRDefault="00D32FE2" w:rsidP="006D6BC4">
      <w:pPr>
        <w:pStyle w:val="NormalWeb"/>
      </w:pPr>
    </w:p>
    <w:p w:rsidR="0028756B" w:rsidRDefault="009B79D1" w:rsidP="006D6BC4">
      <w:pPr>
        <w:pStyle w:val="NormalWeb"/>
      </w:pPr>
      <w:r>
        <w:pict>
          <v:rect id="_x0000_i1033" style="width:0;height:1.5pt" o:hralign="center" o:hrstd="t" o:hr="t" fillcolor="#a0a0a0" stroked="f"/>
        </w:pict>
      </w:r>
    </w:p>
    <w:p w:rsidR="0028756B" w:rsidRDefault="009B79D1" w:rsidP="00D32FE2">
      <w:pPr>
        <w:pStyle w:val="NormalWeb"/>
      </w:pPr>
      <w:r>
        <w:pict>
          <v:rect id="_x0000_i1034" style="width:0;height:1.5pt" o:hralign="center" o:hrstd="t" o:hr="t" fillcolor="#a0a0a0" stroked="f"/>
        </w:pict>
      </w:r>
    </w:p>
    <w:p w:rsidR="00D32FE2" w:rsidRDefault="00D32FE2" w:rsidP="00D32FE2">
      <w:pPr>
        <w:pStyle w:val="NormalWeb"/>
      </w:pPr>
    </w:p>
    <w:p w:rsidR="00D32FE2" w:rsidRDefault="00D32FE2" w:rsidP="00D32FE2">
      <w:pPr>
        <w:pStyle w:val="NormalWeb"/>
      </w:pPr>
    </w:p>
    <w:p w:rsidR="00040FD2" w:rsidRPr="00040FD2" w:rsidRDefault="00040FD2" w:rsidP="00ED18DF">
      <w:pPr>
        <w:pStyle w:val="Heading1"/>
      </w:pPr>
      <w:bookmarkStart w:id="11" w:name="_Toc218670781"/>
      <w:r>
        <w:t>Data &amp; Scope</w:t>
      </w:r>
      <w:bookmarkEnd w:id="11"/>
    </w:p>
    <w:p w:rsidR="00040FD2" w:rsidRPr="00040FD2" w:rsidRDefault="00040FD2" w:rsidP="00ED18DF">
      <w:pPr>
        <w:pStyle w:val="Heading2"/>
      </w:pPr>
      <w:bookmarkStart w:id="12" w:name="_Toc218670782"/>
      <w:r>
        <w:t>Data Description</w:t>
      </w:r>
      <w:bookmarkEnd w:id="12"/>
    </w:p>
    <w:p w:rsidR="001C0795" w:rsidRDefault="00040FD2" w:rsidP="00040F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analysis is based on </w:t>
      </w:r>
      <w:r>
        <w:rPr>
          <w:rFonts w:ascii="Times New Roman" w:eastAsia="Times New Roman" w:hAnsi="Times New Roman" w:cs="Times New Roman"/>
          <w:b/>
          <w:bCs/>
          <w:sz w:val="24"/>
          <w:szCs w:val="24"/>
        </w:rPr>
        <w:t>historical daily market data for Safaricom PLC</w:t>
      </w:r>
      <w:r>
        <w:rPr>
          <w:rFonts w:ascii="Times New Roman" w:eastAsia="Times New Roman" w:hAnsi="Times New Roman" w:cs="Times New Roman"/>
          <w:sz w:val="24"/>
          <w:szCs w:val="24"/>
        </w:rPr>
        <w:t xml:space="preserve">, covering a multi-year period that spans materially different economic and market conditions. </w:t>
      </w:r>
    </w:p>
    <w:p w:rsidR="00063F89" w:rsidRPr="00040FD2" w:rsidRDefault="00063F89" w:rsidP="00063F8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includes:</w:t>
      </w:r>
    </w:p>
    <w:p w:rsidR="00063F89" w:rsidRPr="00040FD2" w:rsidRDefault="00063F89" w:rsidP="00063F89">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Daily closing prices</w:t>
      </w:r>
    </w:p>
    <w:p w:rsidR="00063F89" w:rsidRPr="00040FD2" w:rsidRDefault="00F510D2" w:rsidP="00063F89">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Daily shares traded by volume</w:t>
      </w:r>
    </w:p>
    <w:p w:rsidR="00063F89" w:rsidRPr="00063F89" w:rsidRDefault="00F510D2" w:rsidP="00040FD2">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 (used as index of analysis)</w:t>
      </w:r>
    </w:p>
    <w:p w:rsidR="001C0795" w:rsidRDefault="001C0795" w:rsidP="00040F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83AAEC3" wp14:editId="42C21D99">
            <wp:extent cx="5943600" cy="30226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022600"/>
                    </a:xfrm>
                    <a:prstGeom prst="rect">
                      <a:avLst/>
                    </a:prstGeom>
                  </pic:spPr>
                </pic:pic>
              </a:graphicData>
            </a:graphic>
          </wp:inline>
        </w:drawing>
      </w:r>
      <w:r>
        <w:rPr>
          <w:rFonts w:ascii="Times New Roman" w:eastAsia="Times New Roman" w:hAnsi="Times New Roman" w:cs="Times New Roman"/>
          <w:sz w:val="24"/>
          <w:szCs w:val="24"/>
        </w:rPr>
        <w:t>Fig1. Safaricom Share Price</w:t>
      </w:r>
    </w:p>
    <w:p w:rsidR="00F510D2" w:rsidRPr="00F510D2" w:rsidRDefault="00F510D2" w:rsidP="00F510D2">
      <w:pPr>
        <w:spacing w:before="100" w:beforeAutospacing="1" w:after="100" w:afterAutospacing="1"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The provided data accounts for 1260 trading days that span 26th August 2020 to 15 September 2025.</w:t>
      </w:r>
    </w:p>
    <w:p w:rsidR="00F510D2" w:rsidRPr="00F510D2" w:rsidRDefault="00F510D2" w:rsidP="00F510D2">
      <w:pPr>
        <w:spacing w:before="100" w:beforeAutospacing="1" w:after="100" w:afterAutospacing="1"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The average stock price over the period of study is KES. 25.5, whereas, the median price was lower at KES. 24.4. 50% of the price ranges between KES. 16.75 and 35 with the share price maxing out at KES. 44.95 on 24th Oct 2021 and at its lowest Values at KES. 11.65 on 3rd November 2023; showing a volatility of about KES. 9.</w:t>
      </w:r>
    </w:p>
    <w:p w:rsidR="00F510D2" w:rsidRDefault="00F510D2" w:rsidP="001C0795">
      <w:pPr>
        <w:spacing w:before="100" w:beforeAutospacing="1" w:after="100" w:afterAutospacing="1"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The average volume of shares traded over the epoch of study is 7,405,348 whereas the median volume of traded shares was 4,808,149. This large disparity between mean and median points towards a skewed distribution with a significant proportion of outlier values that drag the mean away from the median (in a more significant manner than is observed in closing price mean-median difference). 50% of the daily volume of shares traded was between 2,093,642 and 91,09,961 with the lowest amount of shares (102,882) being traded on 15 Oct 2020.</w:t>
      </w:r>
    </w:p>
    <w:p w:rsidR="001C0795" w:rsidRPr="00F510D2" w:rsidRDefault="001C0795" w:rsidP="001C0795">
      <w:pPr>
        <w:spacing w:before="100" w:beforeAutospacing="1" w:after="100" w:afterAutospacing="1" w:line="240"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The trend line shows a period of surge in price between mid-2020 to mid-2021 before the share trended down continuously and hitting its minimum towards the end of 2024 before bouncing back with consistent growth from then up till now.</w:t>
      </w:r>
    </w:p>
    <w:p w:rsidR="001C0795" w:rsidRDefault="001C0795" w:rsidP="00040FD2">
      <w:pPr>
        <w:spacing w:before="100" w:beforeAutospacing="1" w:after="100" w:afterAutospacing="1" w:line="240" w:lineRule="auto"/>
        <w:rPr>
          <w:rFonts w:ascii="Times New Roman" w:eastAsia="Times New Roman" w:hAnsi="Times New Roman" w:cs="Times New Roman"/>
          <w:sz w:val="24"/>
          <w:szCs w:val="24"/>
        </w:rPr>
      </w:pPr>
    </w:p>
    <w:p w:rsidR="00040FD2" w:rsidRPr="00040FD2" w:rsidRDefault="00040FD2" w:rsidP="00040F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 of daily frequency strikes a balance between capturing meaningful market dynamics and avoiding excessive noise associated with higher-frequency data. This resolution is particularly well-suited for analyzing </w:t>
      </w:r>
      <w:r>
        <w:rPr>
          <w:rFonts w:ascii="Times New Roman" w:eastAsia="Times New Roman" w:hAnsi="Times New Roman" w:cs="Times New Roman"/>
          <w:b/>
          <w:bCs/>
          <w:sz w:val="24"/>
          <w:szCs w:val="24"/>
        </w:rPr>
        <w:t>structural breaks, regime behavior, and volatility dynamics</w:t>
      </w:r>
      <w:r>
        <w:rPr>
          <w:rFonts w:ascii="Times New Roman" w:eastAsia="Times New Roman" w:hAnsi="Times New Roman" w:cs="Times New Roman"/>
          <w:sz w:val="24"/>
          <w:szCs w:val="24"/>
        </w:rPr>
        <w:t>, which typically unfold over weeks to months rather than intraday horizons.</w:t>
      </w:r>
    </w:p>
    <w:p w:rsidR="00040FD2" w:rsidRPr="00040FD2" w:rsidRDefault="009B79D1" w:rsidP="00040F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040FD2" w:rsidRPr="00040FD2" w:rsidRDefault="00040FD2" w:rsidP="00ED18DF">
      <w:pPr>
        <w:pStyle w:val="Heading2"/>
      </w:pPr>
      <w:bookmarkStart w:id="13" w:name="_Toc218670783"/>
      <w:r>
        <w:t>Data Preparation and Transformations</w:t>
      </w:r>
      <w:bookmarkEnd w:id="13"/>
    </w:p>
    <w:p w:rsidR="00040FD2" w:rsidRPr="00040FD2" w:rsidRDefault="00040FD2" w:rsidP="00040F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facilitate robust time series analysis, several transformations were applied to the raw price data:</w:t>
      </w:r>
    </w:p>
    <w:p w:rsidR="00374BF4" w:rsidRPr="00D32FE2" w:rsidRDefault="00040FD2" w:rsidP="00D32FE2">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Return Construction: </w:t>
      </w:r>
      <w:r>
        <w:rPr>
          <w:rFonts w:ascii="Times New Roman" w:eastAsia="Times New Roman" w:hAnsi="Times New Roman" w:cs="Times New Roman"/>
          <w:sz w:val="24"/>
          <w:szCs w:val="24"/>
        </w:rPr>
        <w:br/>
        <w:t>Both simple and log returns were computed to assess stationarity, distributional properties, and dependence structure.</w:t>
      </w:r>
    </w:p>
    <w:p w:rsidR="00374BF4" w:rsidRDefault="00374BF4" w:rsidP="003B7BB4">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4B0E028" wp14:editId="1B2F3141">
            <wp:extent cx="5943600" cy="2438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438400"/>
                    </a:xfrm>
                    <a:prstGeom prst="rect">
                      <a:avLst/>
                    </a:prstGeom>
                  </pic:spPr>
                </pic:pic>
              </a:graphicData>
            </a:graphic>
          </wp:inline>
        </w:drawing>
      </w:r>
    </w:p>
    <w:p w:rsidR="00374BF4" w:rsidRDefault="00374BF4" w:rsidP="003B7BB4">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Fig2: Closing price and simple return on the same plot</w:t>
      </w:r>
    </w:p>
    <w:p w:rsidR="00374BF4" w:rsidRDefault="00374BF4" w:rsidP="003B7BB4">
      <w:pPr>
        <w:spacing w:before="100" w:beforeAutospacing="1" w:after="100" w:afterAutospacing="1" w:line="240" w:lineRule="auto"/>
        <w:ind w:left="360"/>
        <w:rPr>
          <w:rFonts w:ascii="Times New Roman" w:eastAsia="Times New Roman" w:hAnsi="Times New Roman" w:cs="Times New Roman"/>
          <w:sz w:val="24"/>
          <w:szCs w:val="24"/>
        </w:rPr>
      </w:pPr>
    </w:p>
    <w:p w:rsidR="00374BF4" w:rsidRDefault="00374BF4" w:rsidP="00374BF4">
      <w:pPr>
        <w:spacing w:before="100" w:beforeAutospacing="1" w:after="100" w:afterAutospacing="1" w:line="240" w:lineRule="auto"/>
        <w:ind w:left="360" w:hanging="36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F7AC44D" wp14:editId="13C97E7D">
            <wp:extent cx="5381625" cy="24453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20641" cy="2463033"/>
                    </a:xfrm>
                    <a:prstGeom prst="rect">
                      <a:avLst/>
                    </a:prstGeom>
                  </pic:spPr>
                </pic:pic>
              </a:graphicData>
            </a:graphic>
          </wp:inline>
        </w:drawing>
      </w:r>
    </w:p>
    <w:p w:rsidR="00374BF4" w:rsidRDefault="00FC33A8" w:rsidP="00374BF4">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Fig 3. Log Returns trend over time</w:t>
      </w:r>
    </w:p>
    <w:p w:rsidR="00374BF4" w:rsidRPr="000B75B0" w:rsidRDefault="000B75B0" w:rsidP="003B7BB4">
      <w:pPr>
        <w:spacing w:before="100" w:beforeAutospacing="1" w:after="100" w:afterAutospacing="1" w:line="240" w:lineRule="auto"/>
        <w:ind w:left="360"/>
        <w:rPr>
          <w:rFonts w:ascii="Times New Roman" w:eastAsia="Times New Roman" w:hAnsi="Times New Roman" w:cs="Times New Roman"/>
          <w:i/>
          <w:sz w:val="24"/>
          <w:szCs w:val="24"/>
        </w:rPr>
      </w:pPr>
      <w:r>
        <w:rPr>
          <w:rFonts w:ascii="Times New Roman" w:eastAsia="Times New Roman" w:hAnsi="Times New Roman" w:cs="Times New Roman"/>
          <w:i/>
          <w:sz w:val="24"/>
          <w:szCs w:val="24"/>
        </w:rPr>
        <w:t>We can observe form the above plot that return center around zero (mean approx. 0) hence we can infer that the return are relatively stationary (hence stable) over the period of observation.</w:t>
      </w:r>
    </w:p>
    <w:p w:rsidR="00063F89" w:rsidRDefault="00063F89" w:rsidP="0097498A">
      <w:pPr>
        <w:spacing w:before="100" w:beforeAutospacing="1" w:after="100" w:afterAutospacing="1" w:line="240" w:lineRule="auto"/>
        <w:ind w:left="36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CD8A3C5" wp14:editId="7E0FAFE1">
            <wp:extent cx="4952320" cy="220980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63525" cy="2214800"/>
                    </a:xfrm>
                    <a:prstGeom prst="rect">
                      <a:avLst/>
                    </a:prstGeom>
                  </pic:spPr>
                </pic:pic>
              </a:graphicData>
            </a:graphic>
          </wp:inline>
        </w:drawing>
      </w:r>
    </w:p>
    <w:p w:rsidR="003B7BB4" w:rsidRDefault="00FC33A8" w:rsidP="00063F89">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Fig 4. Distribution of returns</w:t>
      </w:r>
    </w:p>
    <w:p w:rsidR="003B7BB4" w:rsidRPr="003B7BB4" w:rsidRDefault="003B7BB4" w:rsidP="003B7BB4">
      <w:pPr>
        <w:spacing w:before="100" w:beforeAutospacing="1" w:after="100" w:afterAutospacing="1" w:line="240" w:lineRule="auto"/>
        <w:ind w:left="360"/>
        <w:rPr>
          <w:rFonts w:ascii="Times New Roman" w:eastAsia="Times New Roman" w:hAnsi="Times New Roman" w:cs="Times New Roman"/>
          <w:i/>
          <w:sz w:val="24"/>
          <w:szCs w:val="24"/>
        </w:rPr>
      </w:pPr>
      <w:r>
        <w:rPr>
          <w:rFonts w:ascii="Times New Roman" w:eastAsia="Times New Roman" w:hAnsi="Times New Roman" w:cs="Times New Roman"/>
          <w:i/>
          <w:sz w:val="24"/>
          <w:szCs w:val="24"/>
        </w:rPr>
        <w:t>When we look at Safaricom’s day-to-day price changes, they follow a fairly stable and predictable pattern, with small movements most of the time and slightly more frequent upside gains than downside losses. This is different from the share price itself, which appears uneven over the years because it reflects major events and long-term shifts in the company and the economy.</w:t>
      </w:r>
    </w:p>
    <w:p w:rsidR="003B7BB4" w:rsidRPr="00FC33A8" w:rsidRDefault="003B7BB4" w:rsidP="00FC33A8">
      <w:pPr>
        <w:spacing w:before="100" w:beforeAutospacing="1" w:after="100" w:afterAutospacing="1" w:line="240" w:lineRule="auto"/>
        <w:ind w:left="360"/>
        <w:rPr>
          <w:rFonts w:ascii="Times New Roman" w:eastAsia="Times New Roman" w:hAnsi="Times New Roman" w:cs="Times New Roman"/>
          <w:i/>
          <w:sz w:val="24"/>
          <w:szCs w:val="24"/>
        </w:rPr>
      </w:pPr>
      <w:r>
        <w:rPr>
          <w:rFonts w:ascii="Times New Roman" w:eastAsia="Times New Roman" w:hAnsi="Times New Roman" w:cs="Times New Roman"/>
          <w:i/>
          <w:sz w:val="24"/>
          <w:szCs w:val="24"/>
        </w:rPr>
        <w:t>In simple terms, short-term price movements tend to fluctuate around a normal level, while the long-term share price changes in steps as new phases or “regimes” emerge. This means daily price changes are mostly random and balanced, but the overall share price level evolves as the company goes through different growth and adjustment periods.</w:t>
      </w:r>
    </w:p>
    <w:p w:rsidR="00EA5440" w:rsidRPr="00EA5440" w:rsidRDefault="00EA5440" w:rsidP="002864E5">
      <w:pPr>
        <w:spacing w:before="100" w:beforeAutospacing="1" w:after="100" w:afterAutospacing="1" w:line="240" w:lineRule="auto"/>
        <w:rPr>
          <w:rFonts w:ascii="Times New Roman" w:eastAsia="Times New Roman" w:hAnsi="Times New Roman" w:cs="Times New Roman"/>
          <w:sz w:val="24"/>
          <w:szCs w:val="24"/>
        </w:rPr>
      </w:pPr>
    </w:p>
    <w:p w:rsidR="00FC33A8" w:rsidRPr="00FC33A8" w:rsidRDefault="00040FD2" w:rsidP="00FC33A8">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Volatility Proxies: </w:t>
      </w:r>
      <w:r>
        <w:rPr>
          <w:rFonts w:ascii="Times New Roman" w:eastAsia="Times New Roman" w:hAnsi="Times New Roman" w:cs="Times New Roman"/>
          <w:sz w:val="24"/>
          <w:szCs w:val="24"/>
        </w:rPr>
        <w:br/>
        <w:t>Absolute and squared log returns were used as standard proxies for market volatility, enabling the detection of volatility clustering and persistence.</w:t>
      </w:r>
    </w:p>
    <w:p w:rsidR="00724860" w:rsidRDefault="00724860" w:rsidP="00724860">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5663253" wp14:editId="5AA861E9">
            <wp:extent cx="2466975" cy="1880634"/>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97301" cy="1903752"/>
                    </a:xfrm>
                    <a:prstGeom prst="rect">
                      <a:avLst/>
                    </a:prstGeom>
                  </pic:spPr>
                </pic:pic>
              </a:graphicData>
            </a:graphic>
          </wp:inline>
        </w:drawing>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0" distB="0" distL="0" distR="0" wp14:anchorId="081D7D2F" wp14:editId="5EC1F02D">
            <wp:extent cx="2486443" cy="1895475"/>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27914" cy="1927089"/>
                    </a:xfrm>
                    <a:prstGeom prst="rect">
                      <a:avLst/>
                    </a:prstGeom>
                  </pic:spPr>
                </pic:pic>
              </a:graphicData>
            </a:graphic>
          </wp:inline>
        </w:drawing>
      </w:r>
    </w:p>
    <w:p w:rsidR="00063F89" w:rsidRPr="005C6C8E" w:rsidRDefault="005C6C8E" w:rsidP="00063F89">
      <w:pPr>
        <w:spacing w:before="100" w:beforeAutospacing="1" w:after="100" w:afterAutospacing="1" w:line="240" w:lineRule="auto"/>
        <w:ind w:left="360"/>
        <w:rPr>
          <w:rFonts w:ascii="Times New Roman" w:eastAsia="Times New Roman" w:hAnsi="Times New Roman" w:cs="Times New Roman"/>
          <w:szCs w:val="24"/>
        </w:rPr>
      </w:pPr>
      <w:r>
        <w:rPr>
          <w:rFonts w:ascii="Times New Roman" w:eastAsia="Times New Roman" w:hAnsi="Times New Roman" w:cs="Times New Roman"/>
          <w:szCs w:val="24"/>
        </w:rPr>
        <w:t>Fig 5. ACF of Absolute Log Returns</w:t>
      </w:r>
      <w:r>
        <w:rPr>
          <w:rFonts w:ascii="Times New Roman" w:eastAsia="Times New Roman" w:hAnsi="Times New Roman" w:cs="Times New Roman"/>
          <w:szCs w:val="24"/>
        </w:rPr>
        <w:tab/>
      </w:r>
      <w:r>
        <w:rPr>
          <w:rFonts w:ascii="Times New Roman" w:eastAsia="Times New Roman" w:hAnsi="Times New Roman" w:cs="Times New Roman"/>
          <w:szCs w:val="24"/>
        </w:rPr>
        <w:tab/>
      </w:r>
      <w:r>
        <w:rPr>
          <w:rFonts w:ascii="Times New Roman" w:eastAsia="Times New Roman" w:hAnsi="Times New Roman" w:cs="Times New Roman"/>
          <w:szCs w:val="24"/>
        </w:rPr>
        <w:tab/>
        <w:t>Fig 6. PACF of Absolute Log Returns</w:t>
      </w:r>
    </w:p>
    <w:p w:rsidR="00817DFA" w:rsidRDefault="00817DFA" w:rsidP="00817DFA">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4D50A84" wp14:editId="0C014A04">
            <wp:extent cx="2523927" cy="1924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84776" cy="1970436"/>
                    </a:xfrm>
                    <a:prstGeom prst="rect">
                      <a:avLst/>
                    </a:prstGeom>
                  </pic:spPr>
                </pic:pic>
              </a:graphicData>
            </a:graphic>
          </wp:inline>
        </w:drawing>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0" distB="0" distL="0" distR="0" wp14:anchorId="288129B0" wp14:editId="7E28FB2F">
            <wp:extent cx="2448958" cy="1866900"/>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75852" cy="1887402"/>
                    </a:xfrm>
                    <a:prstGeom prst="rect">
                      <a:avLst/>
                    </a:prstGeom>
                  </pic:spPr>
                </pic:pic>
              </a:graphicData>
            </a:graphic>
          </wp:inline>
        </w:drawing>
      </w:r>
    </w:p>
    <w:p w:rsidR="00817DFA" w:rsidRPr="00EA5440" w:rsidRDefault="005C6C8E" w:rsidP="00063F89">
      <w:pPr>
        <w:spacing w:before="100" w:beforeAutospacing="1" w:after="100" w:afterAutospacing="1" w:line="240" w:lineRule="auto"/>
        <w:ind w:left="360"/>
        <w:rPr>
          <w:rFonts w:ascii="Times New Roman" w:eastAsia="Times New Roman" w:hAnsi="Times New Roman" w:cs="Times New Roman"/>
          <w:szCs w:val="24"/>
        </w:rPr>
      </w:pPr>
      <w:r>
        <w:rPr>
          <w:rFonts w:ascii="Times New Roman" w:eastAsia="Times New Roman" w:hAnsi="Times New Roman" w:cs="Times New Roman"/>
          <w:szCs w:val="24"/>
        </w:rPr>
        <w:t>Fig7. ACF of Squared Log Returns</w:t>
      </w:r>
      <w:r>
        <w:rPr>
          <w:rFonts w:ascii="Times New Roman" w:eastAsia="Times New Roman" w:hAnsi="Times New Roman" w:cs="Times New Roman"/>
          <w:szCs w:val="24"/>
        </w:rPr>
        <w:tab/>
      </w:r>
      <w:r>
        <w:rPr>
          <w:rFonts w:ascii="Times New Roman" w:eastAsia="Times New Roman" w:hAnsi="Times New Roman" w:cs="Times New Roman"/>
          <w:szCs w:val="24"/>
        </w:rPr>
        <w:tab/>
      </w:r>
      <w:r>
        <w:rPr>
          <w:rFonts w:ascii="Times New Roman" w:eastAsia="Times New Roman" w:hAnsi="Times New Roman" w:cs="Times New Roman"/>
          <w:szCs w:val="24"/>
        </w:rPr>
        <w:tab/>
        <w:t>Fig8. PACF of Squared Log Returns</w:t>
      </w:r>
    </w:p>
    <w:p w:rsidR="005C6C8E" w:rsidRPr="005C6C8E" w:rsidRDefault="005C6C8E" w:rsidP="005C6C8E">
      <w:pPr>
        <w:spacing w:before="100" w:beforeAutospacing="1" w:after="100" w:afterAutospacing="1" w:line="240" w:lineRule="auto"/>
        <w:ind w:left="360"/>
        <w:rPr>
          <w:rFonts w:ascii="Times New Roman" w:eastAsia="Times New Roman" w:hAnsi="Times New Roman" w:cs="Times New Roman"/>
          <w:i/>
          <w:sz w:val="24"/>
          <w:szCs w:val="24"/>
        </w:rPr>
      </w:pPr>
      <w:r>
        <w:rPr>
          <w:rFonts w:ascii="Times New Roman" w:eastAsia="Times New Roman" w:hAnsi="Times New Roman" w:cs="Times New Roman"/>
          <w:i/>
          <w:sz w:val="24"/>
          <w:szCs w:val="24"/>
        </w:rPr>
        <w:t>The following lag structure was observed was as shown:</w:t>
      </w:r>
    </w:p>
    <w:p w:rsidR="005C6C8E" w:rsidRPr="005C6C8E" w:rsidRDefault="005C6C8E" w:rsidP="005C6C8E">
      <w:pPr>
        <w:spacing w:before="100" w:beforeAutospacing="1" w:after="100" w:afterAutospacing="1" w:line="240" w:lineRule="auto"/>
        <w:ind w:left="360"/>
        <w:rPr>
          <w:rFonts w:ascii="Times New Roman" w:eastAsia="Times New Roman" w:hAnsi="Times New Roman" w:cs="Times New Roman"/>
          <w:i/>
          <w:sz w:val="24"/>
          <w:szCs w:val="24"/>
        </w:rPr>
      </w:pPr>
      <w:r>
        <w:rPr>
          <w:rFonts w:ascii="Times New Roman" w:eastAsia="Times New Roman" w:hAnsi="Times New Roman" w:cs="Times New Roman"/>
          <w:b/>
          <w:bCs/>
          <w:i/>
          <w:sz w:val="24"/>
          <w:szCs w:val="24"/>
        </w:rPr>
        <w:t>Absolute log returns</w:t>
      </w:r>
    </w:p>
    <w:p w:rsidR="005C6C8E" w:rsidRPr="005C6C8E" w:rsidRDefault="005C6C8E" w:rsidP="005C6C8E">
      <w:pPr>
        <w:pStyle w:val="ListParagraph"/>
        <w:numPr>
          <w:ilvl w:val="0"/>
          <w:numId w:val="19"/>
        </w:numPr>
        <w:spacing w:before="100" w:beforeAutospacing="1" w:after="100" w:afterAutospacing="1"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ACF: 1–5, and clustered again at ~37–40</w:t>
      </w:r>
    </w:p>
    <w:p w:rsidR="005C6C8E" w:rsidRPr="005C6C8E" w:rsidRDefault="005C6C8E" w:rsidP="005C6C8E">
      <w:pPr>
        <w:pStyle w:val="ListParagraph"/>
        <w:numPr>
          <w:ilvl w:val="0"/>
          <w:numId w:val="19"/>
        </w:numPr>
        <w:spacing w:before="100" w:beforeAutospacing="1" w:after="100" w:afterAutospacing="1"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PACF: sparse but meaningful (2, 4, 22)</w:t>
      </w:r>
    </w:p>
    <w:p w:rsidR="005C6C8E" w:rsidRPr="005C6C8E" w:rsidRDefault="005C6C8E" w:rsidP="005C6C8E">
      <w:pPr>
        <w:spacing w:before="100" w:beforeAutospacing="1" w:after="100" w:afterAutospacing="1" w:line="240" w:lineRule="auto"/>
        <w:ind w:left="360"/>
        <w:rPr>
          <w:rFonts w:ascii="Times New Roman" w:eastAsia="Times New Roman" w:hAnsi="Times New Roman" w:cs="Times New Roman"/>
          <w:i/>
          <w:sz w:val="24"/>
          <w:szCs w:val="24"/>
        </w:rPr>
      </w:pPr>
      <w:r>
        <w:rPr>
          <w:rFonts w:ascii="Times New Roman" w:eastAsia="Times New Roman" w:hAnsi="Times New Roman" w:cs="Times New Roman"/>
          <w:b/>
          <w:bCs/>
          <w:i/>
          <w:sz w:val="24"/>
          <w:szCs w:val="24"/>
        </w:rPr>
        <w:t>Squared log returns</w:t>
      </w:r>
    </w:p>
    <w:p w:rsidR="005C6C8E" w:rsidRPr="005C6C8E" w:rsidRDefault="005C6C8E" w:rsidP="005C6C8E">
      <w:pPr>
        <w:pStyle w:val="ListParagraph"/>
        <w:numPr>
          <w:ilvl w:val="0"/>
          <w:numId w:val="20"/>
        </w:numPr>
        <w:spacing w:before="100" w:beforeAutospacing="1" w:after="100" w:afterAutospacing="1"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ACF: 1–5, 8, and again ~35–40</w:t>
      </w:r>
    </w:p>
    <w:p w:rsidR="005C6C8E" w:rsidRPr="00EA5440" w:rsidRDefault="005C6C8E" w:rsidP="00EA5440">
      <w:pPr>
        <w:pStyle w:val="ListParagraph"/>
        <w:numPr>
          <w:ilvl w:val="0"/>
          <w:numId w:val="20"/>
        </w:numPr>
        <w:spacing w:before="100" w:beforeAutospacing="1" w:after="100" w:afterAutospacing="1"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PACF: 1–3, 8, 37</w:t>
      </w:r>
    </w:p>
    <w:p w:rsidR="005C6C8E" w:rsidRPr="00EA5440" w:rsidRDefault="005C6C8E" w:rsidP="00EA5440">
      <w:pPr>
        <w:spacing w:before="100" w:beforeAutospacing="1" w:after="100" w:afterAutospacing="1" w:line="240" w:lineRule="auto"/>
        <w:ind w:left="360"/>
        <w:rPr>
          <w:rFonts w:ascii="Times New Roman" w:eastAsia="Times New Roman" w:hAnsi="Times New Roman" w:cs="Times New Roman"/>
          <w:b/>
          <w:i/>
          <w:sz w:val="24"/>
          <w:szCs w:val="24"/>
          <w:u w:val="single"/>
        </w:rPr>
      </w:pPr>
      <w:r>
        <w:rPr>
          <w:rFonts w:ascii="Times New Roman" w:eastAsia="Times New Roman" w:hAnsi="Times New Roman" w:cs="Times New Roman"/>
          <w:b/>
          <w:i/>
          <w:sz w:val="24"/>
          <w:szCs w:val="24"/>
          <w:u w:val="single"/>
        </w:rPr>
        <w:t>Interpretation:</w:t>
      </w:r>
    </w:p>
    <w:p w:rsidR="005C6C8E" w:rsidRPr="00EA5440" w:rsidRDefault="005C6C8E" w:rsidP="00EA5440">
      <w:pPr>
        <w:pStyle w:val="ListParagraph"/>
        <w:numPr>
          <w:ilvl w:val="0"/>
          <w:numId w:val="21"/>
        </w:numPr>
        <w:spacing w:after="0" w:line="240" w:lineRule="auto"/>
        <w:rPr>
          <w:rFonts w:ascii="Times New Roman" w:eastAsia="Times New Roman" w:hAnsi="Times New Roman" w:cs="Times New Roman"/>
          <w:b/>
          <w:i/>
          <w:sz w:val="24"/>
          <w:szCs w:val="24"/>
        </w:rPr>
      </w:pPr>
      <w:r>
        <w:rPr>
          <w:rFonts w:ascii="Times New Roman" w:eastAsia="Times New Roman" w:hAnsi="Times New Roman" w:cs="Times New Roman"/>
          <w:b/>
          <w:i/>
          <w:iCs/>
          <w:sz w:val="24"/>
          <w:szCs w:val="24"/>
        </w:rPr>
        <w:t>Short-term clustering (lags 1–5):</w:t>
      </w:r>
    </w:p>
    <w:p w:rsidR="005C6C8E" w:rsidRPr="00EA5440" w:rsidRDefault="005C6C8E" w:rsidP="00EA5440">
      <w:pPr>
        <w:pStyle w:val="ListParagraph"/>
        <w:numPr>
          <w:ilvl w:val="1"/>
          <w:numId w:val="21"/>
        </w:numPr>
        <w:spacing w:after="0"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Volatility persists for about a trading week</w:t>
      </w:r>
    </w:p>
    <w:p w:rsidR="005C6C8E" w:rsidRPr="00EA5440" w:rsidRDefault="005C6C8E" w:rsidP="00EA5440">
      <w:pPr>
        <w:pStyle w:val="ListParagraph"/>
        <w:numPr>
          <w:ilvl w:val="0"/>
          <w:numId w:val="21"/>
        </w:numPr>
        <w:spacing w:after="0" w:line="240" w:lineRule="auto"/>
        <w:rPr>
          <w:rFonts w:ascii="Times New Roman" w:eastAsia="Times New Roman" w:hAnsi="Times New Roman" w:cs="Times New Roman"/>
          <w:b/>
          <w:i/>
          <w:sz w:val="24"/>
          <w:szCs w:val="24"/>
        </w:rPr>
      </w:pPr>
      <w:r>
        <w:rPr>
          <w:rFonts w:ascii="Times New Roman" w:eastAsia="Times New Roman" w:hAnsi="Times New Roman" w:cs="Times New Roman"/>
          <w:b/>
          <w:i/>
          <w:iCs/>
          <w:sz w:val="24"/>
          <w:szCs w:val="24"/>
        </w:rPr>
        <w:t>Medium-term memory (lag ~8):</w:t>
      </w:r>
    </w:p>
    <w:p w:rsidR="005C6C8E" w:rsidRPr="00EA5440" w:rsidRDefault="005C6C8E" w:rsidP="00EA5440">
      <w:pPr>
        <w:pStyle w:val="ListParagraph"/>
        <w:numPr>
          <w:ilvl w:val="1"/>
          <w:numId w:val="21"/>
        </w:numPr>
        <w:spacing w:after="0"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Roughly bi-weekly reinforcement</w:t>
      </w:r>
    </w:p>
    <w:p w:rsidR="005C6C8E" w:rsidRPr="00EA5440" w:rsidRDefault="005C6C8E" w:rsidP="00EA5440">
      <w:pPr>
        <w:pStyle w:val="ListParagraph"/>
        <w:numPr>
          <w:ilvl w:val="0"/>
          <w:numId w:val="21"/>
        </w:numPr>
        <w:spacing w:after="0" w:line="240" w:lineRule="auto"/>
        <w:rPr>
          <w:rFonts w:ascii="Times New Roman" w:eastAsia="Times New Roman" w:hAnsi="Times New Roman" w:cs="Times New Roman"/>
          <w:b/>
          <w:i/>
          <w:sz w:val="24"/>
          <w:szCs w:val="24"/>
        </w:rPr>
      </w:pPr>
      <w:r>
        <w:rPr>
          <w:rFonts w:ascii="Times New Roman" w:eastAsia="Times New Roman" w:hAnsi="Times New Roman" w:cs="Times New Roman"/>
          <w:b/>
          <w:i/>
          <w:iCs/>
          <w:sz w:val="24"/>
          <w:szCs w:val="24"/>
        </w:rPr>
        <w:t>Longer-term seasonal echoes (lags ~35–40):*</w:t>
      </w:r>
    </w:p>
    <w:p w:rsidR="005C6C8E" w:rsidRPr="00EA5440" w:rsidRDefault="005C6C8E" w:rsidP="00EA5440">
      <w:pPr>
        <w:pStyle w:val="ListParagraph"/>
        <w:numPr>
          <w:ilvl w:val="1"/>
          <w:numId w:val="21"/>
        </w:numPr>
        <w:spacing w:after="0"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About 1.5–2 months</w:t>
      </w:r>
    </w:p>
    <w:p w:rsidR="005C6C8E" w:rsidRPr="005C6C8E" w:rsidRDefault="005C6C8E" w:rsidP="005C6C8E">
      <w:pPr>
        <w:spacing w:after="0" w:line="240" w:lineRule="auto"/>
        <w:ind w:left="360"/>
        <w:rPr>
          <w:rFonts w:ascii="Times New Roman" w:eastAsia="Times New Roman" w:hAnsi="Times New Roman" w:cs="Times New Roman"/>
          <w:i/>
          <w:sz w:val="24"/>
          <w:szCs w:val="24"/>
        </w:rPr>
      </w:pPr>
    </w:p>
    <w:p w:rsidR="005C6C8E" w:rsidRPr="00EA5440" w:rsidRDefault="005C6C8E" w:rsidP="005C6C8E">
      <w:pPr>
        <w:spacing w:after="0" w:line="240" w:lineRule="auto"/>
        <w:ind w:left="360"/>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Likely linked to:</w:t>
      </w:r>
    </w:p>
    <w:p w:rsidR="005C6C8E" w:rsidRPr="005C6C8E" w:rsidRDefault="005C6C8E" w:rsidP="005C6C8E">
      <w:pPr>
        <w:spacing w:after="0" w:line="240" w:lineRule="auto"/>
        <w:ind w:left="360"/>
        <w:rPr>
          <w:rFonts w:ascii="Times New Roman" w:eastAsia="Times New Roman" w:hAnsi="Times New Roman" w:cs="Times New Roman"/>
          <w:i/>
          <w:sz w:val="24"/>
          <w:szCs w:val="24"/>
        </w:rPr>
      </w:pPr>
      <w:r>
        <w:rPr>
          <w:rFonts w:ascii="Times New Roman" w:eastAsia="Times New Roman" w:hAnsi="Times New Roman" w:cs="Times New Roman"/>
          <w:i/>
          <w:sz w:val="24"/>
          <w:szCs w:val="24"/>
        </w:rPr>
        <w:t>- Earnings cycles</w:t>
      </w:r>
    </w:p>
    <w:p w:rsidR="005C6C8E" w:rsidRPr="005C6C8E" w:rsidRDefault="005C6C8E" w:rsidP="005C6C8E">
      <w:pPr>
        <w:spacing w:after="0" w:line="240" w:lineRule="auto"/>
        <w:ind w:left="360"/>
        <w:rPr>
          <w:rFonts w:ascii="Times New Roman" w:eastAsia="Times New Roman" w:hAnsi="Times New Roman" w:cs="Times New Roman"/>
          <w:i/>
          <w:sz w:val="24"/>
          <w:szCs w:val="24"/>
        </w:rPr>
      </w:pPr>
      <w:r>
        <w:rPr>
          <w:rFonts w:ascii="Times New Roman" w:eastAsia="Times New Roman" w:hAnsi="Times New Roman" w:cs="Times New Roman"/>
          <w:i/>
          <w:sz w:val="24"/>
          <w:szCs w:val="24"/>
        </w:rPr>
        <w:t>- Policy/news digestion</w:t>
      </w:r>
    </w:p>
    <w:p w:rsidR="005C6C8E" w:rsidRPr="005C6C8E" w:rsidRDefault="005C6C8E" w:rsidP="005C6C8E">
      <w:pPr>
        <w:spacing w:after="0" w:line="240" w:lineRule="auto"/>
        <w:ind w:left="360"/>
        <w:rPr>
          <w:rFonts w:ascii="Times New Roman" w:eastAsia="Times New Roman" w:hAnsi="Times New Roman" w:cs="Times New Roman"/>
          <w:i/>
          <w:sz w:val="24"/>
          <w:szCs w:val="24"/>
        </w:rPr>
      </w:pPr>
      <w:r>
        <w:rPr>
          <w:rFonts w:ascii="Times New Roman" w:eastAsia="Times New Roman" w:hAnsi="Times New Roman" w:cs="Times New Roman"/>
          <w:i/>
          <w:sz w:val="24"/>
          <w:szCs w:val="24"/>
        </w:rPr>
        <w:t>- Institutional rebalancing</w:t>
      </w:r>
    </w:p>
    <w:p w:rsidR="005C6C8E" w:rsidRPr="005C6C8E" w:rsidRDefault="005C6C8E" w:rsidP="005C6C8E">
      <w:pPr>
        <w:spacing w:after="0" w:line="240" w:lineRule="auto"/>
        <w:ind w:left="360"/>
        <w:rPr>
          <w:rFonts w:ascii="Times New Roman" w:eastAsia="Times New Roman" w:hAnsi="Times New Roman" w:cs="Times New Roman"/>
          <w:i/>
          <w:sz w:val="24"/>
          <w:szCs w:val="24"/>
        </w:rPr>
      </w:pPr>
    </w:p>
    <w:p w:rsidR="00063F89" w:rsidRPr="00EA5440" w:rsidRDefault="005C6C8E" w:rsidP="005C6C8E">
      <w:pPr>
        <w:spacing w:after="0" w:line="240" w:lineRule="auto"/>
        <w:ind w:left="360"/>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This tells you volatility has structure at multiple horizons, not randomness.</w:t>
      </w:r>
    </w:p>
    <w:p w:rsidR="00063F89" w:rsidRPr="00040FD2" w:rsidRDefault="00063F89" w:rsidP="00063F89">
      <w:pPr>
        <w:spacing w:before="100" w:beforeAutospacing="1" w:after="100" w:afterAutospacing="1" w:line="240" w:lineRule="auto"/>
        <w:ind w:left="360"/>
        <w:rPr>
          <w:rFonts w:ascii="Times New Roman" w:eastAsia="Times New Roman" w:hAnsi="Times New Roman" w:cs="Times New Roman"/>
          <w:sz w:val="24"/>
          <w:szCs w:val="24"/>
        </w:rPr>
      </w:pPr>
    </w:p>
    <w:p w:rsidR="00040FD2" w:rsidRDefault="00040FD2" w:rsidP="00040FD2">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Rolling Statistics: </w:t>
      </w:r>
      <w:r>
        <w:rPr>
          <w:rFonts w:ascii="Times New Roman" w:eastAsia="Times New Roman" w:hAnsi="Times New Roman" w:cs="Times New Roman"/>
          <w:sz w:val="24"/>
          <w:szCs w:val="24"/>
        </w:rPr>
        <w:br/>
        <w:t>Rolling means and rolling standard deviations were employed to visualize evolving trend and risk characteristics over time.</w:t>
      </w:r>
    </w:p>
    <w:p w:rsidR="00F03F0F" w:rsidRDefault="00F03F0F" w:rsidP="00724860">
      <w:pPr>
        <w:spacing w:before="100" w:beforeAutospacing="1" w:after="100" w:afterAutospacing="1" w:line="240" w:lineRule="auto"/>
        <w:ind w:left="360" w:hanging="36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8BA44A9" wp14:editId="798375EF">
            <wp:extent cx="6190578" cy="299085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13147" cy="3001754"/>
                    </a:xfrm>
                    <a:prstGeom prst="rect">
                      <a:avLst/>
                    </a:prstGeom>
                  </pic:spPr>
                </pic:pic>
              </a:graphicData>
            </a:graphic>
          </wp:inline>
        </w:drawing>
      </w:r>
    </w:p>
    <w:p w:rsidR="00EA5440" w:rsidRDefault="00EA5440" w:rsidP="00724860">
      <w:pPr>
        <w:spacing w:before="100" w:beforeAutospacing="1" w:after="100" w:afterAutospacing="1" w:line="240" w:lineRule="auto"/>
        <w:ind w:left="360" w:hanging="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9. Rolling means of stock price over 5, 21 &amp; 63 day windows</w:t>
      </w:r>
    </w:p>
    <w:p w:rsidR="00F03F0F" w:rsidRPr="00FC33A8" w:rsidRDefault="00EA5440" w:rsidP="00FC33A8">
      <w:pPr>
        <w:spacing w:before="100" w:beforeAutospacing="1" w:after="100" w:afterAutospacing="1" w:line="240" w:lineRule="auto"/>
        <w:ind w:left="36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Before 2024 market switched between bullish and bearish, however, </w:t>
      </w:r>
      <w:r>
        <w:rPr>
          <w:rFonts w:ascii="Times New Roman" w:eastAsia="Times New Roman" w:hAnsi="Times New Roman" w:cs="Times New Roman"/>
          <w:b/>
          <w:i/>
          <w:sz w:val="24"/>
          <w:szCs w:val="24"/>
        </w:rPr>
        <w:t xml:space="preserve">since the upturn (in 2024) the Safaricom share closing price has been predominantly bullish </w:t>
      </w:r>
      <w:r>
        <w:rPr>
          <w:rFonts w:ascii="Times New Roman" w:eastAsia="Times New Roman" w:hAnsi="Times New Roman" w:cs="Times New Roman"/>
          <w:i/>
          <w:sz w:val="24"/>
          <w:szCs w:val="24"/>
        </w:rPr>
        <w:t>i.e. on an upward trend except for a notable bearish market run spanning start to mid-2024; when observed over a 63 trading day rolling period (approx. every quarter).</w:t>
      </w:r>
    </w:p>
    <w:p w:rsidR="00F03F0F" w:rsidRPr="00040FD2" w:rsidRDefault="00F03F0F" w:rsidP="00F03F0F">
      <w:pPr>
        <w:spacing w:before="100" w:beforeAutospacing="1" w:after="100" w:afterAutospacing="1" w:line="240" w:lineRule="auto"/>
        <w:ind w:left="360"/>
        <w:rPr>
          <w:rFonts w:ascii="Times New Roman" w:eastAsia="Times New Roman" w:hAnsi="Times New Roman" w:cs="Times New Roman"/>
          <w:sz w:val="24"/>
          <w:szCs w:val="24"/>
        </w:rPr>
      </w:pPr>
    </w:p>
    <w:p w:rsidR="00040FD2" w:rsidRDefault="00040FD2" w:rsidP="00040FD2">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Seasonal and Trend Decomposition:</w:t>
      </w:r>
      <w:r>
        <w:rPr>
          <w:rFonts w:ascii="Times New Roman" w:eastAsia="Times New Roman" w:hAnsi="Times New Roman" w:cs="Times New Roman"/>
          <w:sz w:val="24"/>
          <w:szCs w:val="24"/>
        </w:rPr>
        <w:br/>
        <w:t>Classical and STL (</w:t>
      </w:r>
      <w:r>
        <w:rPr>
          <w:rFonts w:ascii="Times New Roman" w:eastAsia="Times New Roman" w:hAnsi="Times New Roman" w:cs="Times New Roman"/>
          <w:i/>
          <w:sz w:val="24"/>
          <w:szCs w:val="24"/>
        </w:rPr>
        <w:t>Seasonal Trend decomposition using Loess</w:t>
      </w:r>
      <w:r>
        <w:rPr>
          <w:rFonts w:ascii="Times New Roman" w:eastAsia="Times New Roman" w:hAnsi="Times New Roman" w:cs="Times New Roman"/>
          <w:sz w:val="24"/>
          <w:szCs w:val="24"/>
        </w:rPr>
        <w:t>) decomposition techniques were applied to separate trend, seasonal, and residual components, providing insight into underlying price dynamics beyond short-term fluctuations.</w:t>
      </w:r>
    </w:p>
    <w:p w:rsidR="00724860" w:rsidRDefault="00724860" w:rsidP="000B75B0">
      <w:pPr>
        <w:spacing w:before="100" w:beforeAutospacing="1" w:after="100" w:afterAutospacing="1" w:line="240" w:lineRule="auto"/>
        <w:ind w:left="360" w:hanging="36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0814AAE" wp14:editId="52F572A7">
            <wp:extent cx="5943600" cy="404939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049395"/>
                    </a:xfrm>
                    <a:prstGeom prst="rect">
                      <a:avLst/>
                    </a:prstGeom>
                  </pic:spPr>
                </pic:pic>
              </a:graphicData>
            </a:graphic>
          </wp:inline>
        </w:drawing>
      </w:r>
    </w:p>
    <w:p w:rsidR="00FC33A8" w:rsidRDefault="00FC33A8" w:rsidP="000B75B0">
      <w:pPr>
        <w:spacing w:before="100" w:beforeAutospacing="1" w:after="100" w:afterAutospacing="1" w:line="240" w:lineRule="auto"/>
        <w:ind w:left="360" w:hanging="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10. STL Decomposition of Safaricom share price</w:t>
      </w:r>
    </w:p>
    <w:p w:rsidR="00C968DB" w:rsidRPr="006B3B7F" w:rsidRDefault="00C968DB" w:rsidP="00C968DB">
      <w:pPr>
        <w:pStyle w:val="NormalWeb"/>
        <w:rPr>
          <w:i/>
        </w:rPr>
      </w:pPr>
      <w:r>
        <w:rPr>
          <w:i/>
        </w:rPr>
        <w:t>The general trend line exhibits characteristics of a general dip and reversion punctuated by ‘step-like’ (abrupt) changes in price at certain periods where the market repriced the stock due to the introduction of new information to the system. The trend component displays changing variance and a lack of distinct seasonality. Finally, the residual variance seems to also display characteristics of non-constant variance. This formed the beginnings of reframing the objective from price to vitality prediction.</w:t>
      </w:r>
    </w:p>
    <w:p w:rsidR="00724860" w:rsidRPr="00040FD2" w:rsidRDefault="00724860" w:rsidP="00C968DB">
      <w:pPr>
        <w:spacing w:before="100" w:beforeAutospacing="1" w:after="100" w:afterAutospacing="1" w:line="240" w:lineRule="auto"/>
        <w:rPr>
          <w:rFonts w:ascii="Times New Roman" w:eastAsia="Times New Roman" w:hAnsi="Times New Roman" w:cs="Times New Roman"/>
          <w:sz w:val="24"/>
          <w:szCs w:val="24"/>
        </w:rPr>
      </w:pPr>
    </w:p>
    <w:p w:rsidR="00040FD2" w:rsidRDefault="00040FD2" w:rsidP="00040F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transformations were performed with the intent of </w:t>
      </w:r>
      <w:r>
        <w:rPr>
          <w:rFonts w:ascii="Times New Roman" w:eastAsia="Times New Roman" w:hAnsi="Times New Roman" w:cs="Times New Roman"/>
          <w:b/>
          <w:bCs/>
          <w:sz w:val="24"/>
          <w:szCs w:val="24"/>
        </w:rPr>
        <w:t>diagnosing market behavior</w:t>
      </w:r>
      <w:r>
        <w:rPr>
          <w:rFonts w:ascii="Times New Roman" w:eastAsia="Times New Roman" w:hAnsi="Times New Roman" w:cs="Times New Roman"/>
          <w:sz w:val="24"/>
          <w:szCs w:val="24"/>
        </w:rPr>
        <w:t>, not optimizing predictive performance.</w:t>
      </w:r>
    </w:p>
    <w:p w:rsidR="00FC33A8" w:rsidRPr="00040FD2" w:rsidRDefault="00FC33A8" w:rsidP="00040FD2">
      <w:pPr>
        <w:spacing w:before="100" w:beforeAutospacing="1" w:after="100" w:afterAutospacing="1" w:line="240" w:lineRule="auto"/>
        <w:rPr>
          <w:rFonts w:ascii="Times New Roman" w:eastAsia="Times New Roman" w:hAnsi="Times New Roman" w:cs="Times New Roman"/>
          <w:sz w:val="24"/>
          <w:szCs w:val="24"/>
        </w:rPr>
      </w:pPr>
    </w:p>
    <w:p w:rsidR="00040FD2" w:rsidRPr="00040FD2" w:rsidRDefault="009B79D1" w:rsidP="00040F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040FD2" w:rsidRPr="00040FD2" w:rsidRDefault="00040FD2" w:rsidP="00ED18DF">
      <w:pPr>
        <w:pStyle w:val="Heading2"/>
      </w:pPr>
      <w:bookmarkStart w:id="14" w:name="_Toc218670784"/>
      <w:r>
        <w:t>Analytical Scope</w:t>
      </w:r>
      <w:bookmarkEnd w:id="14"/>
    </w:p>
    <w:p w:rsidR="00040FD2" w:rsidRPr="00040FD2" w:rsidRDefault="00040FD2" w:rsidP="00040F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scope of this report is intentionally </w:t>
      </w:r>
      <w:r>
        <w:rPr>
          <w:rFonts w:ascii="Times New Roman" w:eastAsia="Times New Roman" w:hAnsi="Times New Roman" w:cs="Times New Roman"/>
          <w:b/>
          <w:bCs/>
          <w:sz w:val="24"/>
          <w:szCs w:val="24"/>
        </w:rPr>
        <w:t>diagnostic and interpretive</w:t>
      </w:r>
      <w:r>
        <w:rPr>
          <w:rFonts w:ascii="Times New Roman" w:eastAsia="Times New Roman" w:hAnsi="Times New Roman" w:cs="Times New Roman"/>
          <w:sz w:val="24"/>
          <w:szCs w:val="24"/>
        </w:rPr>
        <w:t>, rather than predictive. Specifically, the analysis focuses on:</w:t>
      </w:r>
    </w:p>
    <w:p w:rsidR="00040FD2" w:rsidRPr="00040FD2" w:rsidRDefault="00040FD2" w:rsidP="00040FD2">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Identifying and interpreting </w:t>
      </w:r>
      <w:r>
        <w:rPr>
          <w:rFonts w:ascii="Times New Roman" w:eastAsia="Times New Roman" w:hAnsi="Times New Roman" w:cs="Times New Roman"/>
          <w:b/>
          <w:bCs/>
          <w:sz w:val="24"/>
          <w:szCs w:val="24"/>
        </w:rPr>
        <w:t>structural changes</w:t>
      </w:r>
      <w:r>
        <w:rPr>
          <w:rFonts w:ascii="Times New Roman" w:eastAsia="Times New Roman" w:hAnsi="Times New Roman" w:cs="Times New Roman"/>
          <w:sz w:val="24"/>
          <w:szCs w:val="24"/>
        </w:rPr>
        <w:t xml:space="preserve"> in price behavior</w:t>
      </w:r>
    </w:p>
    <w:p w:rsidR="00040FD2" w:rsidRPr="00040FD2" w:rsidRDefault="00040FD2" w:rsidP="00040FD2">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Characterizing </w:t>
      </w:r>
      <w:r>
        <w:rPr>
          <w:rFonts w:ascii="Times New Roman" w:eastAsia="Times New Roman" w:hAnsi="Times New Roman" w:cs="Times New Roman"/>
          <w:b/>
          <w:bCs/>
          <w:sz w:val="24"/>
          <w:szCs w:val="24"/>
        </w:rPr>
        <w:t>market regimes</w:t>
      </w:r>
      <w:r>
        <w:rPr>
          <w:rFonts w:ascii="Times New Roman" w:eastAsia="Times New Roman" w:hAnsi="Times New Roman" w:cs="Times New Roman"/>
          <w:sz w:val="24"/>
          <w:szCs w:val="24"/>
        </w:rPr>
        <w:t xml:space="preserve"> based on trend stability and volatility dynamics</w:t>
      </w:r>
    </w:p>
    <w:p w:rsidR="00040FD2" w:rsidRPr="00040FD2" w:rsidRDefault="00040FD2" w:rsidP="00040FD2">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how uncertainty evolves and persists over time</w:t>
      </w:r>
    </w:p>
    <w:p w:rsidR="00040FD2" w:rsidRPr="00040FD2" w:rsidRDefault="00040FD2" w:rsidP="00040FD2">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Framing the asset’s behavior through a </w:t>
      </w:r>
      <w:r>
        <w:rPr>
          <w:rFonts w:ascii="Times New Roman" w:eastAsia="Times New Roman" w:hAnsi="Times New Roman" w:cs="Times New Roman"/>
          <w:b/>
          <w:bCs/>
          <w:sz w:val="24"/>
          <w:szCs w:val="24"/>
        </w:rPr>
        <w:t>risk versus opportunity lens</w:t>
      </w:r>
    </w:p>
    <w:p w:rsidR="00040FD2" w:rsidRPr="00040FD2" w:rsidRDefault="00040FD2" w:rsidP="00040F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analysis does </w:t>
      </w:r>
      <w:r>
        <w:rPr>
          <w:rFonts w:ascii="Times New Roman" w:eastAsia="Times New Roman" w:hAnsi="Times New Roman" w:cs="Times New Roman"/>
          <w:b/>
          <w:bCs/>
          <w:sz w:val="24"/>
          <w:szCs w:val="24"/>
        </w:rPr>
        <w:t>not</w:t>
      </w:r>
      <w:r>
        <w:rPr>
          <w:rFonts w:ascii="Times New Roman" w:eastAsia="Times New Roman" w:hAnsi="Times New Roman" w:cs="Times New Roman"/>
          <w:sz w:val="24"/>
          <w:szCs w:val="24"/>
        </w:rPr>
        <w:t xml:space="preserve"> attempt to:</w:t>
      </w:r>
    </w:p>
    <w:p w:rsidR="00040FD2" w:rsidRPr="00040FD2" w:rsidRDefault="00040FD2" w:rsidP="00040FD2">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Estimate intrinsic or fundamental value</w:t>
      </w:r>
    </w:p>
    <w:p w:rsidR="00040FD2" w:rsidRPr="00040FD2" w:rsidRDefault="00040FD2" w:rsidP="00040FD2">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Incorporate company financial statements or valuation multiples</w:t>
      </w:r>
    </w:p>
    <w:p w:rsidR="00040FD2" w:rsidRPr="00040FD2" w:rsidRDefault="00040FD2" w:rsidP="00040FD2">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 or forecast short-term price direction</w:t>
      </w:r>
    </w:p>
    <w:p w:rsidR="00040FD2" w:rsidRPr="00040FD2" w:rsidRDefault="00040FD2" w:rsidP="00040FD2">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 explicit trading or investment strategies</w:t>
      </w:r>
    </w:p>
    <w:p w:rsidR="00040FD2" w:rsidRPr="00040FD2" w:rsidRDefault="00040FD2" w:rsidP="00040F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These exclusions are deliberate and reflect the empirical behavior observed in the data.</w:t>
      </w:r>
    </w:p>
    <w:p w:rsidR="00040FD2" w:rsidRPr="00040FD2" w:rsidRDefault="009B79D1" w:rsidP="00040F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040FD2" w:rsidRPr="00040FD2" w:rsidRDefault="00040FD2" w:rsidP="00ED18DF">
      <w:pPr>
        <w:pStyle w:val="Heading2"/>
      </w:pPr>
      <w:bookmarkStart w:id="15" w:name="_Toc218670785"/>
      <w:r>
        <w:t>Methodological Boundaries and Assumptions</w:t>
      </w:r>
      <w:bookmarkEnd w:id="15"/>
    </w:p>
    <w:p w:rsidR="00040FD2" w:rsidRPr="00040FD2" w:rsidRDefault="00040FD2" w:rsidP="00040F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Several methodological boundaries are established to ensure clarity and interpretability:</w:t>
      </w:r>
    </w:p>
    <w:p w:rsidR="00040FD2" w:rsidRPr="00040FD2" w:rsidRDefault="00040FD2" w:rsidP="00040FD2">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Market Efficiency Assumption: </w:t>
      </w:r>
      <w:r>
        <w:rPr>
          <w:rFonts w:ascii="Times New Roman" w:eastAsia="Times New Roman" w:hAnsi="Times New Roman" w:cs="Times New Roman"/>
          <w:sz w:val="24"/>
          <w:szCs w:val="24"/>
        </w:rPr>
        <w:br/>
        <w:t>The analysis assumes that publicly available information is rapidly incorporated into prices, limiting the persistence of predictable patterns in returns.</w:t>
      </w:r>
    </w:p>
    <w:p w:rsidR="00040FD2" w:rsidRPr="00040FD2" w:rsidRDefault="00040FD2" w:rsidP="00040FD2">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Regime Stability within Periods: </w:t>
      </w:r>
      <w:r>
        <w:rPr>
          <w:rFonts w:ascii="Times New Roman" w:eastAsia="Times New Roman" w:hAnsi="Times New Roman" w:cs="Times New Roman"/>
          <w:sz w:val="24"/>
          <w:szCs w:val="24"/>
        </w:rPr>
        <w:br/>
        <w:t>While regimes are allowed to change, each regime is treated as internally coherent for interpretive purposes.</w:t>
      </w:r>
    </w:p>
    <w:p w:rsidR="00040FD2" w:rsidRPr="00040FD2" w:rsidRDefault="00040FD2" w:rsidP="00040FD2">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Causality vs. Association: </w:t>
      </w:r>
      <w:r>
        <w:rPr>
          <w:rFonts w:ascii="Times New Roman" w:eastAsia="Times New Roman" w:hAnsi="Times New Roman" w:cs="Times New Roman"/>
          <w:sz w:val="24"/>
          <w:szCs w:val="24"/>
        </w:rPr>
        <w:br/>
        <w:t xml:space="preserve">Structural breaks are interpreted in the context of macroeconomic and firm-specific events as </w:t>
      </w:r>
      <w:r>
        <w:rPr>
          <w:rFonts w:ascii="Times New Roman" w:eastAsia="Times New Roman" w:hAnsi="Times New Roman" w:cs="Times New Roman"/>
          <w:bCs/>
          <w:i/>
          <w:sz w:val="24"/>
          <w:szCs w:val="24"/>
        </w:rPr>
        <w:t>plausible drivers</w:t>
      </w:r>
      <w:r>
        <w:rPr>
          <w:rFonts w:ascii="Times New Roman" w:eastAsia="Times New Roman" w:hAnsi="Times New Roman" w:cs="Times New Roman"/>
          <w:sz w:val="24"/>
          <w:szCs w:val="24"/>
        </w:rPr>
        <w:t>, not as definitive causal proof.</w:t>
      </w:r>
    </w:p>
    <w:p w:rsidR="00040FD2" w:rsidRPr="00040FD2" w:rsidRDefault="00040FD2" w:rsidP="00040FD2">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Exclusion of Exogenous Predictors: </w:t>
      </w:r>
      <w:r>
        <w:rPr>
          <w:rFonts w:ascii="Times New Roman" w:eastAsia="Times New Roman" w:hAnsi="Times New Roman" w:cs="Times New Roman"/>
          <w:sz w:val="24"/>
          <w:szCs w:val="24"/>
        </w:rPr>
        <w:br/>
        <w:t>The current scope focuses on market-derived signals. Macroeconomic indicators and alternative data are reserved for future extensions.</w:t>
      </w:r>
    </w:p>
    <w:p w:rsidR="00040FD2" w:rsidRPr="00040FD2" w:rsidRDefault="009B79D1" w:rsidP="00040F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040FD2" w:rsidRPr="00040FD2" w:rsidRDefault="00040FD2" w:rsidP="00ED18DF">
      <w:pPr>
        <w:pStyle w:val="Heading2"/>
      </w:pPr>
      <w:bookmarkStart w:id="16" w:name="_Toc218670786"/>
      <w:r>
        <w:t>Intended Use and Audience</w:t>
      </w:r>
      <w:bookmarkEnd w:id="16"/>
    </w:p>
    <w:p w:rsidR="00040FD2" w:rsidRPr="00040FD2" w:rsidRDefault="00040FD2" w:rsidP="00040F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report is designed for:</w:t>
      </w:r>
    </w:p>
    <w:p w:rsidR="00040FD2" w:rsidRPr="00040FD2" w:rsidRDefault="00040FD2" w:rsidP="00040FD2">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Investment professionals seeking a </w:t>
      </w:r>
      <w:r>
        <w:rPr>
          <w:rFonts w:ascii="Times New Roman" w:eastAsia="Times New Roman" w:hAnsi="Times New Roman" w:cs="Times New Roman"/>
          <w:b/>
          <w:bCs/>
          <w:sz w:val="24"/>
          <w:szCs w:val="24"/>
        </w:rPr>
        <w:t>structured understanding of risk</w:t>
      </w:r>
    </w:p>
    <w:p w:rsidR="00040FD2" w:rsidRPr="00040FD2" w:rsidRDefault="00040FD2" w:rsidP="00040FD2">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Decision-makers evaluating the </w:t>
      </w:r>
      <w:r>
        <w:rPr>
          <w:rFonts w:ascii="Times New Roman" w:eastAsia="Times New Roman" w:hAnsi="Times New Roman" w:cs="Times New Roman"/>
          <w:b/>
          <w:bCs/>
          <w:sz w:val="24"/>
          <w:szCs w:val="24"/>
        </w:rPr>
        <w:t>stability and uncertainty profile</w:t>
      </w:r>
      <w:r>
        <w:rPr>
          <w:rFonts w:ascii="Times New Roman" w:eastAsia="Times New Roman" w:hAnsi="Times New Roman" w:cs="Times New Roman"/>
          <w:sz w:val="24"/>
          <w:szCs w:val="24"/>
        </w:rPr>
        <w:t xml:space="preserve"> of Safaricom’s equity</w:t>
      </w:r>
    </w:p>
    <w:p w:rsidR="00040FD2" w:rsidRPr="00040FD2" w:rsidRDefault="00040FD2" w:rsidP="00040FD2">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Stakeholders interested in </w:t>
      </w:r>
      <w:r>
        <w:rPr>
          <w:rFonts w:ascii="Times New Roman" w:eastAsia="Times New Roman" w:hAnsi="Times New Roman" w:cs="Times New Roman"/>
          <w:b/>
          <w:bCs/>
          <w:sz w:val="24"/>
          <w:szCs w:val="24"/>
        </w:rPr>
        <w:t>regime-aware market analysis</w:t>
      </w:r>
    </w:p>
    <w:p w:rsidR="00040FD2" w:rsidRPr="00040FD2" w:rsidRDefault="00040FD2" w:rsidP="00040F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not intended as a trading manual or a standalone forecasting system. Instead, it provides the </w:t>
      </w:r>
      <w:r>
        <w:rPr>
          <w:rFonts w:ascii="Times New Roman" w:eastAsia="Times New Roman" w:hAnsi="Times New Roman" w:cs="Times New Roman"/>
          <w:b/>
          <w:bCs/>
          <w:sz w:val="24"/>
          <w:szCs w:val="24"/>
        </w:rPr>
        <w:t>contextual foundation</w:t>
      </w:r>
      <w:r>
        <w:rPr>
          <w:rFonts w:ascii="Times New Roman" w:eastAsia="Times New Roman" w:hAnsi="Times New Roman" w:cs="Times New Roman"/>
          <w:sz w:val="24"/>
          <w:szCs w:val="24"/>
        </w:rPr>
        <w:t xml:space="preserve"> upon which more advanced volatility modeling and regime-switching frameworks can be responsibly developed.</w:t>
      </w:r>
    </w:p>
    <w:p w:rsidR="00040FD2" w:rsidRPr="00040FD2" w:rsidRDefault="009B79D1" w:rsidP="00040F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040FD2" w:rsidRPr="00040FD2" w:rsidRDefault="00040FD2" w:rsidP="00ED18DF">
      <w:pPr>
        <w:pStyle w:val="Heading2"/>
      </w:pPr>
      <w:bookmarkStart w:id="17" w:name="_Toc218670787"/>
      <w:r>
        <w:t>Positioning for Subsequent Analysis</w:t>
      </w:r>
      <w:bookmarkEnd w:id="17"/>
    </w:p>
    <w:p w:rsidR="00040FD2" w:rsidRPr="00040FD2" w:rsidRDefault="00040FD2" w:rsidP="00040F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By clearly defining the data and analytical boundaries at this stage, the report establishes a solid foundation for the next phase of work, which will focus on:</w:t>
      </w:r>
    </w:p>
    <w:p w:rsidR="00040FD2" w:rsidRPr="00040FD2" w:rsidRDefault="00040FD2" w:rsidP="00040FD2">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Explicit volatility modeling</w:t>
      </w:r>
    </w:p>
    <w:p w:rsidR="00040FD2" w:rsidRPr="00040FD2" w:rsidRDefault="00040FD2" w:rsidP="00040FD2">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Regime-switching frameworks</w:t>
      </w:r>
    </w:p>
    <w:p w:rsidR="00040FD2" w:rsidRPr="00040FD2" w:rsidRDefault="00040FD2" w:rsidP="00040FD2">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Comparative evaluation of modeling approaches</w:t>
      </w:r>
    </w:p>
    <w:p w:rsidR="00161EAA" w:rsidRDefault="00040FD2" w:rsidP="00161EA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extensions will be presented as a </w:t>
      </w:r>
      <w:r>
        <w:rPr>
          <w:rFonts w:ascii="Times New Roman" w:eastAsia="Times New Roman" w:hAnsi="Times New Roman" w:cs="Times New Roman"/>
          <w:b/>
          <w:bCs/>
          <w:sz w:val="24"/>
          <w:szCs w:val="24"/>
        </w:rPr>
        <w:t>separate analytical layer</w:t>
      </w:r>
      <w:r>
        <w:rPr>
          <w:rFonts w:ascii="Times New Roman" w:eastAsia="Times New Roman" w:hAnsi="Times New Roman" w:cs="Times New Roman"/>
          <w:sz w:val="24"/>
          <w:szCs w:val="24"/>
        </w:rPr>
        <w:t xml:space="preserve">, ensuring that modeling choices remain grounded in the observed behavior of the asset. </w:t>
      </w:r>
    </w:p>
    <w:p w:rsidR="00161EAA" w:rsidRPr="00040FD2" w:rsidRDefault="00161EAA" w:rsidP="00161EA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 the data and scope clearly defined, the analysis now turns to a detailed examination of </w:t>
      </w:r>
      <w:r>
        <w:rPr>
          <w:rFonts w:ascii="Times New Roman" w:eastAsia="Times New Roman" w:hAnsi="Times New Roman" w:cs="Times New Roman"/>
          <w:b/>
          <w:bCs/>
          <w:sz w:val="24"/>
          <w:szCs w:val="24"/>
        </w:rPr>
        <w:t>how Safaricom’s stock behaves in practice</w:t>
      </w:r>
      <w:r>
        <w:rPr>
          <w:rFonts w:ascii="Times New Roman" w:eastAsia="Times New Roman" w:hAnsi="Times New Roman" w:cs="Times New Roman"/>
          <w:sz w:val="24"/>
          <w:szCs w:val="24"/>
        </w:rPr>
        <w:t>, beginning with a systematic assessment of market behavior prior to formal modeling.</w:t>
      </w:r>
    </w:p>
    <w:p w:rsidR="00161EAA" w:rsidRDefault="00161EAA" w:rsidP="00040FD2">
      <w:pPr>
        <w:spacing w:before="100" w:beforeAutospacing="1" w:after="100" w:afterAutospacing="1" w:line="240" w:lineRule="auto"/>
        <w:rPr>
          <w:rFonts w:ascii="Times New Roman" w:eastAsia="Times New Roman" w:hAnsi="Times New Roman" w:cs="Times New Roman"/>
          <w:sz w:val="24"/>
          <w:szCs w:val="24"/>
        </w:rPr>
      </w:pPr>
    </w:p>
    <w:p w:rsidR="008D701E" w:rsidRPr="00040FD2" w:rsidRDefault="008D701E" w:rsidP="00040FD2">
      <w:pPr>
        <w:spacing w:before="100" w:beforeAutospacing="1" w:after="100" w:afterAutospacing="1" w:line="240" w:lineRule="auto"/>
        <w:rPr>
          <w:rFonts w:ascii="Times New Roman" w:eastAsia="Times New Roman" w:hAnsi="Times New Roman" w:cs="Times New Roman"/>
          <w:sz w:val="24"/>
          <w:szCs w:val="24"/>
        </w:rPr>
      </w:pPr>
    </w:p>
    <w:p w:rsidR="00040FD2" w:rsidRDefault="009B79D1" w:rsidP="00040F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FC33A8" w:rsidRDefault="00FC33A8" w:rsidP="00161EAA">
      <w:pPr>
        <w:spacing w:after="0" w:line="240" w:lineRule="auto"/>
        <w:rPr>
          <w:rFonts w:ascii="Times New Roman" w:eastAsia="Times New Roman" w:hAnsi="Times New Roman" w:cs="Times New Roman"/>
          <w:sz w:val="24"/>
          <w:szCs w:val="24"/>
        </w:rPr>
      </w:pPr>
    </w:p>
    <w:p w:rsidR="00040FD2" w:rsidRPr="00161EAA" w:rsidRDefault="009B79D1" w:rsidP="00161E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374BF4" w:rsidRDefault="00374BF4" w:rsidP="008D701E">
      <w:pPr>
        <w:rPr>
          <w:sz w:val="24"/>
          <w:szCs w:val="24"/>
        </w:rPr>
      </w:pPr>
    </w:p>
    <w:p w:rsidR="008D701E" w:rsidRPr="008D701E" w:rsidRDefault="008D701E" w:rsidP="008D701E">
      <w:pPr>
        <w:rPr>
          <w:sz w:val="24"/>
          <w:szCs w:val="24"/>
        </w:rPr>
      </w:pPr>
    </w:p>
    <w:p w:rsidR="00040FD2" w:rsidRPr="00040FD2" w:rsidRDefault="00040FD2" w:rsidP="00ED18DF">
      <w:pPr>
        <w:pStyle w:val="Heading1"/>
      </w:pPr>
      <w:bookmarkStart w:id="18" w:name="_Toc218670788"/>
      <w:r>
        <w:t>Market Behaviour Analysis</w:t>
      </w:r>
      <w:bookmarkEnd w:id="18"/>
    </w:p>
    <w:p w:rsidR="00040FD2" w:rsidRPr="00040FD2" w:rsidRDefault="00040FD2" w:rsidP="00ED18DF">
      <w:pPr>
        <w:pStyle w:val="Heading2"/>
      </w:pPr>
      <w:bookmarkStart w:id="19" w:name="_Toc218670789"/>
      <w:r>
        <w:t>Overview: How the Safaricom Stock Behaves</w:t>
      </w:r>
      <w:bookmarkEnd w:id="19"/>
    </w:p>
    <w:p w:rsidR="00040FD2" w:rsidRPr="00040FD2" w:rsidRDefault="00040FD2" w:rsidP="00040F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Safaricom equity exhibits </w:t>
      </w:r>
      <w:r>
        <w:rPr>
          <w:rFonts w:ascii="Times New Roman" w:eastAsia="Times New Roman" w:hAnsi="Times New Roman" w:cs="Times New Roman"/>
          <w:b/>
          <w:bCs/>
          <w:sz w:val="24"/>
          <w:szCs w:val="24"/>
        </w:rPr>
        <w:t>non-linear, regime-driven behaviour</w:t>
      </w:r>
      <w:r>
        <w:rPr>
          <w:rFonts w:ascii="Times New Roman" w:eastAsia="Times New Roman" w:hAnsi="Times New Roman" w:cs="Times New Roman"/>
          <w:sz w:val="24"/>
          <w:szCs w:val="24"/>
        </w:rPr>
        <w:t xml:space="preserve"> rather than smooth or stable price evolution. While long-term directionality is visible over multi-year horizons, price changes occur in </w:t>
      </w:r>
      <w:r>
        <w:rPr>
          <w:rFonts w:ascii="Times New Roman" w:eastAsia="Times New Roman" w:hAnsi="Times New Roman" w:cs="Times New Roman"/>
          <w:b/>
          <w:bCs/>
          <w:sz w:val="24"/>
          <w:szCs w:val="24"/>
        </w:rPr>
        <w:t>episodic bursts</w:t>
      </w:r>
      <w:r>
        <w:rPr>
          <w:rFonts w:ascii="Times New Roman" w:eastAsia="Times New Roman" w:hAnsi="Times New Roman" w:cs="Times New Roman"/>
          <w:sz w:val="24"/>
          <w:szCs w:val="24"/>
        </w:rPr>
        <w:t xml:space="preserve">, interspersed with periods of stagnation, compression, or sharp repricing. This behaviour indicates that the asset does not respond to information in a continuous or proportional manner; instead, it adjusts through </w:t>
      </w:r>
      <w:r>
        <w:rPr>
          <w:rFonts w:ascii="Times New Roman" w:eastAsia="Times New Roman" w:hAnsi="Times New Roman" w:cs="Times New Roman"/>
          <w:b/>
          <w:bCs/>
          <w:sz w:val="24"/>
          <w:szCs w:val="24"/>
        </w:rPr>
        <w:t>discrete phases</w:t>
      </w:r>
      <w:r>
        <w:rPr>
          <w:rFonts w:ascii="Times New Roman" w:eastAsia="Times New Roman" w:hAnsi="Times New Roman" w:cs="Times New Roman"/>
          <w:sz w:val="24"/>
          <w:szCs w:val="24"/>
        </w:rPr>
        <w:t xml:space="preserve"> driven by shifts in risk perception, macroeconomic conditions, and firm-level reassessments.</w:t>
      </w:r>
    </w:p>
    <w:p w:rsidR="00040FD2" w:rsidRPr="00040FD2" w:rsidRDefault="00040FD2" w:rsidP="00040F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observation forms the foundation for reframing the analysis away from short-term price prediction and toward </w:t>
      </w:r>
      <w:r>
        <w:rPr>
          <w:rFonts w:ascii="Times New Roman" w:eastAsia="Times New Roman" w:hAnsi="Times New Roman" w:cs="Times New Roman"/>
          <w:b/>
          <w:bCs/>
          <w:sz w:val="24"/>
          <w:szCs w:val="24"/>
        </w:rPr>
        <w:t>understanding structural changes and volatility dynamics</w:t>
      </w:r>
      <w:r>
        <w:rPr>
          <w:rFonts w:ascii="Times New Roman" w:eastAsia="Times New Roman" w:hAnsi="Times New Roman" w:cs="Times New Roman"/>
          <w:sz w:val="24"/>
          <w:szCs w:val="24"/>
        </w:rPr>
        <w:t>.</w:t>
      </w:r>
    </w:p>
    <w:p w:rsidR="00040FD2" w:rsidRPr="00040FD2" w:rsidRDefault="009B79D1" w:rsidP="00040F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040FD2" w:rsidRPr="00040FD2" w:rsidRDefault="00040FD2" w:rsidP="00ED18DF">
      <w:pPr>
        <w:pStyle w:val="Heading3"/>
      </w:pPr>
      <w:bookmarkStart w:id="20" w:name="_Toc218670790"/>
      <w:r>
        <w:t>Price Dynamics: Trend Formation without Trend Persistence</w:t>
      </w:r>
      <w:bookmarkEnd w:id="20"/>
    </w:p>
    <w:p w:rsidR="00040FD2" w:rsidRPr="00040FD2" w:rsidRDefault="00040FD2" w:rsidP="00040F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the price level, Safaricom exhibits identifiable trends that </w:t>
      </w:r>
      <w:r>
        <w:rPr>
          <w:rFonts w:ascii="Times New Roman" w:eastAsia="Times New Roman" w:hAnsi="Times New Roman" w:cs="Times New Roman"/>
          <w:b/>
          <w:bCs/>
          <w:sz w:val="24"/>
          <w:szCs w:val="24"/>
        </w:rPr>
        <w:t>form, weaken, and reverse</w:t>
      </w:r>
      <w:r>
        <w:rPr>
          <w:rFonts w:ascii="Times New Roman" w:eastAsia="Times New Roman" w:hAnsi="Times New Roman" w:cs="Times New Roman"/>
          <w:sz w:val="24"/>
          <w:szCs w:val="24"/>
        </w:rPr>
        <w:t>, rather than trends that persist smoothly over time. Upward movements are often followed by prolonged plateaus or sharp corrections, while downward phases tend to occur rapidly and with limited opportunity for gradual adjustment.</w:t>
      </w:r>
    </w:p>
    <w:p w:rsidR="00040FD2" w:rsidRPr="00040FD2" w:rsidRDefault="00040FD2" w:rsidP="00040F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behaviour suggests that:</w:t>
      </w:r>
    </w:p>
    <w:p w:rsidR="00040FD2" w:rsidRPr="00040FD2" w:rsidRDefault="00040FD2" w:rsidP="00040FD2">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Trends are </w:t>
      </w:r>
      <w:r>
        <w:rPr>
          <w:rFonts w:ascii="Times New Roman" w:eastAsia="Times New Roman" w:hAnsi="Times New Roman" w:cs="Times New Roman"/>
          <w:b/>
          <w:bCs/>
          <w:sz w:val="24"/>
          <w:szCs w:val="24"/>
        </w:rPr>
        <w:t>conditional</w:t>
      </w:r>
      <w:r>
        <w:rPr>
          <w:rFonts w:ascii="Times New Roman" w:eastAsia="Times New Roman" w:hAnsi="Times New Roman" w:cs="Times New Roman"/>
          <w:sz w:val="24"/>
          <w:szCs w:val="24"/>
        </w:rPr>
        <w:t>, not permanent</w:t>
      </w:r>
    </w:p>
    <w:p w:rsidR="00040FD2" w:rsidRPr="00040FD2" w:rsidRDefault="00040FD2" w:rsidP="00040FD2">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Trend continuation depends on broader regime support rather than technical momentum alone</w:t>
      </w:r>
    </w:p>
    <w:p w:rsidR="00040FD2" w:rsidRPr="00040FD2" w:rsidRDefault="00040FD2" w:rsidP="00040FD2">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Price discovery occurs through </w:t>
      </w:r>
      <w:r>
        <w:rPr>
          <w:rFonts w:ascii="Times New Roman" w:eastAsia="Times New Roman" w:hAnsi="Times New Roman" w:cs="Times New Roman"/>
          <w:b/>
          <w:bCs/>
          <w:sz w:val="24"/>
          <w:szCs w:val="24"/>
        </w:rPr>
        <w:t>re-pricing events</w:t>
      </w:r>
      <w:r>
        <w:rPr>
          <w:rFonts w:ascii="Times New Roman" w:eastAsia="Times New Roman" w:hAnsi="Times New Roman" w:cs="Times New Roman"/>
          <w:sz w:val="24"/>
          <w:szCs w:val="24"/>
        </w:rPr>
        <w:t>, not incremental drift</w:t>
      </w:r>
    </w:p>
    <w:p w:rsidR="00040FD2" w:rsidRPr="00040FD2" w:rsidRDefault="00040FD2" w:rsidP="00040F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practical terms, this means that historical price paths provide limited predictive power for future price levels unless the </w:t>
      </w:r>
      <w:r>
        <w:rPr>
          <w:rFonts w:ascii="Times New Roman" w:eastAsia="Times New Roman" w:hAnsi="Times New Roman" w:cs="Times New Roman"/>
          <w:b/>
          <w:bCs/>
          <w:sz w:val="24"/>
          <w:szCs w:val="24"/>
        </w:rPr>
        <w:t>underlying market regime remains unchanged</w:t>
      </w:r>
      <w:r>
        <w:rPr>
          <w:rFonts w:ascii="Times New Roman" w:eastAsia="Times New Roman" w:hAnsi="Times New Roman" w:cs="Times New Roman"/>
          <w:sz w:val="24"/>
          <w:szCs w:val="24"/>
        </w:rPr>
        <w:t>.</w:t>
      </w:r>
    </w:p>
    <w:p w:rsidR="00040FD2" w:rsidRPr="00040FD2" w:rsidRDefault="009B79D1" w:rsidP="00040F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040FD2" w:rsidRPr="00040FD2" w:rsidRDefault="00040FD2" w:rsidP="00ED18DF">
      <w:pPr>
        <w:pStyle w:val="Heading3"/>
      </w:pPr>
      <w:bookmarkStart w:id="21" w:name="_Toc218670791"/>
      <w:r>
        <w:t>Decomposition Insight: Trend as Regime Accumulation</w:t>
      </w:r>
      <w:bookmarkEnd w:id="21"/>
    </w:p>
    <w:p w:rsidR="006B3B7F" w:rsidRDefault="00040FD2" w:rsidP="00040F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Decomposition of the price series reveals that the estimated trend component does not represent smooth growth or decline. Instead, it reflects the </w:t>
      </w:r>
      <w:r>
        <w:rPr>
          <w:rFonts w:ascii="Times New Roman" w:eastAsia="Times New Roman" w:hAnsi="Times New Roman" w:cs="Times New Roman"/>
          <w:b/>
          <w:bCs/>
          <w:sz w:val="24"/>
          <w:szCs w:val="24"/>
        </w:rPr>
        <w:t>accumulation of regime-level shifts</w:t>
      </w:r>
      <w:r>
        <w:rPr>
          <w:rFonts w:ascii="Times New Roman" w:eastAsia="Times New Roman" w:hAnsi="Times New Roman" w:cs="Times New Roman"/>
          <w:sz w:val="24"/>
          <w:szCs w:val="24"/>
        </w:rPr>
        <w:t xml:space="preserve"> over time. What appears visually as a trend is, in reality, the cumulative effect of multiple structural adjustments — each driven by new information, policy changes, or shifts in investor expectations.</w:t>
      </w:r>
    </w:p>
    <w:p w:rsidR="006B3B7F" w:rsidRDefault="006B3B7F" w:rsidP="00FC33A8">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A200236" wp14:editId="09019163">
            <wp:extent cx="3657600" cy="2491936"/>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85567" cy="2510990"/>
                    </a:xfrm>
                    <a:prstGeom prst="rect">
                      <a:avLst/>
                    </a:prstGeom>
                  </pic:spPr>
                </pic:pic>
              </a:graphicData>
            </a:graphic>
          </wp:inline>
        </w:drawing>
      </w:r>
    </w:p>
    <w:p w:rsidR="00FC33A8" w:rsidRDefault="00FC33A8" w:rsidP="00FC33A8">
      <w:pPr>
        <w:spacing w:before="100" w:beforeAutospacing="1" w:after="100" w:afterAutospacing="1" w:line="240" w:lineRule="auto"/>
        <w:ind w:left="360" w:hanging="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10. STL Decomposition of Safaricom share price</w:t>
      </w:r>
    </w:p>
    <w:p w:rsidR="008D701E" w:rsidRDefault="008D701E" w:rsidP="00FC33A8">
      <w:pPr>
        <w:spacing w:before="100" w:beforeAutospacing="1" w:after="100" w:afterAutospacing="1" w:line="240" w:lineRule="auto"/>
        <w:ind w:left="360" w:hanging="360"/>
        <w:jc w:val="center"/>
        <w:rPr>
          <w:rFonts w:ascii="Times New Roman" w:eastAsia="Times New Roman" w:hAnsi="Times New Roman" w:cs="Times New Roman"/>
          <w:sz w:val="24"/>
          <w:szCs w:val="24"/>
        </w:rPr>
      </w:pPr>
    </w:p>
    <w:p w:rsidR="006B3B7F" w:rsidRPr="00C968DB" w:rsidRDefault="006B3B7F" w:rsidP="006B3B7F">
      <w:pPr>
        <w:pStyle w:val="NormalWeb"/>
        <w:rPr>
          <w:i/>
        </w:rPr>
      </w:pPr>
      <w:r>
        <w:rPr>
          <w:i/>
        </w:rPr>
        <w:t xml:space="preserve">Safaricom experienced a </w:t>
      </w:r>
      <w:r>
        <w:rPr>
          <w:b/>
          <w:bCs/>
          <w:i/>
        </w:rPr>
        <w:t>structural growth phase</w:t>
      </w:r>
      <w:r>
        <w:rPr>
          <w:i/>
        </w:rPr>
        <w:t xml:space="preserve"> leading into 2022. Post-2022, the trend weakens, suggesting; changing fundamentals, valuation saturation, or macro/regulatory pressure. From the trend component of the decomposition we can observe that Safaricom price is </w:t>
      </w:r>
      <w:r>
        <w:rPr>
          <w:rStyle w:val="Strong"/>
          <w:i/>
        </w:rPr>
        <w:t>not strongly seasonal</w:t>
      </w:r>
      <w:r>
        <w:rPr>
          <w:i/>
        </w:rPr>
        <w:t xml:space="preserve"> and is </w:t>
      </w:r>
      <w:r>
        <w:rPr>
          <w:rStyle w:val="Emphasis"/>
          <w:i w:val="0"/>
        </w:rPr>
        <w:t>volatility-amplified</w:t>
      </w:r>
      <w:r>
        <w:rPr>
          <w:i/>
        </w:rPr>
        <w:t>, not trend-driven. We observe distinct epochs of distinct variance characteristics. Furthermore the increase in variance of residuals post-2021 as well as heavy clustering of large residuals around 2022-2023 gave evidence to support a regime-based analysis framework.</w:t>
      </w:r>
    </w:p>
    <w:p w:rsidR="006B3B7F" w:rsidRDefault="006B3B7F" w:rsidP="00FC33A8">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154A8E1" wp14:editId="55B98F5C">
            <wp:extent cx="4324350" cy="301872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27611" cy="3021005"/>
                    </a:xfrm>
                    <a:prstGeom prst="rect">
                      <a:avLst/>
                    </a:prstGeom>
                  </pic:spPr>
                </pic:pic>
              </a:graphicData>
            </a:graphic>
          </wp:inline>
        </w:drawing>
      </w:r>
    </w:p>
    <w:p w:rsidR="00FC33A8" w:rsidRPr="00040FD2" w:rsidRDefault="00FC33A8" w:rsidP="00FC33A8">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11. STL Decomposition of Log Returns</w:t>
      </w:r>
    </w:p>
    <w:p w:rsidR="00040FD2" w:rsidRPr="00040FD2" w:rsidRDefault="00040FD2" w:rsidP="00040F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explains why:</w:t>
      </w:r>
    </w:p>
    <w:p w:rsidR="00040FD2" w:rsidRPr="00040FD2" w:rsidRDefault="00040FD2" w:rsidP="00040FD2">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Trend reversals often coincide with periods of heightened uncertainty</w:t>
      </w:r>
    </w:p>
    <w:p w:rsidR="00040FD2" w:rsidRPr="00040FD2" w:rsidRDefault="00040FD2" w:rsidP="00040FD2">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Trend strength varies significantly across time</w:t>
      </w:r>
    </w:p>
    <w:p w:rsidR="00040FD2" w:rsidRPr="00040FD2" w:rsidRDefault="00040FD2" w:rsidP="00040FD2">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Apparent “long-term trends” can dissolve rapidly when regimes change</w:t>
      </w:r>
    </w:p>
    <w:p w:rsidR="00040FD2" w:rsidRPr="00040FD2" w:rsidRDefault="00040FD2" w:rsidP="00040F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trend component should therefore be interpreted as </w:t>
      </w:r>
      <w:r>
        <w:rPr>
          <w:rFonts w:ascii="Times New Roman" w:eastAsia="Times New Roman" w:hAnsi="Times New Roman" w:cs="Times New Roman"/>
          <w:b/>
          <w:bCs/>
          <w:sz w:val="24"/>
          <w:szCs w:val="24"/>
        </w:rPr>
        <w:t>historical regime aggregation</w:t>
      </w:r>
      <w:r>
        <w:rPr>
          <w:rFonts w:ascii="Times New Roman" w:eastAsia="Times New Roman" w:hAnsi="Times New Roman" w:cs="Times New Roman"/>
          <w:sz w:val="24"/>
          <w:szCs w:val="24"/>
        </w:rPr>
        <w:t>, not a deterministic trajectory.</w:t>
      </w:r>
    </w:p>
    <w:p w:rsidR="00040FD2" w:rsidRPr="00040FD2" w:rsidRDefault="009B79D1" w:rsidP="00040F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040FD2" w:rsidRPr="00040FD2" w:rsidRDefault="00040FD2" w:rsidP="006F63CB">
      <w:pPr>
        <w:pStyle w:val="Heading3"/>
      </w:pPr>
      <w:bookmarkStart w:id="22" w:name="_Toc218670792"/>
      <w:r>
        <w:t>Return Behaviour: Noise Dominance and Mean Reversion</w:t>
      </w:r>
      <w:bookmarkEnd w:id="22"/>
    </w:p>
    <w:p w:rsidR="00040FD2" w:rsidRDefault="00040FD2" w:rsidP="00040F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When the analysis shifts from price levels to returns, the behavioural contrast becomes immediately clear. Returns are centered around zero, display significant dispersion, and exhibit frequent sign reversals. Large movements — both positive and negative — occur more often than would be expected under normal assumptions.</w:t>
      </w:r>
    </w:p>
    <w:p w:rsidR="002864E5" w:rsidRDefault="002864E5" w:rsidP="002864E5">
      <w:pPr>
        <w:spacing w:before="100" w:beforeAutospacing="1" w:after="100" w:afterAutospacing="1" w:line="240" w:lineRule="auto"/>
        <w:ind w:left="360" w:hanging="36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E0E986E" wp14:editId="40FAA1E2">
            <wp:extent cx="3571875" cy="271486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06634" cy="2741284"/>
                    </a:xfrm>
                    <a:prstGeom prst="rect">
                      <a:avLst/>
                    </a:prstGeom>
                  </pic:spPr>
                </pic:pic>
              </a:graphicData>
            </a:graphic>
          </wp:inline>
        </w:drawing>
      </w:r>
    </w:p>
    <w:p w:rsidR="002864E5" w:rsidRPr="005C6C8E" w:rsidRDefault="008543A0" w:rsidP="002864E5">
      <w:pPr>
        <w:spacing w:before="100" w:beforeAutospacing="1" w:after="100" w:afterAutospacing="1" w:line="240" w:lineRule="auto"/>
        <w:ind w:left="360"/>
        <w:jc w:val="center"/>
        <w:rPr>
          <w:rFonts w:ascii="Times New Roman" w:eastAsia="Times New Roman" w:hAnsi="Times New Roman" w:cs="Times New Roman"/>
          <w:szCs w:val="24"/>
        </w:rPr>
      </w:pPr>
      <w:r>
        <w:rPr>
          <w:rFonts w:ascii="Times New Roman" w:eastAsia="Times New Roman" w:hAnsi="Times New Roman" w:cs="Times New Roman"/>
          <w:szCs w:val="24"/>
        </w:rPr>
        <w:t>Fig 12: QQ-plot of log returns vs. normal returns</w:t>
      </w:r>
    </w:p>
    <w:p w:rsidR="002864E5" w:rsidRPr="00ED22EE" w:rsidRDefault="002864E5" w:rsidP="00ED22EE">
      <w:pPr>
        <w:spacing w:before="100" w:beforeAutospacing="1" w:after="100" w:afterAutospacing="1" w:line="240" w:lineRule="auto"/>
        <w:ind w:left="36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The center of the distribution behaves very close to normal. The tails deviate from normality especially, more on the right than the left (as observed above). </w:t>
      </w:r>
      <w:r>
        <w:rPr>
          <w:rFonts w:ascii="Times New Roman" w:eastAsia="Times New Roman" w:hAnsi="Times New Roman" w:cs="Times New Roman"/>
          <w:b/>
          <w:i/>
          <w:sz w:val="24"/>
          <w:szCs w:val="24"/>
        </w:rPr>
        <w:t>Large positive returns occur more often than expected under normality</w:t>
      </w:r>
      <w:r>
        <w:rPr>
          <w:rFonts w:ascii="Times New Roman" w:eastAsia="Times New Roman" w:hAnsi="Times New Roman" w:cs="Times New Roman"/>
          <w:i/>
          <w:sz w:val="24"/>
          <w:szCs w:val="24"/>
        </w:rPr>
        <w:t xml:space="preserve">, furthermore, </w:t>
      </w:r>
      <w:r>
        <w:rPr>
          <w:rFonts w:ascii="Times New Roman" w:eastAsia="Times New Roman" w:hAnsi="Times New Roman" w:cs="Times New Roman"/>
          <w:b/>
          <w:i/>
          <w:sz w:val="24"/>
          <w:szCs w:val="24"/>
        </w:rPr>
        <w:t>upside shocks are more pronounced than downside ones</w:t>
      </w:r>
      <w:r>
        <w:rPr>
          <w:rFonts w:ascii="Times New Roman" w:eastAsia="Times New Roman" w:hAnsi="Times New Roman" w:cs="Times New Roman"/>
          <w:i/>
          <w:sz w:val="24"/>
          <w:szCs w:val="24"/>
        </w:rPr>
        <w:t xml:space="preserve">. This all implies that, when we compare Safaricom’s daily returns to a perfectly normal market, most days behave exactly as expected. However, very large price moves — especially positive ones — occur slightly more often than a normal model would predict. This means that while day-to-day behavior is stable, </w:t>
      </w:r>
      <w:r>
        <w:rPr>
          <w:rFonts w:ascii="Times New Roman" w:eastAsia="Times New Roman" w:hAnsi="Times New Roman" w:cs="Times New Roman"/>
          <w:b/>
          <w:i/>
          <w:sz w:val="24"/>
          <w:szCs w:val="24"/>
        </w:rPr>
        <w:t>extreme market reactions are more common on the upside than on the downside</w:t>
      </w:r>
      <w:r>
        <w:rPr>
          <w:rFonts w:ascii="Times New Roman" w:eastAsia="Times New Roman" w:hAnsi="Times New Roman" w:cs="Times New Roman"/>
          <w:i/>
          <w:sz w:val="24"/>
          <w:szCs w:val="24"/>
        </w:rPr>
        <w:t>.</w:t>
      </w:r>
    </w:p>
    <w:p w:rsidR="00040FD2" w:rsidRPr="00040FD2" w:rsidRDefault="00040FD2" w:rsidP="00040F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Key characteristics of return behaviour include:</w:t>
      </w:r>
    </w:p>
    <w:p w:rsidR="00040FD2" w:rsidRPr="00040FD2" w:rsidRDefault="00040FD2" w:rsidP="00040FD2">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Mean reversion</w:t>
      </w:r>
      <w:r>
        <w:rPr>
          <w:rFonts w:ascii="Times New Roman" w:eastAsia="Times New Roman" w:hAnsi="Times New Roman" w:cs="Times New Roman"/>
          <w:sz w:val="24"/>
          <w:szCs w:val="24"/>
        </w:rPr>
        <w:t>, rather than persistent directional movement</w:t>
      </w:r>
    </w:p>
    <w:p w:rsidR="00040FD2" w:rsidRPr="00040FD2" w:rsidRDefault="00040FD2" w:rsidP="00040FD2">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Fat tails</w:t>
      </w:r>
      <w:r>
        <w:rPr>
          <w:rFonts w:ascii="Times New Roman" w:eastAsia="Times New Roman" w:hAnsi="Times New Roman" w:cs="Times New Roman"/>
          <w:sz w:val="24"/>
          <w:szCs w:val="24"/>
        </w:rPr>
        <w:t>, indicating elevated risk of extreme outcomes</w:t>
      </w:r>
    </w:p>
    <w:p w:rsidR="00040FD2" w:rsidRPr="00040FD2" w:rsidRDefault="00040FD2" w:rsidP="00040FD2">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Limited serial correlation in raw returns</w:t>
      </w:r>
    </w:p>
    <w:p w:rsidR="00040FD2" w:rsidRPr="00040FD2" w:rsidRDefault="00040FD2" w:rsidP="00040F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reinforces the conclusion that </w:t>
      </w:r>
      <w:r>
        <w:rPr>
          <w:rFonts w:ascii="Times New Roman" w:eastAsia="Times New Roman" w:hAnsi="Times New Roman" w:cs="Times New Roman"/>
          <w:b/>
          <w:bCs/>
          <w:sz w:val="24"/>
          <w:szCs w:val="24"/>
        </w:rPr>
        <w:t>price prediction at fine time scales is structurally difficult</w:t>
      </w:r>
      <w:r>
        <w:rPr>
          <w:rFonts w:ascii="Times New Roman" w:eastAsia="Times New Roman" w:hAnsi="Times New Roman" w:cs="Times New Roman"/>
          <w:sz w:val="24"/>
          <w:szCs w:val="24"/>
        </w:rPr>
        <w:t>, as returns are dominated by noise rather than signal.</w:t>
      </w:r>
    </w:p>
    <w:p w:rsidR="00040FD2" w:rsidRPr="00040FD2" w:rsidRDefault="009B79D1" w:rsidP="00040F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040FD2" w:rsidRPr="00040FD2" w:rsidRDefault="00040FD2" w:rsidP="006F63CB">
      <w:pPr>
        <w:pStyle w:val="Heading3"/>
      </w:pPr>
      <w:bookmarkStart w:id="23" w:name="_Toc218670793"/>
      <w:r>
        <w:t>Volatility Clustering: Persistence of Risk</w:t>
      </w:r>
      <w:bookmarkEnd w:id="23"/>
    </w:p>
    <w:p w:rsidR="00040FD2" w:rsidRDefault="00040FD2" w:rsidP="00040F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returns themselves exhibit limited predictability, their </w:t>
      </w:r>
      <w:r>
        <w:rPr>
          <w:rFonts w:ascii="Times New Roman" w:eastAsia="Times New Roman" w:hAnsi="Times New Roman" w:cs="Times New Roman"/>
          <w:b/>
          <w:bCs/>
          <w:sz w:val="24"/>
          <w:szCs w:val="24"/>
        </w:rPr>
        <w:t>magnitude</w:t>
      </w:r>
      <w:r>
        <w:rPr>
          <w:rFonts w:ascii="Times New Roman" w:eastAsia="Times New Roman" w:hAnsi="Times New Roman" w:cs="Times New Roman"/>
          <w:sz w:val="24"/>
          <w:szCs w:val="24"/>
        </w:rPr>
        <w:t xml:space="preserve"> tells a different story. Periods of high volatility tend to cluster together, as do periods of relative calm. This indicates that while the direction of returns is difficult to forecast, the </w:t>
      </w:r>
      <w:r>
        <w:rPr>
          <w:rFonts w:ascii="Times New Roman" w:eastAsia="Times New Roman" w:hAnsi="Times New Roman" w:cs="Times New Roman"/>
          <w:b/>
          <w:bCs/>
          <w:sz w:val="24"/>
          <w:szCs w:val="24"/>
        </w:rPr>
        <w:t>level of market risk is persistent</w:t>
      </w:r>
      <w:r>
        <w:rPr>
          <w:rFonts w:ascii="Times New Roman" w:eastAsia="Times New Roman" w:hAnsi="Times New Roman" w:cs="Times New Roman"/>
          <w:sz w:val="24"/>
          <w:szCs w:val="24"/>
        </w:rPr>
        <w:t>.</w:t>
      </w:r>
    </w:p>
    <w:p w:rsidR="006B3B7F" w:rsidRDefault="006B3B7F" w:rsidP="00040F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546D6D6" wp14:editId="19ACA503">
            <wp:extent cx="5448300" cy="259783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54359" cy="2600727"/>
                    </a:xfrm>
                    <a:prstGeom prst="rect">
                      <a:avLst/>
                    </a:prstGeom>
                  </pic:spPr>
                </pic:pic>
              </a:graphicData>
            </a:graphic>
          </wp:inline>
        </w:drawing>
      </w:r>
    </w:p>
    <w:p w:rsidR="00ED22EE" w:rsidRPr="00040FD2" w:rsidRDefault="00ED22EE" w:rsidP="00040F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 13. Rolling volatility of price over 21 &amp; 63 day intervals</w:t>
      </w:r>
    </w:p>
    <w:p w:rsidR="00040FD2" w:rsidRPr="00040FD2" w:rsidRDefault="00040FD2" w:rsidP="00040F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Volatility clustering implies:</w:t>
      </w:r>
    </w:p>
    <w:p w:rsidR="00040FD2" w:rsidRPr="00040FD2" w:rsidRDefault="00040FD2" w:rsidP="00040FD2">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Risk is regime-dependent</w:t>
      </w:r>
    </w:p>
    <w:p w:rsidR="00040FD2" w:rsidRPr="00040FD2" w:rsidRDefault="00040FD2" w:rsidP="00040FD2">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Shocks have prolonged effects on market uncertainty</w:t>
      </w:r>
    </w:p>
    <w:p w:rsidR="00040FD2" w:rsidRPr="00040FD2" w:rsidRDefault="00040FD2" w:rsidP="00040FD2">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Periods of stress are not isolated events but sustained environments</w:t>
      </w:r>
    </w:p>
    <w:p w:rsidR="00040FD2" w:rsidRPr="00040FD2" w:rsidRDefault="00040FD2" w:rsidP="00040F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behaviour is a critical justification for volatility-focused modeling approaches and highlights why risk management, rather than price targeting, is a more appropriate analytical lens for this asset.</w:t>
      </w:r>
    </w:p>
    <w:p w:rsidR="00040FD2" w:rsidRPr="00040FD2" w:rsidRDefault="009B79D1" w:rsidP="00040F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040FD2" w:rsidRPr="00040FD2" w:rsidRDefault="00040FD2" w:rsidP="006F63CB">
      <w:pPr>
        <w:pStyle w:val="Heading3"/>
      </w:pPr>
      <w:bookmarkStart w:id="24" w:name="_Toc218670794"/>
      <w:r>
        <w:t>Memory Effects: Evidence of Volatility Regimes</w:t>
      </w:r>
      <w:bookmarkEnd w:id="24"/>
    </w:p>
    <w:p w:rsidR="00040FD2" w:rsidRPr="00040FD2" w:rsidRDefault="00040FD2" w:rsidP="00040F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Analysis of higher-order dependence structures reveals that volatility exhibits </w:t>
      </w:r>
      <w:r>
        <w:rPr>
          <w:rFonts w:ascii="Times New Roman" w:eastAsia="Times New Roman" w:hAnsi="Times New Roman" w:cs="Times New Roman"/>
          <w:b/>
          <w:bCs/>
          <w:sz w:val="24"/>
          <w:szCs w:val="24"/>
        </w:rPr>
        <w:t>long memory</w:t>
      </w:r>
      <w:r>
        <w:rPr>
          <w:rFonts w:ascii="Times New Roman" w:eastAsia="Times New Roman" w:hAnsi="Times New Roman" w:cs="Times New Roman"/>
          <w:sz w:val="24"/>
          <w:szCs w:val="24"/>
        </w:rPr>
        <w:t xml:space="preserve">, meaning that past periods of high or low volatility influence future volatility over extended horizons. This confirms the presence of </w:t>
      </w:r>
      <w:r>
        <w:rPr>
          <w:rFonts w:ascii="Times New Roman" w:eastAsia="Times New Roman" w:hAnsi="Times New Roman" w:cs="Times New Roman"/>
          <w:b/>
          <w:bCs/>
          <w:sz w:val="24"/>
          <w:szCs w:val="24"/>
        </w:rPr>
        <w:t>volatility regimes</w:t>
      </w:r>
      <w:r>
        <w:rPr>
          <w:rFonts w:ascii="Times New Roman" w:eastAsia="Times New Roman" w:hAnsi="Times New Roman" w:cs="Times New Roman"/>
          <w:sz w:val="24"/>
          <w:szCs w:val="24"/>
        </w:rPr>
        <w:t xml:space="preserve"> — distinct phases where the statistical properties of returns differ meaningfully.</w:t>
      </w:r>
    </w:p>
    <w:p w:rsidR="00040FD2" w:rsidRPr="00040FD2" w:rsidRDefault="00040FD2" w:rsidP="00040F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these regimes:</w:t>
      </w:r>
    </w:p>
    <w:p w:rsidR="00040FD2" w:rsidRPr="00040FD2" w:rsidRDefault="00040FD2" w:rsidP="00040FD2">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Return distributions change shape</w:t>
      </w:r>
    </w:p>
    <w:p w:rsidR="00040FD2" w:rsidRPr="00040FD2" w:rsidRDefault="00040FD2" w:rsidP="00040FD2">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Risk-adjusted performance varies</w:t>
      </w:r>
    </w:p>
    <w:p w:rsidR="00040FD2" w:rsidRPr="00040FD2" w:rsidRDefault="00040FD2" w:rsidP="00040FD2">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Strategy effectiveness depends on regime alignment</w:t>
      </w:r>
    </w:p>
    <w:p w:rsidR="00040FD2" w:rsidRPr="00040FD2" w:rsidRDefault="00040FD2" w:rsidP="00040F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Such regime behaviour cannot be captured adequately by static or linear models, reinforcing the need for regime-aware analysis.</w:t>
      </w:r>
    </w:p>
    <w:p w:rsidR="00040FD2" w:rsidRPr="00040FD2" w:rsidRDefault="009B79D1" w:rsidP="00040F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040FD2" w:rsidRPr="00040FD2" w:rsidRDefault="00040FD2" w:rsidP="006F63CB">
      <w:pPr>
        <w:pStyle w:val="Heading3"/>
      </w:pPr>
      <w:bookmarkStart w:id="25" w:name="_Toc218670795"/>
      <w:r>
        <w:t>4.7 Implications for Modeling and Strategy</w:t>
      </w:r>
      <w:bookmarkEnd w:id="25"/>
    </w:p>
    <w:p w:rsidR="00040FD2" w:rsidRPr="00040FD2" w:rsidRDefault="00040FD2" w:rsidP="00040F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market behaviour observed in Safaricom’s stock leads to three critical conclusions:</w:t>
      </w:r>
    </w:p>
    <w:p w:rsidR="00040FD2" w:rsidRPr="00040FD2" w:rsidRDefault="00040FD2" w:rsidP="00040FD2">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Price-level forecasting is structurally fragile</w:t>
      </w:r>
      <w:r>
        <w:rPr>
          <w:rFonts w:ascii="Times New Roman" w:eastAsia="Times New Roman" w:hAnsi="Times New Roman" w:cs="Times New Roman"/>
          <w:sz w:val="24"/>
          <w:szCs w:val="24"/>
        </w:rPr>
        <w:br/>
        <w:t>Predictive accuracy depends heavily on regime stability, which cannot be assumed.</w:t>
      </w:r>
    </w:p>
    <w:p w:rsidR="00040FD2" w:rsidRPr="00040FD2" w:rsidRDefault="00040FD2" w:rsidP="00040FD2">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Risk dynamics are more stable than price direction</w:t>
      </w:r>
      <w:r>
        <w:rPr>
          <w:rFonts w:ascii="Times New Roman" w:eastAsia="Times New Roman" w:hAnsi="Times New Roman" w:cs="Times New Roman"/>
          <w:sz w:val="24"/>
          <w:szCs w:val="24"/>
        </w:rPr>
        <w:br/>
        <w:t>Volatility exhibits persistence and structure, making it a more suitable modeling target.</w:t>
      </w:r>
    </w:p>
    <w:p w:rsidR="00040FD2" w:rsidRPr="00040FD2" w:rsidRDefault="00040FD2" w:rsidP="00040FD2">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Structural breaks matter more than short-term fluctuations</w:t>
      </w:r>
      <w:r>
        <w:rPr>
          <w:rFonts w:ascii="Times New Roman" w:eastAsia="Times New Roman" w:hAnsi="Times New Roman" w:cs="Times New Roman"/>
          <w:sz w:val="24"/>
          <w:szCs w:val="24"/>
        </w:rPr>
        <w:br/>
        <w:t>Major changes in behaviour occur at identifiable points rather than gradually.</w:t>
      </w:r>
    </w:p>
    <w:p w:rsidR="002864E5" w:rsidRDefault="002864E5" w:rsidP="002864E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Having established that Safaricom’s stock is governed by regime-dependent dynamics and persistent volatility behaviour, the analysis now turns to identifying </w:t>
      </w:r>
      <w:r>
        <w:rPr>
          <w:rFonts w:ascii="Times New Roman" w:eastAsia="Times New Roman" w:hAnsi="Times New Roman" w:cs="Times New Roman"/>
          <w:b/>
          <w:bCs/>
          <w:sz w:val="24"/>
          <w:szCs w:val="24"/>
        </w:rPr>
        <w:t>when and why these regimes change</w:t>
      </w:r>
      <w:r>
        <w:rPr>
          <w:rFonts w:ascii="Times New Roman" w:eastAsia="Times New Roman" w:hAnsi="Times New Roman" w:cs="Times New Roman"/>
          <w:sz w:val="24"/>
          <w:szCs w:val="24"/>
        </w:rPr>
        <w:t xml:space="preserve">. The following section focuses on structural break detection and the interpretation of market regimes in the context of macroeconomic conditions, policy shifts, and firm-specific events. I t also seeks to set up the framework for reframing investment decisions through a </w:t>
      </w:r>
      <w:r>
        <w:rPr>
          <w:rFonts w:ascii="Times New Roman" w:eastAsia="Times New Roman" w:hAnsi="Times New Roman" w:cs="Times New Roman"/>
          <w:b/>
          <w:bCs/>
          <w:sz w:val="24"/>
          <w:szCs w:val="24"/>
        </w:rPr>
        <w:t>risk versus opportunity</w:t>
      </w:r>
      <w:r>
        <w:rPr>
          <w:rFonts w:ascii="Times New Roman" w:eastAsia="Times New Roman" w:hAnsi="Times New Roman" w:cs="Times New Roman"/>
          <w:sz w:val="24"/>
          <w:szCs w:val="24"/>
        </w:rPr>
        <w:t xml:space="preserve"> lens rather than pure price expectations.</w:t>
      </w:r>
    </w:p>
    <w:p w:rsidR="002864E5" w:rsidRDefault="002864E5" w:rsidP="00040FD2">
      <w:pPr>
        <w:spacing w:before="100" w:beforeAutospacing="1" w:after="100" w:afterAutospacing="1" w:line="240" w:lineRule="auto"/>
        <w:rPr>
          <w:rFonts w:ascii="Times New Roman" w:eastAsia="Times New Roman" w:hAnsi="Times New Roman" w:cs="Times New Roman"/>
          <w:sz w:val="24"/>
          <w:szCs w:val="24"/>
        </w:rPr>
      </w:pPr>
    </w:p>
    <w:p w:rsidR="008D701E" w:rsidRPr="00040FD2" w:rsidRDefault="008D701E" w:rsidP="00040FD2">
      <w:pPr>
        <w:spacing w:before="100" w:beforeAutospacing="1" w:after="100" w:afterAutospacing="1" w:line="240" w:lineRule="auto"/>
        <w:rPr>
          <w:rFonts w:ascii="Times New Roman" w:eastAsia="Times New Roman" w:hAnsi="Times New Roman" w:cs="Times New Roman"/>
          <w:sz w:val="24"/>
          <w:szCs w:val="24"/>
        </w:rPr>
      </w:pPr>
    </w:p>
    <w:p w:rsidR="00692E9B" w:rsidRDefault="009B79D1" w:rsidP="00856D6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040FD2" w:rsidRPr="00040FD2" w:rsidRDefault="009B79D1" w:rsidP="00040FD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FC33A8" w:rsidRDefault="00FC33A8" w:rsidP="006F63CB">
      <w:pPr>
        <w:pStyle w:val="Heading1"/>
      </w:pPr>
    </w:p>
    <w:p w:rsidR="008D701E" w:rsidRDefault="008D701E" w:rsidP="006F63CB">
      <w:pPr>
        <w:pStyle w:val="Heading1"/>
      </w:pPr>
    </w:p>
    <w:p w:rsidR="006D6BC4" w:rsidRDefault="006D6BC4" w:rsidP="003C700F">
      <w:pPr>
        <w:pStyle w:val="Heading1"/>
      </w:pPr>
      <w:bookmarkStart w:id="26" w:name="_Toc218670796"/>
      <w:r>
        <w:t>STRUCTURAL BREAKS &amp; REGIMES</w:t>
      </w:r>
      <w:bookmarkEnd w:id="26"/>
      <w:r>
        <w:t xml:space="preserve"> </w:t>
      </w:r>
    </w:p>
    <w:p w:rsidR="008D701E" w:rsidRDefault="008D701E" w:rsidP="008D701E">
      <w:pPr>
        <w:pStyle w:val="Heading2"/>
      </w:pPr>
      <w:bookmarkStart w:id="27" w:name="_Toc218670797"/>
      <w:r>
        <w:t>Structural Break Analysis</w:t>
      </w:r>
      <w:bookmarkEnd w:id="27"/>
    </w:p>
    <w:p w:rsidR="008D701E" w:rsidRPr="008D701E" w:rsidRDefault="008D701E" w:rsidP="008D701E">
      <w:pPr>
        <w:pStyle w:val="Heading2"/>
      </w:pPr>
    </w:p>
    <w:p w:rsidR="00FC33A8" w:rsidRDefault="00FC33A8" w:rsidP="00ED22EE">
      <w:pPr>
        <w:pStyle w:val="Heading1"/>
        <w:ind w:hanging="450"/>
        <w:jc w:val="center"/>
      </w:pPr>
      <w:bookmarkStart w:id="28" w:name="_Toc218670798"/>
      <w:r>
        <w:rPr>
          <w:noProof/>
        </w:rPr>
        <w:drawing>
          <wp:inline distT="0" distB="0" distL="0" distR="0" wp14:anchorId="5569C908" wp14:editId="2FE24AC9">
            <wp:extent cx="6579313" cy="21621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593392" cy="2166802"/>
                    </a:xfrm>
                    <a:prstGeom prst="rect">
                      <a:avLst/>
                    </a:prstGeom>
                  </pic:spPr>
                </pic:pic>
              </a:graphicData>
            </a:graphic>
          </wp:inline>
        </w:drawing>
      </w:r>
      <w:bookmarkEnd w:id="28"/>
    </w:p>
    <w:p w:rsidR="00ED22EE" w:rsidRDefault="00ED22EE" w:rsidP="003C700F">
      <w:pPr>
        <w:pStyle w:val="Heading1"/>
        <w:rPr>
          <w:b w:val="0"/>
          <w:sz w:val="24"/>
          <w:szCs w:val="24"/>
        </w:rPr>
      </w:pPr>
      <w:bookmarkStart w:id="29" w:name="_Toc218670799"/>
      <w:r>
        <w:rPr>
          <w:b w:val="0"/>
          <w:sz w:val="24"/>
          <w:szCs w:val="24"/>
        </w:rPr>
        <w:t>Fig 15: Safaricom share price with candidate break points highlighted.</w:t>
      </w:r>
      <w:bookmarkEnd w:id="29"/>
    </w:p>
    <w:p w:rsidR="00ED22EE" w:rsidRPr="00ED22EE" w:rsidRDefault="00ED22EE" w:rsidP="00ED22EE">
      <w:pPr>
        <w:spacing w:after="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Candidate break dates (obtained from analysis):</w:t>
      </w:r>
    </w:p>
    <w:p w:rsidR="00ED22EE" w:rsidRPr="00ED22EE" w:rsidRDefault="00ED22EE" w:rsidP="00ED22EE">
      <w:pPr>
        <w:pStyle w:val="ListParagraph"/>
        <w:numPr>
          <w:ilvl w:val="0"/>
          <w:numId w:val="43"/>
        </w:numPr>
        <w:spacing w:after="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2021-02-23</w:t>
      </w:r>
    </w:p>
    <w:p w:rsidR="00ED22EE" w:rsidRPr="00ED22EE" w:rsidRDefault="00ED22EE" w:rsidP="00ED22EE">
      <w:pPr>
        <w:pStyle w:val="ListParagraph"/>
        <w:numPr>
          <w:ilvl w:val="0"/>
          <w:numId w:val="43"/>
        </w:numPr>
        <w:spacing w:after="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2021-05-03</w:t>
      </w:r>
    </w:p>
    <w:p w:rsidR="00ED22EE" w:rsidRPr="00ED22EE" w:rsidRDefault="00ED22EE" w:rsidP="00ED22EE">
      <w:pPr>
        <w:pStyle w:val="ListParagraph"/>
        <w:numPr>
          <w:ilvl w:val="0"/>
          <w:numId w:val="43"/>
        </w:numPr>
        <w:spacing w:after="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2021-07-08</w:t>
      </w:r>
    </w:p>
    <w:p w:rsidR="00ED22EE" w:rsidRPr="00ED22EE" w:rsidRDefault="00ED22EE" w:rsidP="00ED22EE">
      <w:pPr>
        <w:pStyle w:val="ListParagraph"/>
        <w:numPr>
          <w:ilvl w:val="0"/>
          <w:numId w:val="43"/>
        </w:numPr>
        <w:spacing w:after="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2021-08-17</w:t>
      </w:r>
    </w:p>
    <w:p w:rsidR="00ED22EE" w:rsidRPr="00ED22EE" w:rsidRDefault="00ED22EE" w:rsidP="00ED22EE">
      <w:pPr>
        <w:pStyle w:val="ListParagraph"/>
        <w:numPr>
          <w:ilvl w:val="0"/>
          <w:numId w:val="43"/>
        </w:numPr>
        <w:spacing w:after="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2021-11-24</w:t>
      </w:r>
    </w:p>
    <w:p w:rsidR="00ED22EE" w:rsidRPr="00ED22EE" w:rsidRDefault="00ED22EE" w:rsidP="00ED22EE">
      <w:pPr>
        <w:pStyle w:val="ListParagraph"/>
        <w:numPr>
          <w:ilvl w:val="0"/>
          <w:numId w:val="43"/>
        </w:numPr>
        <w:spacing w:after="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2022-01-27</w:t>
      </w:r>
    </w:p>
    <w:p w:rsidR="00ED22EE" w:rsidRPr="00ED22EE" w:rsidRDefault="00ED22EE" w:rsidP="00ED22EE">
      <w:pPr>
        <w:pStyle w:val="ListParagraph"/>
        <w:numPr>
          <w:ilvl w:val="0"/>
          <w:numId w:val="43"/>
        </w:numPr>
        <w:spacing w:after="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2022-06-27</w:t>
      </w:r>
    </w:p>
    <w:p w:rsidR="00ED22EE" w:rsidRPr="00ED22EE" w:rsidRDefault="00ED22EE" w:rsidP="00ED22EE">
      <w:pPr>
        <w:pStyle w:val="ListParagraph"/>
        <w:numPr>
          <w:ilvl w:val="0"/>
          <w:numId w:val="43"/>
        </w:numPr>
        <w:spacing w:after="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2022-09-06</w:t>
      </w:r>
    </w:p>
    <w:p w:rsidR="00ED22EE" w:rsidRPr="00ED22EE" w:rsidRDefault="00ED22EE" w:rsidP="00ED22EE">
      <w:pPr>
        <w:pStyle w:val="ListParagraph"/>
        <w:numPr>
          <w:ilvl w:val="0"/>
          <w:numId w:val="43"/>
        </w:numPr>
        <w:spacing w:after="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2022-12-08</w:t>
      </w:r>
    </w:p>
    <w:p w:rsidR="00ED22EE" w:rsidRPr="00ED22EE" w:rsidRDefault="00ED22EE" w:rsidP="00ED22EE">
      <w:pPr>
        <w:pStyle w:val="ListParagraph"/>
        <w:numPr>
          <w:ilvl w:val="0"/>
          <w:numId w:val="43"/>
        </w:numPr>
        <w:spacing w:after="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2023-01-18</w:t>
      </w:r>
    </w:p>
    <w:p w:rsidR="00ED22EE" w:rsidRPr="00ED22EE" w:rsidRDefault="00ED22EE" w:rsidP="00ED22EE">
      <w:pPr>
        <w:pStyle w:val="ListParagraph"/>
        <w:numPr>
          <w:ilvl w:val="0"/>
          <w:numId w:val="43"/>
        </w:numPr>
        <w:spacing w:after="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2023-03-17</w:t>
      </w:r>
    </w:p>
    <w:p w:rsidR="00ED22EE" w:rsidRPr="00ED22EE" w:rsidRDefault="00ED22EE" w:rsidP="00ED22EE">
      <w:pPr>
        <w:pStyle w:val="ListParagraph"/>
        <w:numPr>
          <w:ilvl w:val="0"/>
          <w:numId w:val="43"/>
        </w:numPr>
        <w:spacing w:after="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2023-05-15</w:t>
      </w:r>
    </w:p>
    <w:p w:rsidR="00ED22EE" w:rsidRPr="00ED22EE" w:rsidRDefault="00ED22EE" w:rsidP="00ED22EE">
      <w:pPr>
        <w:pStyle w:val="ListParagraph"/>
        <w:numPr>
          <w:ilvl w:val="0"/>
          <w:numId w:val="43"/>
        </w:numPr>
        <w:spacing w:after="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2023-10-09</w:t>
      </w:r>
    </w:p>
    <w:p w:rsidR="00ED22EE" w:rsidRPr="00ED22EE" w:rsidRDefault="00ED22EE" w:rsidP="00ED22EE">
      <w:pPr>
        <w:pStyle w:val="ListParagraph"/>
        <w:numPr>
          <w:ilvl w:val="0"/>
          <w:numId w:val="43"/>
        </w:numPr>
        <w:spacing w:after="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2024-03-26</w:t>
      </w:r>
    </w:p>
    <w:p w:rsidR="00ED22EE" w:rsidRPr="00ED22EE" w:rsidRDefault="00ED22EE" w:rsidP="00ED22EE">
      <w:pPr>
        <w:pStyle w:val="ListParagraph"/>
        <w:numPr>
          <w:ilvl w:val="0"/>
          <w:numId w:val="43"/>
        </w:numPr>
        <w:spacing w:after="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2024-05-22</w:t>
      </w:r>
    </w:p>
    <w:p w:rsidR="00ED22EE" w:rsidRPr="00ED22EE" w:rsidRDefault="00ED22EE" w:rsidP="00ED22EE">
      <w:pPr>
        <w:pStyle w:val="ListParagraph"/>
        <w:numPr>
          <w:ilvl w:val="0"/>
          <w:numId w:val="43"/>
        </w:numPr>
        <w:spacing w:after="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2024-08-19</w:t>
      </w:r>
    </w:p>
    <w:p w:rsidR="00ED22EE" w:rsidRPr="00ED22EE" w:rsidRDefault="00ED22EE" w:rsidP="00ED22EE">
      <w:pPr>
        <w:pStyle w:val="ListParagraph"/>
        <w:numPr>
          <w:ilvl w:val="0"/>
          <w:numId w:val="43"/>
        </w:numPr>
        <w:spacing w:after="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2025-01-20</w:t>
      </w:r>
    </w:p>
    <w:p w:rsidR="00ED22EE" w:rsidRPr="00ED22EE" w:rsidRDefault="00ED22EE" w:rsidP="00ED22EE">
      <w:pPr>
        <w:pStyle w:val="ListParagraph"/>
        <w:numPr>
          <w:ilvl w:val="0"/>
          <w:numId w:val="43"/>
        </w:numPr>
        <w:spacing w:after="0" w:line="240"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2025-02-21</w:t>
      </w:r>
    </w:p>
    <w:p w:rsidR="008D701E" w:rsidRPr="008D701E" w:rsidRDefault="00ED22EE" w:rsidP="008D701E">
      <w:pPr>
        <w:pStyle w:val="ListParagraph"/>
        <w:numPr>
          <w:ilvl w:val="0"/>
          <w:numId w:val="43"/>
        </w:numPr>
        <w:spacing w:after="0" w:line="240" w:lineRule="auto"/>
        <w:rPr>
          <w:rFonts w:ascii="Times New Roman" w:eastAsia="Times New Roman" w:hAnsi="Times New Roman" w:cs="Times New Roman"/>
          <w:color w:val="333333"/>
          <w:sz w:val="21"/>
          <w:szCs w:val="21"/>
        </w:rPr>
      </w:pPr>
      <w:r>
        <w:rPr>
          <w:rFonts w:ascii="Times New Roman" w:hAnsi="Times New Roman" w:cs="Times New Roman"/>
          <w:color w:val="333333"/>
          <w:sz w:val="21"/>
          <w:szCs w:val="21"/>
        </w:rPr>
        <w:t>2025-07-29</w:t>
      </w:r>
    </w:p>
    <w:p w:rsidR="008D701E" w:rsidRDefault="008D701E" w:rsidP="008D701E">
      <w:pPr>
        <w:spacing w:after="0" w:line="240" w:lineRule="auto"/>
        <w:rPr>
          <w:rFonts w:ascii="Times New Roman" w:eastAsia="Times New Roman" w:hAnsi="Times New Roman" w:cs="Times New Roman"/>
          <w:color w:val="333333"/>
          <w:sz w:val="21"/>
          <w:szCs w:val="21"/>
        </w:rPr>
      </w:pPr>
    </w:p>
    <w:p w:rsidR="008D701E" w:rsidRDefault="008D701E" w:rsidP="008D701E">
      <w:pPr>
        <w:spacing w:after="0" w:line="240" w:lineRule="auto"/>
        <w:rPr>
          <w:rFonts w:ascii="Times New Roman" w:eastAsia="Times New Roman" w:hAnsi="Times New Roman" w:cs="Times New Roman"/>
          <w:color w:val="333333"/>
          <w:sz w:val="21"/>
          <w:szCs w:val="21"/>
        </w:rPr>
      </w:pPr>
    </w:p>
    <w:p w:rsidR="008D701E" w:rsidRPr="008D701E" w:rsidRDefault="008D701E" w:rsidP="008D701E">
      <w:pPr>
        <w:spacing w:after="0" w:line="240" w:lineRule="auto"/>
        <w:rPr>
          <w:rFonts w:ascii="Times New Roman" w:eastAsia="Times New Roman" w:hAnsi="Times New Roman" w:cs="Times New Roman"/>
          <w:color w:val="333333"/>
          <w:sz w:val="21"/>
          <w:szCs w:val="21"/>
        </w:rPr>
      </w:pPr>
    </w:p>
    <w:p w:rsidR="008D701E" w:rsidRPr="008D701E" w:rsidRDefault="008D701E" w:rsidP="008D701E">
      <w:pPr>
        <w:pStyle w:val="ListParagraph"/>
        <w:spacing w:after="0" w:line="240" w:lineRule="auto"/>
        <w:rPr>
          <w:rFonts w:ascii="Times New Roman" w:eastAsia="Times New Roman" w:hAnsi="Times New Roman" w:cs="Times New Roman"/>
          <w:color w:val="333333"/>
          <w:sz w:val="21"/>
          <w:szCs w:val="21"/>
        </w:rPr>
      </w:pPr>
    </w:p>
    <w:tbl>
      <w:tblPr>
        <w:tblStyle w:val="TableGrid"/>
        <w:tblW w:w="9767" w:type="dxa"/>
        <w:tblInd w:w="-185" w:type="dxa"/>
        <w:tblLayout w:type="fixed"/>
        <w:tblLook w:val="04A0" w:firstRow="1" w:lastRow="0" w:firstColumn="1" w:lastColumn="0" w:noHBand="0" w:noVBand="1"/>
      </w:tblPr>
      <w:tblGrid>
        <w:gridCol w:w="1710"/>
        <w:gridCol w:w="1456"/>
        <w:gridCol w:w="2682"/>
        <w:gridCol w:w="2636"/>
        <w:gridCol w:w="1283"/>
      </w:tblGrid>
      <w:tr w:rsidR="00040FD2" w:rsidRPr="00040FD2" w:rsidTr="00040FD2">
        <w:tc>
          <w:tcPr>
            <w:tcW w:w="1710" w:type="dxa"/>
            <w:hideMark/>
          </w:tcPr>
          <w:p w:rsidR="00040FD2" w:rsidRPr="00040FD2" w:rsidRDefault="00040FD2" w:rsidP="00040FD2">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Episode</w:t>
            </w:r>
          </w:p>
        </w:tc>
        <w:tc>
          <w:tcPr>
            <w:tcW w:w="1456" w:type="dxa"/>
            <w:hideMark/>
          </w:tcPr>
          <w:p w:rsidR="00040FD2" w:rsidRPr="00040FD2" w:rsidRDefault="00040FD2" w:rsidP="00040FD2">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Date Cluster</w:t>
            </w:r>
          </w:p>
        </w:tc>
        <w:tc>
          <w:tcPr>
            <w:tcW w:w="2682" w:type="dxa"/>
            <w:hideMark/>
          </w:tcPr>
          <w:p w:rsidR="00040FD2" w:rsidRPr="00040FD2" w:rsidRDefault="00040FD2" w:rsidP="00040FD2">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Associated Macro/Micro Context</w:t>
            </w:r>
          </w:p>
        </w:tc>
        <w:tc>
          <w:tcPr>
            <w:tcW w:w="2636" w:type="dxa"/>
            <w:hideMark/>
          </w:tcPr>
          <w:p w:rsidR="00040FD2" w:rsidRPr="00040FD2" w:rsidRDefault="00040FD2" w:rsidP="00040FD2">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Market Interpretation</w:t>
            </w:r>
          </w:p>
        </w:tc>
        <w:tc>
          <w:tcPr>
            <w:tcW w:w="1283" w:type="dxa"/>
            <w:hideMark/>
          </w:tcPr>
          <w:p w:rsidR="00040FD2" w:rsidRPr="00040FD2" w:rsidRDefault="00040FD2" w:rsidP="00040FD2">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Structural Break?</w:t>
            </w:r>
          </w:p>
        </w:tc>
      </w:tr>
      <w:tr w:rsidR="00040FD2" w:rsidRPr="00040FD2" w:rsidTr="00040FD2">
        <w:tc>
          <w:tcPr>
            <w:tcW w:w="1710" w:type="dxa"/>
            <w:hideMark/>
          </w:tcPr>
          <w:p w:rsidR="00040FD2" w:rsidRPr="00040FD2" w:rsidRDefault="00040FD2" w:rsidP="00040FD2">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Post-COVID Recovery &amp; Reopening</w:t>
            </w:r>
          </w:p>
        </w:tc>
        <w:tc>
          <w:tcPr>
            <w:tcW w:w="1456" w:type="dxa"/>
            <w:hideMark/>
          </w:tcPr>
          <w:p w:rsidR="00040FD2" w:rsidRPr="00040FD2" w:rsidRDefault="00040FD2" w:rsidP="00040FD2">
            <w:pPr>
              <w:rPr>
                <w:rFonts w:ascii="Times New Roman" w:eastAsia="Times New Roman" w:hAnsi="Times New Roman" w:cs="Times New Roman"/>
                <w:sz w:val="24"/>
                <w:szCs w:val="24"/>
              </w:rPr>
            </w:pPr>
            <w:r>
              <w:rPr>
                <w:rFonts w:ascii="Times New Roman" w:eastAsia="Times New Roman" w:hAnsi="Times New Roman" w:cs="Times New Roman"/>
                <w:sz w:val="24"/>
                <w:szCs w:val="24"/>
              </w:rPr>
              <w:t>2021-02-23, 2021-05-03, 2021-07-08, 2021-08-17</w:t>
            </w:r>
          </w:p>
        </w:tc>
        <w:tc>
          <w:tcPr>
            <w:tcW w:w="2682" w:type="dxa"/>
            <w:hideMark/>
          </w:tcPr>
          <w:p w:rsidR="00040FD2" w:rsidRPr="00040FD2" w:rsidRDefault="00040FD2" w:rsidP="00040FD2">
            <w:pPr>
              <w:rPr>
                <w:rFonts w:ascii="Times New Roman" w:eastAsia="Times New Roman" w:hAnsi="Times New Roman" w:cs="Times New Roman"/>
                <w:sz w:val="24"/>
                <w:szCs w:val="24"/>
              </w:rPr>
            </w:pPr>
            <w:r>
              <w:rPr>
                <w:rFonts w:ascii="Times New Roman" w:eastAsia="Times New Roman" w:hAnsi="Times New Roman" w:cs="Times New Roman"/>
                <w:sz w:val="24"/>
                <w:szCs w:val="24"/>
              </w:rPr>
              <w:t>Kenya emerging from pandemic contraction; global EM optimism; vaccinations; improved GDP outlook.</w:t>
            </w:r>
          </w:p>
        </w:tc>
        <w:tc>
          <w:tcPr>
            <w:tcW w:w="2636" w:type="dxa"/>
            <w:hideMark/>
          </w:tcPr>
          <w:p w:rsidR="00040FD2" w:rsidRPr="00040FD2" w:rsidRDefault="00040FD2" w:rsidP="00040FD2">
            <w:pPr>
              <w:rPr>
                <w:rFonts w:ascii="Times New Roman" w:eastAsia="Times New Roman" w:hAnsi="Times New Roman" w:cs="Times New Roman"/>
                <w:sz w:val="24"/>
                <w:szCs w:val="24"/>
              </w:rPr>
            </w:pPr>
            <w:r>
              <w:rPr>
                <w:rFonts w:ascii="Times New Roman" w:eastAsia="Times New Roman" w:hAnsi="Times New Roman" w:cs="Times New Roman"/>
                <w:sz w:val="24"/>
                <w:szCs w:val="24"/>
              </w:rPr>
              <w:t>Prices regained positive trend; early recovery optimism; breaks reflect shift from crisis to reopening regime.</w:t>
            </w:r>
          </w:p>
        </w:tc>
        <w:tc>
          <w:tcPr>
            <w:tcW w:w="1283" w:type="dxa"/>
            <w:hideMark/>
          </w:tcPr>
          <w:p w:rsidR="00040FD2" w:rsidRPr="00040FD2" w:rsidRDefault="00040FD2" w:rsidP="00040FD2">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Yes</w:t>
            </w:r>
          </w:p>
        </w:tc>
      </w:tr>
      <w:tr w:rsidR="00040FD2" w:rsidRPr="00040FD2" w:rsidTr="00040FD2">
        <w:tc>
          <w:tcPr>
            <w:tcW w:w="1710" w:type="dxa"/>
            <w:hideMark/>
          </w:tcPr>
          <w:p w:rsidR="00040FD2" w:rsidRPr="00040FD2" w:rsidRDefault="00040FD2" w:rsidP="00040FD2">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Transition to Uncertainty / Initial Risk Repricing</w:t>
            </w:r>
          </w:p>
        </w:tc>
        <w:tc>
          <w:tcPr>
            <w:tcW w:w="1456" w:type="dxa"/>
            <w:hideMark/>
          </w:tcPr>
          <w:p w:rsidR="00040FD2" w:rsidRPr="00040FD2" w:rsidRDefault="00040FD2" w:rsidP="00040FD2">
            <w:pPr>
              <w:rPr>
                <w:rFonts w:ascii="Times New Roman" w:eastAsia="Times New Roman" w:hAnsi="Times New Roman" w:cs="Times New Roman"/>
                <w:sz w:val="24"/>
                <w:szCs w:val="24"/>
              </w:rPr>
            </w:pPr>
            <w:r>
              <w:rPr>
                <w:rFonts w:ascii="Times New Roman" w:eastAsia="Times New Roman" w:hAnsi="Times New Roman" w:cs="Times New Roman"/>
                <w:sz w:val="24"/>
                <w:szCs w:val="24"/>
              </w:rPr>
              <w:t>2021-11-24, 2022-01-27</w:t>
            </w:r>
          </w:p>
        </w:tc>
        <w:tc>
          <w:tcPr>
            <w:tcW w:w="2682" w:type="dxa"/>
            <w:hideMark/>
          </w:tcPr>
          <w:p w:rsidR="00040FD2" w:rsidRPr="00040FD2" w:rsidRDefault="00040FD2" w:rsidP="00040FD2">
            <w:pPr>
              <w:rPr>
                <w:rFonts w:ascii="Times New Roman" w:eastAsia="Times New Roman" w:hAnsi="Times New Roman" w:cs="Times New Roman"/>
                <w:sz w:val="24"/>
                <w:szCs w:val="24"/>
              </w:rPr>
            </w:pPr>
            <w:r>
              <w:rPr>
                <w:rFonts w:ascii="Times New Roman" w:eastAsia="Times New Roman" w:hAnsi="Times New Roman" w:cs="Times New Roman"/>
                <w:sz w:val="24"/>
                <w:szCs w:val="24"/>
              </w:rPr>
              <w:t>Rising global inflation concerns; monetary tightening discussions; currency depreciation pressures. Kenya maintaining strict fiscal/monetary stance. (</w:t>
            </w:r>
            <w:hyperlink r:id="rId21" w:tooltip="Kenya: A brief respite" w:history="1">
              <w:r>
                <w:rPr>
                  <w:rFonts w:ascii="Times New Roman" w:eastAsia="Times New Roman" w:hAnsi="Times New Roman" w:cs="Times New Roman"/>
                  <w:color w:val="0000FF"/>
                  <w:sz w:val="24"/>
                  <w:szCs w:val="24"/>
                  <w:u w:val="single"/>
                </w:rPr>
                <w:t>economic-research.bnpparibas.com</w:t>
              </w:r>
            </w:hyperlink>
            <w:r>
              <w:rPr>
                <w:rFonts w:ascii="Times New Roman" w:eastAsia="Times New Roman" w:hAnsi="Times New Roman" w:cs="Times New Roman"/>
                <w:sz w:val="24"/>
                <w:szCs w:val="24"/>
              </w:rPr>
              <w:t>)</w:t>
            </w:r>
          </w:p>
        </w:tc>
        <w:tc>
          <w:tcPr>
            <w:tcW w:w="2636" w:type="dxa"/>
            <w:hideMark/>
          </w:tcPr>
          <w:p w:rsidR="00040FD2" w:rsidRPr="00040FD2" w:rsidRDefault="00040FD2" w:rsidP="00040FD2">
            <w:pPr>
              <w:rPr>
                <w:rFonts w:ascii="Times New Roman" w:eastAsia="Times New Roman" w:hAnsi="Times New Roman" w:cs="Times New Roman"/>
                <w:sz w:val="24"/>
                <w:szCs w:val="24"/>
              </w:rPr>
            </w:pPr>
            <w:r>
              <w:rPr>
                <w:rFonts w:ascii="Times New Roman" w:eastAsia="Times New Roman" w:hAnsi="Times New Roman" w:cs="Times New Roman"/>
                <w:sz w:val="24"/>
                <w:szCs w:val="24"/>
              </w:rPr>
              <w:t>Markets began reassessing growth vs. inflation; trend flattening; volatility rising.</w:t>
            </w:r>
          </w:p>
        </w:tc>
        <w:tc>
          <w:tcPr>
            <w:tcW w:w="1283" w:type="dxa"/>
            <w:hideMark/>
          </w:tcPr>
          <w:p w:rsidR="00040FD2" w:rsidRPr="00040FD2" w:rsidRDefault="00040FD2" w:rsidP="00040FD2">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Yes</w:t>
            </w:r>
          </w:p>
        </w:tc>
      </w:tr>
      <w:tr w:rsidR="00040FD2" w:rsidRPr="00040FD2" w:rsidTr="00040FD2">
        <w:tc>
          <w:tcPr>
            <w:tcW w:w="1710" w:type="dxa"/>
            <w:hideMark/>
          </w:tcPr>
          <w:p w:rsidR="00040FD2" w:rsidRPr="00040FD2" w:rsidRDefault="00040FD2" w:rsidP="00040FD2">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Inflation &amp; Monetary Tightening Regime</w:t>
            </w:r>
          </w:p>
        </w:tc>
        <w:tc>
          <w:tcPr>
            <w:tcW w:w="1456" w:type="dxa"/>
            <w:hideMark/>
          </w:tcPr>
          <w:p w:rsidR="00040FD2" w:rsidRPr="00040FD2" w:rsidRDefault="00040FD2" w:rsidP="00040FD2">
            <w:pPr>
              <w:rPr>
                <w:rFonts w:ascii="Times New Roman" w:eastAsia="Times New Roman" w:hAnsi="Times New Roman" w:cs="Times New Roman"/>
                <w:sz w:val="24"/>
                <w:szCs w:val="24"/>
              </w:rPr>
            </w:pPr>
            <w:r>
              <w:rPr>
                <w:rFonts w:ascii="Times New Roman" w:eastAsia="Times New Roman" w:hAnsi="Times New Roman" w:cs="Times New Roman"/>
                <w:sz w:val="24"/>
                <w:szCs w:val="24"/>
              </w:rPr>
              <w:t>2022-06-27, 2022-09-06, 2022-12-08</w:t>
            </w:r>
          </w:p>
        </w:tc>
        <w:tc>
          <w:tcPr>
            <w:tcW w:w="2682" w:type="dxa"/>
            <w:hideMark/>
          </w:tcPr>
          <w:p w:rsidR="00040FD2" w:rsidRPr="00040FD2" w:rsidRDefault="00040FD2" w:rsidP="00040FD2">
            <w:pPr>
              <w:rPr>
                <w:rFonts w:ascii="Times New Roman" w:eastAsia="Times New Roman" w:hAnsi="Times New Roman" w:cs="Times New Roman"/>
                <w:sz w:val="24"/>
                <w:szCs w:val="24"/>
              </w:rPr>
            </w:pPr>
            <w:r>
              <w:rPr>
                <w:rFonts w:ascii="Times New Roman" w:eastAsia="Times New Roman" w:hAnsi="Times New Roman" w:cs="Times New Roman"/>
                <w:sz w:val="24"/>
                <w:szCs w:val="24"/>
              </w:rPr>
              <w:t>Kenya hit by global inflation impact; CBK raised policy rates significantly to anchor inflation and defend exchange rates. (</w:t>
            </w:r>
            <w:hyperlink r:id="rId22" w:tooltip="Kenya: A brief respite" w:history="1">
              <w:r>
                <w:rPr>
                  <w:rFonts w:ascii="Times New Roman" w:eastAsia="Times New Roman" w:hAnsi="Times New Roman" w:cs="Times New Roman"/>
                  <w:color w:val="0000FF"/>
                  <w:sz w:val="24"/>
                  <w:szCs w:val="24"/>
                  <w:u w:val="single"/>
                </w:rPr>
                <w:t>economic-research.bnpparibas.com</w:t>
              </w:r>
            </w:hyperlink>
            <w:r>
              <w:rPr>
                <w:rFonts w:ascii="Times New Roman" w:eastAsia="Times New Roman" w:hAnsi="Times New Roman" w:cs="Times New Roman"/>
                <w:sz w:val="24"/>
                <w:szCs w:val="24"/>
              </w:rPr>
              <w:t>)</w:t>
            </w:r>
          </w:p>
        </w:tc>
        <w:tc>
          <w:tcPr>
            <w:tcW w:w="2636" w:type="dxa"/>
            <w:hideMark/>
          </w:tcPr>
          <w:p w:rsidR="00040FD2" w:rsidRPr="00040FD2" w:rsidRDefault="00040FD2" w:rsidP="00040FD2">
            <w:pPr>
              <w:rPr>
                <w:rFonts w:ascii="Times New Roman" w:eastAsia="Times New Roman" w:hAnsi="Times New Roman" w:cs="Times New Roman"/>
                <w:sz w:val="24"/>
                <w:szCs w:val="24"/>
              </w:rPr>
            </w:pPr>
            <w:r>
              <w:rPr>
                <w:rFonts w:ascii="Times New Roman" w:eastAsia="Times New Roman" w:hAnsi="Times New Roman" w:cs="Times New Roman"/>
                <w:sz w:val="24"/>
                <w:szCs w:val="24"/>
              </w:rPr>
              <w:t>Sustained risk repricing amid tightening; volatility regimes emerge; structural shift from growth to risk focus.</w:t>
            </w:r>
          </w:p>
        </w:tc>
        <w:tc>
          <w:tcPr>
            <w:tcW w:w="1283" w:type="dxa"/>
            <w:hideMark/>
          </w:tcPr>
          <w:p w:rsidR="00040FD2" w:rsidRPr="00040FD2" w:rsidRDefault="00040FD2" w:rsidP="00040FD2">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Yes</w:t>
            </w:r>
          </w:p>
        </w:tc>
      </w:tr>
      <w:tr w:rsidR="00040FD2" w:rsidRPr="00040FD2" w:rsidTr="00040FD2">
        <w:tc>
          <w:tcPr>
            <w:tcW w:w="1710" w:type="dxa"/>
            <w:hideMark/>
          </w:tcPr>
          <w:p w:rsidR="00040FD2" w:rsidRPr="00040FD2" w:rsidRDefault="00040FD2" w:rsidP="00040FD2">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Early 2023 Uncertainty / Mixed Signals</w:t>
            </w:r>
          </w:p>
        </w:tc>
        <w:tc>
          <w:tcPr>
            <w:tcW w:w="1456" w:type="dxa"/>
            <w:hideMark/>
          </w:tcPr>
          <w:p w:rsidR="00040FD2" w:rsidRPr="00040FD2" w:rsidRDefault="00040FD2" w:rsidP="00040FD2">
            <w:pPr>
              <w:rPr>
                <w:rFonts w:ascii="Times New Roman" w:eastAsia="Times New Roman" w:hAnsi="Times New Roman" w:cs="Times New Roman"/>
                <w:sz w:val="24"/>
                <w:szCs w:val="24"/>
              </w:rPr>
            </w:pPr>
            <w:r>
              <w:rPr>
                <w:rFonts w:ascii="Times New Roman" w:eastAsia="Times New Roman" w:hAnsi="Times New Roman" w:cs="Times New Roman"/>
                <w:sz w:val="24"/>
                <w:szCs w:val="24"/>
              </w:rPr>
              <w:t>2023-01-18, 2023-03-17, 2023-05-15</w:t>
            </w:r>
          </w:p>
        </w:tc>
        <w:tc>
          <w:tcPr>
            <w:tcW w:w="2682" w:type="dxa"/>
            <w:hideMark/>
          </w:tcPr>
          <w:p w:rsidR="00040FD2" w:rsidRPr="00040FD2" w:rsidRDefault="00040FD2" w:rsidP="00040FD2">
            <w:pPr>
              <w:rPr>
                <w:rFonts w:ascii="Times New Roman" w:eastAsia="Times New Roman" w:hAnsi="Times New Roman" w:cs="Times New Roman"/>
                <w:sz w:val="24"/>
                <w:szCs w:val="24"/>
              </w:rPr>
            </w:pPr>
            <w:r>
              <w:rPr>
                <w:rFonts w:ascii="Times New Roman" w:eastAsia="Times New Roman" w:hAnsi="Times New Roman" w:cs="Times New Roman"/>
                <w:sz w:val="24"/>
                <w:szCs w:val="24"/>
              </w:rPr>
              <w:t>Kenya economy still moderating; fiscal pressures rising; macro figures showing mixed growth and inflation dynamics. (</w:t>
            </w:r>
            <w:hyperlink r:id="rId23" w:tooltip="Our Kenyan business – Safaricom" w:history="1">
              <w:r>
                <w:rPr>
                  <w:rFonts w:ascii="Times New Roman" w:eastAsia="Times New Roman" w:hAnsi="Times New Roman" w:cs="Times New Roman"/>
                  <w:color w:val="0000FF"/>
                  <w:sz w:val="24"/>
                  <w:szCs w:val="24"/>
                  <w:u w:val="single"/>
                </w:rPr>
                <w:t>Safaricom</w:t>
              </w:r>
            </w:hyperlink>
            <w:r>
              <w:rPr>
                <w:rFonts w:ascii="Times New Roman" w:eastAsia="Times New Roman" w:hAnsi="Times New Roman" w:cs="Times New Roman"/>
                <w:sz w:val="24"/>
                <w:szCs w:val="24"/>
              </w:rPr>
              <w:t>)</w:t>
            </w:r>
          </w:p>
        </w:tc>
        <w:tc>
          <w:tcPr>
            <w:tcW w:w="2636" w:type="dxa"/>
            <w:hideMark/>
          </w:tcPr>
          <w:p w:rsidR="00040FD2" w:rsidRPr="00040FD2" w:rsidRDefault="00040FD2" w:rsidP="00040FD2">
            <w:pPr>
              <w:rPr>
                <w:rFonts w:ascii="Times New Roman" w:eastAsia="Times New Roman" w:hAnsi="Times New Roman" w:cs="Times New Roman"/>
                <w:sz w:val="24"/>
                <w:szCs w:val="24"/>
              </w:rPr>
            </w:pPr>
            <w:r>
              <w:rPr>
                <w:rFonts w:ascii="Times New Roman" w:eastAsia="Times New Roman" w:hAnsi="Times New Roman" w:cs="Times New Roman"/>
                <w:sz w:val="24"/>
                <w:szCs w:val="24"/>
              </w:rPr>
              <w:t>Market adjusting to slower growth, inflation moderating but uncertainty elevated; regime still risk-oriented.</w:t>
            </w:r>
          </w:p>
        </w:tc>
        <w:tc>
          <w:tcPr>
            <w:tcW w:w="1283" w:type="dxa"/>
            <w:hideMark/>
          </w:tcPr>
          <w:p w:rsidR="00040FD2" w:rsidRPr="00040FD2" w:rsidRDefault="00040FD2" w:rsidP="00040FD2">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Likely yes</w:t>
            </w:r>
          </w:p>
        </w:tc>
      </w:tr>
      <w:tr w:rsidR="00040FD2" w:rsidRPr="00040FD2" w:rsidTr="00040FD2">
        <w:tc>
          <w:tcPr>
            <w:tcW w:w="1710" w:type="dxa"/>
            <w:hideMark/>
          </w:tcPr>
          <w:p w:rsidR="00040FD2" w:rsidRPr="00040FD2" w:rsidRDefault="00040FD2" w:rsidP="00040FD2">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Late 2023 – Pre-Fiscal Tension / Consolidation</w:t>
            </w:r>
          </w:p>
        </w:tc>
        <w:tc>
          <w:tcPr>
            <w:tcW w:w="1456" w:type="dxa"/>
            <w:hideMark/>
          </w:tcPr>
          <w:p w:rsidR="00040FD2" w:rsidRPr="00040FD2" w:rsidRDefault="00040FD2" w:rsidP="00040FD2">
            <w:pPr>
              <w:rPr>
                <w:rFonts w:ascii="Times New Roman" w:eastAsia="Times New Roman" w:hAnsi="Times New Roman" w:cs="Times New Roman"/>
                <w:sz w:val="24"/>
                <w:szCs w:val="24"/>
              </w:rPr>
            </w:pPr>
            <w:r>
              <w:rPr>
                <w:rFonts w:ascii="Times New Roman" w:eastAsia="Times New Roman" w:hAnsi="Times New Roman" w:cs="Times New Roman"/>
                <w:sz w:val="24"/>
                <w:szCs w:val="24"/>
              </w:rPr>
              <w:t>2023-10-09</w:t>
            </w:r>
          </w:p>
        </w:tc>
        <w:tc>
          <w:tcPr>
            <w:tcW w:w="2682" w:type="dxa"/>
            <w:hideMark/>
          </w:tcPr>
          <w:p w:rsidR="00040FD2" w:rsidRPr="00040FD2" w:rsidRDefault="00040FD2" w:rsidP="00040FD2">
            <w:pPr>
              <w:rPr>
                <w:rFonts w:ascii="Times New Roman" w:eastAsia="Times New Roman" w:hAnsi="Times New Roman" w:cs="Times New Roman"/>
                <w:sz w:val="24"/>
                <w:szCs w:val="24"/>
              </w:rPr>
            </w:pPr>
            <w:r>
              <w:rPr>
                <w:rFonts w:ascii="Times New Roman" w:eastAsia="Times New Roman" w:hAnsi="Times New Roman" w:cs="Times New Roman"/>
                <w:sz w:val="24"/>
                <w:szCs w:val="24"/>
              </w:rPr>
              <w:t>Inflation moderation and mixed economic data; markets possibly pricing near-term macro expectations. (</w:t>
            </w:r>
            <w:hyperlink r:id="rId24" w:tooltip="Kenya Economic Outlook" w:history="1">
              <w:r>
                <w:rPr>
                  <w:rFonts w:ascii="Times New Roman" w:eastAsia="Times New Roman" w:hAnsi="Times New Roman" w:cs="Times New Roman"/>
                  <w:color w:val="0000FF"/>
                  <w:sz w:val="24"/>
                  <w:szCs w:val="24"/>
                  <w:u w:val="single"/>
                </w:rPr>
                <w:t>African Development Bank</w:t>
              </w:r>
            </w:hyperlink>
            <w:r>
              <w:rPr>
                <w:rFonts w:ascii="Times New Roman" w:eastAsia="Times New Roman" w:hAnsi="Times New Roman" w:cs="Times New Roman"/>
                <w:sz w:val="24"/>
                <w:szCs w:val="24"/>
              </w:rPr>
              <w:t>)</w:t>
            </w:r>
          </w:p>
        </w:tc>
        <w:tc>
          <w:tcPr>
            <w:tcW w:w="2636" w:type="dxa"/>
            <w:hideMark/>
          </w:tcPr>
          <w:p w:rsidR="00040FD2" w:rsidRPr="00040FD2" w:rsidRDefault="00040FD2" w:rsidP="00040FD2">
            <w:pPr>
              <w:rPr>
                <w:rFonts w:ascii="Times New Roman" w:eastAsia="Times New Roman" w:hAnsi="Times New Roman" w:cs="Times New Roman"/>
                <w:sz w:val="24"/>
                <w:szCs w:val="24"/>
              </w:rPr>
            </w:pPr>
            <w:r>
              <w:rPr>
                <w:rFonts w:ascii="Times New Roman" w:eastAsia="Times New Roman" w:hAnsi="Times New Roman" w:cs="Times New Roman"/>
                <w:sz w:val="24"/>
                <w:szCs w:val="24"/>
              </w:rPr>
              <w:t>Transition between risk and fiscal policy regime; break may show consolidation rather than full regime change.</w:t>
            </w:r>
          </w:p>
        </w:tc>
        <w:tc>
          <w:tcPr>
            <w:tcW w:w="1283" w:type="dxa"/>
            <w:hideMark/>
          </w:tcPr>
          <w:p w:rsidR="00040FD2" w:rsidRPr="00040FD2" w:rsidRDefault="00040FD2" w:rsidP="00040FD2">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Possible</w:t>
            </w:r>
          </w:p>
        </w:tc>
      </w:tr>
      <w:tr w:rsidR="00040FD2" w:rsidRPr="00040FD2" w:rsidTr="00040FD2">
        <w:tc>
          <w:tcPr>
            <w:tcW w:w="1710" w:type="dxa"/>
            <w:hideMark/>
          </w:tcPr>
          <w:p w:rsidR="00040FD2" w:rsidRPr="00040FD2" w:rsidRDefault="00040FD2" w:rsidP="00040FD2">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Fiscal Risk &amp; Social Unrest Build-up</w:t>
            </w:r>
          </w:p>
        </w:tc>
        <w:tc>
          <w:tcPr>
            <w:tcW w:w="1456" w:type="dxa"/>
            <w:hideMark/>
          </w:tcPr>
          <w:p w:rsidR="00040FD2" w:rsidRPr="00040FD2" w:rsidRDefault="00040FD2" w:rsidP="00040FD2">
            <w:pPr>
              <w:rPr>
                <w:rFonts w:ascii="Times New Roman" w:eastAsia="Times New Roman" w:hAnsi="Times New Roman" w:cs="Times New Roman"/>
                <w:sz w:val="24"/>
                <w:szCs w:val="24"/>
              </w:rPr>
            </w:pPr>
            <w:r>
              <w:rPr>
                <w:rFonts w:ascii="Times New Roman" w:eastAsia="Times New Roman" w:hAnsi="Times New Roman" w:cs="Times New Roman"/>
                <w:sz w:val="24"/>
                <w:szCs w:val="24"/>
              </w:rPr>
              <w:t>2024-03-26, 2024-05-22, 2024-08-19</w:t>
            </w:r>
          </w:p>
        </w:tc>
        <w:tc>
          <w:tcPr>
            <w:tcW w:w="2682" w:type="dxa"/>
            <w:hideMark/>
          </w:tcPr>
          <w:p w:rsidR="00040FD2" w:rsidRPr="00040FD2" w:rsidRDefault="00040FD2" w:rsidP="00040FD2">
            <w:pPr>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and debate around Kenya Finance Bill 2024 sparked political and investor uncertainty, leading to nationwide protests and eventual bill veto. (</w:t>
            </w:r>
            <w:hyperlink r:id="rId25" w:tooltip="Kenya Finance Bill protests" w:history="1">
              <w:r>
                <w:rPr>
                  <w:rFonts w:ascii="Times New Roman" w:eastAsia="Times New Roman" w:hAnsi="Times New Roman" w:cs="Times New Roman"/>
                  <w:color w:val="0000FF"/>
                  <w:sz w:val="24"/>
                  <w:szCs w:val="24"/>
                  <w:u w:val="single"/>
                </w:rPr>
                <w:t>Wikipedia</w:t>
              </w:r>
            </w:hyperlink>
            <w:r>
              <w:rPr>
                <w:rFonts w:ascii="Times New Roman" w:eastAsia="Times New Roman" w:hAnsi="Times New Roman" w:cs="Times New Roman"/>
                <w:sz w:val="24"/>
                <w:szCs w:val="24"/>
              </w:rPr>
              <w:t>)</w:t>
            </w:r>
          </w:p>
        </w:tc>
        <w:tc>
          <w:tcPr>
            <w:tcW w:w="2636" w:type="dxa"/>
            <w:hideMark/>
          </w:tcPr>
          <w:p w:rsidR="00040FD2" w:rsidRPr="00040FD2" w:rsidRDefault="00040FD2" w:rsidP="00040FD2">
            <w:pPr>
              <w:rPr>
                <w:rFonts w:ascii="Times New Roman" w:eastAsia="Times New Roman" w:hAnsi="Times New Roman" w:cs="Times New Roman"/>
                <w:sz w:val="24"/>
                <w:szCs w:val="24"/>
              </w:rPr>
            </w:pPr>
            <w:r>
              <w:rPr>
                <w:rFonts w:ascii="Times New Roman" w:eastAsia="Times New Roman" w:hAnsi="Times New Roman" w:cs="Times New Roman"/>
                <w:sz w:val="24"/>
                <w:szCs w:val="24"/>
              </w:rPr>
              <w:t>Heightened uncertainty, capital repricing, regime shift to “policy risk dominated” state; volatility elevated.</w:t>
            </w:r>
          </w:p>
        </w:tc>
        <w:tc>
          <w:tcPr>
            <w:tcW w:w="1283" w:type="dxa"/>
            <w:hideMark/>
          </w:tcPr>
          <w:p w:rsidR="00040FD2" w:rsidRPr="00040FD2" w:rsidRDefault="00040FD2" w:rsidP="00040FD2">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Yes</w:t>
            </w:r>
          </w:p>
        </w:tc>
      </w:tr>
      <w:tr w:rsidR="00040FD2" w:rsidRPr="00040FD2" w:rsidTr="00040FD2">
        <w:tc>
          <w:tcPr>
            <w:tcW w:w="1710" w:type="dxa"/>
            <w:hideMark/>
          </w:tcPr>
          <w:p w:rsidR="00040FD2" w:rsidRPr="00040FD2" w:rsidRDefault="00040FD2" w:rsidP="00040FD2">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Early 2025 Monetary Easing &amp; Dividend/Credit News</w:t>
            </w:r>
          </w:p>
        </w:tc>
        <w:tc>
          <w:tcPr>
            <w:tcW w:w="1456" w:type="dxa"/>
            <w:hideMark/>
          </w:tcPr>
          <w:p w:rsidR="00040FD2" w:rsidRPr="00040FD2" w:rsidRDefault="00040FD2" w:rsidP="00040FD2">
            <w:pPr>
              <w:rPr>
                <w:rFonts w:ascii="Times New Roman" w:eastAsia="Times New Roman" w:hAnsi="Times New Roman" w:cs="Times New Roman"/>
                <w:sz w:val="24"/>
                <w:szCs w:val="24"/>
              </w:rPr>
            </w:pPr>
            <w:r>
              <w:rPr>
                <w:rFonts w:ascii="Times New Roman" w:eastAsia="Times New Roman" w:hAnsi="Times New Roman" w:cs="Times New Roman"/>
                <w:sz w:val="24"/>
                <w:szCs w:val="24"/>
              </w:rPr>
              <w:t>2025-01-20, 2025-02-21, 2025-07-29</w:t>
            </w:r>
          </w:p>
        </w:tc>
        <w:tc>
          <w:tcPr>
            <w:tcW w:w="2682" w:type="dxa"/>
            <w:hideMark/>
          </w:tcPr>
          <w:p w:rsidR="00040FD2" w:rsidRPr="00040FD2" w:rsidRDefault="00040FD2" w:rsidP="00040FD2">
            <w:pPr>
              <w:rPr>
                <w:rFonts w:ascii="Times New Roman" w:eastAsia="Times New Roman" w:hAnsi="Times New Roman" w:cs="Times New Roman"/>
                <w:sz w:val="24"/>
                <w:szCs w:val="24"/>
              </w:rPr>
            </w:pPr>
            <w:r>
              <w:rPr>
                <w:rFonts w:ascii="Times New Roman" w:eastAsia="Times New Roman" w:hAnsi="Times New Roman" w:cs="Times New Roman"/>
                <w:sz w:val="24"/>
                <w:szCs w:val="24"/>
              </w:rPr>
              <w:t>CBK cutting rates e.g., Feb 5, 2025 easing to stimulate growth cycles; strong Safaricom 2024/25 earnings and dividends news; government stake sale announcements in 2025 attracting investor interest. (</w:t>
            </w:r>
            <w:hyperlink r:id="rId26" w:tooltip="Kenya central bank cuts key rate again to support lending" w:history="1">
              <w:r>
                <w:rPr>
                  <w:rFonts w:ascii="Times New Roman" w:eastAsia="Times New Roman" w:hAnsi="Times New Roman" w:cs="Times New Roman"/>
                  <w:color w:val="0000FF"/>
                  <w:sz w:val="24"/>
                  <w:szCs w:val="24"/>
                  <w:u w:val="single"/>
                </w:rPr>
                <w:t>Reuters</w:t>
              </w:r>
            </w:hyperlink>
            <w:r>
              <w:rPr>
                <w:rFonts w:ascii="Times New Roman" w:eastAsia="Times New Roman" w:hAnsi="Times New Roman" w:cs="Times New Roman"/>
                <w:sz w:val="24"/>
                <w:szCs w:val="24"/>
              </w:rPr>
              <w:t>)</w:t>
            </w:r>
          </w:p>
        </w:tc>
        <w:tc>
          <w:tcPr>
            <w:tcW w:w="2636" w:type="dxa"/>
            <w:hideMark/>
          </w:tcPr>
          <w:p w:rsidR="00040FD2" w:rsidRPr="00040FD2" w:rsidRDefault="00040FD2" w:rsidP="00040FD2">
            <w:pPr>
              <w:rPr>
                <w:rFonts w:ascii="Times New Roman" w:eastAsia="Times New Roman" w:hAnsi="Times New Roman" w:cs="Times New Roman"/>
                <w:sz w:val="24"/>
                <w:szCs w:val="24"/>
              </w:rPr>
            </w:pPr>
            <w:r>
              <w:rPr>
                <w:rFonts w:ascii="Times New Roman" w:eastAsia="Times New Roman" w:hAnsi="Times New Roman" w:cs="Times New Roman"/>
                <w:sz w:val="24"/>
                <w:szCs w:val="24"/>
              </w:rPr>
              <w:t>Market shifting from heightened fiscal risk to easing environment and corporate performance; potential regime shift toward stabilization/opportunity.</w:t>
            </w:r>
          </w:p>
        </w:tc>
        <w:tc>
          <w:tcPr>
            <w:tcW w:w="1283" w:type="dxa"/>
            <w:hideMark/>
          </w:tcPr>
          <w:p w:rsidR="00040FD2" w:rsidRPr="00040FD2" w:rsidRDefault="00040FD2" w:rsidP="00040FD2">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Yes</w:t>
            </w:r>
          </w:p>
        </w:tc>
      </w:tr>
      <w:tr w:rsidR="00040FD2" w:rsidRPr="00040FD2" w:rsidTr="00040FD2">
        <w:tc>
          <w:tcPr>
            <w:tcW w:w="1710" w:type="dxa"/>
            <w:hideMark/>
          </w:tcPr>
          <w:p w:rsidR="00040FD2" w:rsidRPr="00040FD2" w:rsidRDefault="00040FD2" w:rsidP="00040FD2">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Other isolated minor breaks</w:t>
            </w:r>
          </w:p>
        </w:tc>
        <w:tc>
          <w:tcPr>
            <w:tcW w:w="1456" w:type="dxa"/>
            <w:hideMark/>
          </w:tcPr>
          <w:p w:rsidR="00040FD2" w:rsidRPr="00040FD2" w:rsidRDefault="00040FD2" w:rsidP="00040FD2">
            <w:pPr>
              <w:rPr>
                <w:rFonts w:ascii="Times New Roman" w:eastAsia="Times New Roman" w:hAnsi="Times New Roman" w:cs="Times New Roman"/>
                <w:sz w:val="24"/>
                <w:szCs w:val="24"/>
              </w:rPr>
            </w:pPr>
            <w:r>
              <w:rPr>
                <w:rFonts w:ascii="Times New Roman" w:eastAsia="Times New Roman" w:hAnsi="Times New Roman" w:cs="Times New Roman"/>
                <w:sz w:val="24"/>
                <w:szCs w:val="24"/>
              </w:rPr>
              <w:t>Occasional individual dates</w:t>
            </w:r>
          </w:p>
        </w:tc>
        <w:tc>
          <w:tcPr>
            <w:tcW w:w="2682" w:type="dxa"/>
            <w:hideMark/>
          </w:tcPr>
          <w:p w:rsidR="00040FD2" w:rsidRPr="00040FD2" w:rsidRDefault="00040FD2" w:rsidP="00040FD2">
            <w:pPr>
              <w:rPr>
                <w:rFonts w:ascii="Times New Roman" w:eastAsia="Times New Roman" w:hAnsi="Times New Roman" w:cs="Times New Roman"/>
                <w:sz w:val="24"/>
                <w:szCs w:val="24"/>
              </w:rPr>
            </w:pPr>
            <w:r>
              <w:rPr>
                <w:rFonts w:ascii="Times New Roman" w:eastAsia="Times New Roman" w:hAnsi="Times New Roman" w:cs="Times New Roman"/>
                <w:sz w:val="24"/>
                <w:szCs w:val="24"/>
              </w:rPr>
              <w:t>Likely represent transient volatility spikes or short-lived sentiment moves absent clear macro drivers</w:t>
            </w:r>
          </w:p>
        </w:tc>
        <w:tc>
          <w:tcPr>
            <w:tcW w:w="2636" w:type="dxa"/>
            <w:hideMark/>
          </w:tcPr>
          <w:p w:rsidR="00040FD2" w:rsidRPr="00040FD2" w:rsidRDefault="00040FD2" w:rsidP="00040FD2">
            <w:pPr>
              <w:rPr>
                <w:rFonts w:ascii="Times New Roman" w:eastAsia="Times New Roman" w:hAnsi="Times New Roman" w:cs="Times New Roman"/>
                <w:sz w:val="24"/>
                <w:szCs w:val="24"/>
              </w:rPr>
            </w:pPr>
            <w:r>
              <w:rPr>
                <w:rFonts w:ascii="Times New Roman" w:eastAsia="Times New Roman" w:hAnsi="Times New Roman" w:cs="Times New Roman"/>
                <w:sz w:val="24"/>
                <w:szCs w:val="24"/>
              </w:rPr>
              <w:t>Do not correspond to lasting regime transitions</w:t>
            </w:r>
          </w:p>
        </w:tc>
        <w:tc>
          <w:tcPr>
            <w:tcW w:w="1283" w:type="dxa"/>
            <w:hideMark/>
          </w:tcPr>
          <w:p w:rsidR="00040FD2" w:rsidRPr="00040FD2" w:rsidRDefault="00040FD2" w:rsidP="00040FD2">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Noise</w:t>
            </w:r>
          </w:p>
        </w:tc>
      </w:tr>
    </w:tbl>
    <w:p w:rsidR="00FC33A8" w:rsidRDefault="00FC33A8" w:rsidP="006D6BC4">
      <w:pPr>
        <w:pStyle w:val="NormalWeb"/>
      </w:pPr>
    </w:p>
    <w:p w:rsidR="00040FD2" w:rsidRPr="00040FD2" w:rsidRDefault="00724860" w:rsidP="005F7DE4">
      <w:pPr>
        <w:pStyle w:val="Heading3"/>
      </w:pPr>
      <w:bookmarkStart w:id="30" w:name="_Toc218670800"/>
      <w:r>
        <w:t>Interpretive Summary</w:t>
      </w:r>
      <w:bookmarkEnd w:id="30"/>
    </w:p>
    <w:p w:rsidR="00040FD2" w:rsidRPr="00040FD2" w:rsidRDefault="00040FD2" w:rsidP="005F7DE4">
      <w:pPr>
        <w:pStyle w:val="Heading4"/>
        <w:rPr>
          <w:rFonts w:eastAsia="Times New Roman"/>
        </w:rPr>
      </w:pPr>
      <w:r>
        <w:rPr>
          <w:rFonts w:eastAsia="Times New Roman"/>
        </w:rPr>
        <w:t>1. Post-COVID Recovery &amp; Reopening (2021)</w:t>
      </w:r>
    </w:p>
    <w:p w:rsidR="00040FD2" w:rsidRPr="00040FD2" w:rsidRDefault="00040FD2" w:rsidP="005F7DE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Early 2021 breakpoints coincide with the transition from global pandemic constraints to economic reopening and improved macro prospects. Kenya’s macro indicators — including GDP recovery and renewed investor appetite for emerging market assets — underpinned stronger price trends. These breaks align with a </w:t>
      </w:r>
      <w:r>
        <w:rPr>
          <w:rFonts w:ascii="Times New Roman" w:eastAsia="Times New Roman" w:hAnsi="Times New Roman" w:cs="Times New Roman"/>
          <w:b/>
          <w:bCs/>
          <w:sz w:val="24"/>
          <w:szCs w:val="24"/>
        </w:rPr>
        <w:t>regime pivot from crisis to recovery</w:t>
      </w:r>
      <w:r>
        <w:rPr>
          <w:rFonts w:ascii="Times New Roman" w:eastAsia="Times New Roman" w:hAnsi="Times New Roman" w:cs="Times New Roman"/>
          <w:sz w:val="24"/>
          <w:szCs w:val="24"/>
        </w:rPr>
        <w:t>.</w:t>
      </w:r>
    </w:p>
    <w:p w:rsidR="00040FD2" w:rsidRPr="00040FD2" w:rsidRDefault="00040FD2" w:rsidP="005F7DE4">
      <w:pPr>
        <w:pStyle w:val="Heading4"/>
        <w:rPr>
          <w:rFonts w:eastAsia="Times New Roman"/>
        </w:rPr>
      </w:pPr>
      <w:r>
        <w:rPr>
          <w:rFonts w:eastAsia="Times New Roman"/>
        </w:rPr>
        <w:t>2. Transition to Uncertainty (Late 2021 – Early 2022)</w:t>
      </w:r>
    </w:p>
    <w:p w:rsidR="00040FD2" w:rsidRPr="00040FD2" w:rsidRDefault="00040FD2" w:rsidP="005F7DE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global inflation pressures rose and central banks began tightening broadly, Kenya faced similar dynamics. The Central Bank maintained a tight policy stance, contributing to volatility repricing as markets began to reassess growth versus inflation risk. These breaks signify a </w:t>
      </w:r>
      <w:r>
        <w:rPr>
          <w:rFonts w:ascii="Times New Roman" w:eastAsia="Times New Roman" w:hAnsi="Times New Roman" w:cs="Times New Roman"/>
          <w:b/>
          <w:bCs/>
          <w:sz w:val="24"/>
          <w:szCs w:val="24"/>
        </w:rPr>
        <w:t>shift from growth optimism toward cautious pricing</w:t>
      </w:r>
      <w:r>
        <w:rPr>
          <w:rFonts w:ascii="Times New Roman" w:eastAsia="Times New Roman" w:hAnsi="Times New Roman" w:cs="Times New Roman"/>
          <w:sz w:val="24"/>
          <w:szCs w:val="24"/>
        </w:rPr>
        <w:t>.</w:t>
      </w:r>
    </w:p>
    <w:p w:rsidR="00040FD2" w:rsidRPr="00040FD2" w:rsidRDefault="00040FD2" w:rsidP="005F7DE4">
      <w:pPr>
        <w:pStyle w:val="Heading4"/>
        <w:rPr>
          <w:rFonts w:eastAsia="Times New Roman"/>
        </w:rPr>
      </w:pPr>
      <w:r>
        <w:rPr>
          <w:rFonts w:eastAsia="Times New Roman"/>
        </w:rPr>
        <w:t>3. Inflation &amp; Monetary Tightening Regime (Mid–Late 2022)</w:t>
      </w:r>
    </w:p>
    <w:p w:rsidR="00040FD2" w:rsidRPr="00040FD2" w:rsidRDefault="00040FD2" w:rsidP="005F7DE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episode captures sustained macro volatility as inflation and currency pressures forced the Central Bank of Kenya to raise policy rates aggressively. Extended tightening materially impacted investor risk perceptions, leading to regime behavior dominated by </w:t>
      </w:r>
      <w:r>
        <w:rPr>
          <w:rFonts w:ascii="Times New Roman" w:eastAsia="Times New Roman" w:hAnsi="Times New Roman" w:cs="Times New Roman"/>
          <w:b/>
          <w:bCs/>
          <w:sz w:val="24"/>
          <w:szCs w:val="24"/>
        </w:rPr>
        <w:t>risk repricing and volatility clusters</w:t>
      </w:r>
      <w:r>
        <w:rPr>
          <w:rFonts w:ascii="Times New Roman" w:eastAsia="Times New Roman" w:hAnsi="Times New Roman" w:cs="Times New Roman"/>
          <w:sz w:val="24"/>
          <w:szCs w:val="24"/>
        </w:rPr>
        <w:t>.</w:t>
      </w:r>
    </w:p>
    <w:p w:rsidR="00040FD2" w:rsidRPr="00040FD2" w:rsidRDefault="00040FD2" w:rsidP="005F7DE4">
      <w:pPr>
        <w:pStyle w:val="Heading4"/>
        <w:rPr>
          <w:rFonts w:eastAsia="Times New Roman"/>
        </w:rPr>
      </w:pPr>
      <w:r>
        <w:rPr>
          <w:rFonts w:eastAsia="Times New Roman"/>
        </w:rPr>
        <w:t>4. Early 2023 Uncertainty (Q1–Q2 2023)</w:t>
      </w:r>
    </w:p>
    <w:p w:rsidR="00040FD2" w:rsidRPr="00040FD2" w:rsidRDefault="00040FD2" w:rsidP="005F7DE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the data here is less tied to a single macro shock, this period reflects ensuing uncertainty following the intense 2022 tightening, slowing growth, and fiscal pressures. These breakpoints likely capture </w:t>
      </w:r>
      <w:r>
        <w:rPr>
          <w:rFonts w:ascii="Times New Roman" w:eastAsia="Times New Roman" w:hAnsi="Times New Roman" w:cs="Times New Roman"/>
          <w:b/>
          <w:bCs/>
          <w:sz w:val="24"/>
          <w:szCs w:val="24"/>
        </w:rPr>
        <w:t>intermediate structural adjustments</w:t>
      </w:r>
      <w:r>
        <w:rPr>
          <w:rFonts w:ascii="Times New Roman" w:eastAsia="Times New Roman" w:hAnsi="Times New Roman" w:cs="Times New Roman"/>
          <w:sz w:val="24"/>
          <w:szCs w:val="24"/>
        </w:rPr>
        <w:t xml:space="preserve"> as markets digested a new risk paradigm.</w:t>
      </w:r>
    </w:p>
    <w:p w:rsidR="00040FD2" w:rsidRPr="00040FD2" w:rsidRDefault="00040FD2" w:rsidP="005F7DE4">
      <w:pPr>
        <w:pStyle w:val="Heading4"/>
        <w:rPr>
          <w:rFonts w:eastAsia="Times New Roman"/>
        </w:rPr>
      </w:pPr>
      <w:r>
        <w:rPr>
          <w:rFonts w:eastAsia="Times New Roman"/>
        </w:rPr>
        <w:t>5. Late 2023 Consolidation</w:t>
      </w:r>
    </w:p>
    <w:p w:rsidR="00040FD2" w:rsidRPr="00040FD2" w:rsidRDefault="00040FD2" w:rsidP="005F7DE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late 2023 breakpoint likely reflects a </w:t>
      </w:r>
      <w:r>
        <w:rPr>
          <w:rFonts w:ascii="Times New Roman" w:eastAsia="Times New Roman" w:hAnsi="Times New Roman" w:cs="Times New Roman"/>
          <w:b/>
          <w:bCs/>
          <w:sz w:val="24"/>
          <w:szCs w:val="24"/>
        </w:rPr>
        <w:t>shorter-term consolidation phase</w:t>
      </w:r>
      <w:r>
        <w:rPr>
          <w:rFonts w:ascii="Times New Roman" w:eastAsia="Times New Roman" w:hAnsi="Times New Roman" w:cs="Times New Roman"/>
          <w:sz w:val="24"/>
          <w:szCs w:val="24"/>
        </w:rPr>
        <w:t xml:space="preserve"> between prolonged risk regimes and rising fiscal debate tensions, indicated by macro data showing inflation stabilization but slower growth.</w:t>
      </w:r>
    </w:p>
    <w:p w:rsidR="00040FD2" w:rsidRPr="00040FD2" w:rsidRDefault="00040FD2" w:rsidP="005F7DE4">
      <w:pPr>
        <w:pStyle w:val="Heading4"/>
        <w:rPr>
          <w:rFonts w:eastAsia="Times New Roman"/>
        </w:rPr>
      </w:pPr>
      <w:r>
        <w:rPr>
          <w:rFonts w:eastAsia="Times New Roman"/>
        </w:rPr>
        <w:t>6. Fiscal Risk &amp; Social Unrest (2024)</w:t>
      </w:r>
    </w:p>
    <w:p w:rsidR="00040FD2" w:rsidRPr="00040FD2" w:rsidRDefault="00040FD2" w:rsidP="005F7DE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2024 cluster corresponds with growing political and fiscal uncertainty around the Finance Bill 2024, which sparked major nationwide protests and policy retraction. This cluster likely represents a </w:t>
      </w:r>
      <w:r>
        <w:rPr>
          <w:rFonts w:ascii="Times New Roman" w:eastAsia="Times New Roman" w:hAnsi="Times New Roman" w:cs="Times New Roman"/>
          <w:b/>
          <w:bCs/>
          <w:sz w:val="24"/>
          <w:szCs w:val="24"/>
        </w:rPr>
        <w:t>strong structural regime shift driven by policy risk and sentiment repricing</w:t>
      </w:r>
      <w:r>
        <w:rPr>
          <w:rFonts w:ascii="Times New Roman" w:eastAsia="Times New Roman" w:hAnsi="Times New Roman" w:cs="Times New Roman"/>
          <w:sz w:val="24"/>
          <w:szCs w:val="24"/>
        </w:rPr>
        <w:t>.</w:t>
      </w:r>
    </w:p>
    <w:p w:rsidR="00040FD2" w:rsidRPr="00040FD2" w:rsidRDefault="00040FD2" w:rsidP="005F7DE4">
      <w:pPr>
        <w:pStyle w:val="Heading4"/>
        <w:rPr>
          <w:rFonts w:eastAsia="Times New Roman"/>
        </w:rPr>
      </w:pPr>
      <w:r>
        <w:rPr>
          <w:rFonts w:eastAsia="Times New Roman"/>
        </w:rPr>
        <w:t>7. Early 2025 Stabilization &amp; Opportunity Phases</w:t>
      </w:r>
    </w:p>
    <w:p w:rsidR="00040FD2" w:rsidRPr="00040FD2" w:rsidRDefault="00040FD2" w:rsidP="005F7DE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first half of 2025 saw central bank easing after inflation cooled, strong corporate performance (notably Safaricom’s growth and dividends), and renewed activity around government stake sales in Safaricom. These collectively signal a regime shift toward </w:t>
      </w:r>
      <w:r>
        <w:rPr>
          <w:rFonts w:ascii="Times New Roman" w:eastAsia="Times New Roman" w:hAnsi="Times New Roman" w:cs="Times New Roman"/>
          <w:b/>
          <w:bCs/>
          <w:sz w:val="24"/>
          <w:szCs w:val="24"/>
        </w:rPr>
        <w:t>stabilization balanced with corporate opportunity</w:t>
      </w:r>
      <w:r>
        <w:rPr>
          <w:rFonts w:ascii="Times New Roman" w:eastAsia="Times New Roman" w:hAnsi="Times New Roman" w:cs="Times New Roman"/>
          <w:sz w:val="24"/>
          <w:szCs w:val="24"/>
        </w:rPr>
        <w:t>, contrasting with the policy-risk regime of 2024.</w:t>
      </w:r>
    </w:p>
    <w:p w:rsidR="00040FD2" w:rsidRPr="00040FD2" w:rsidRDefault="00040FD2" w:rsidP="005F7DE4">
      <w:pPr>
        <w:pStyle w:val="Heading4"/>
        <w:rPr>
          <w:rFonts w:eastAsia="Times New Roman"/>
        </w:rPr>
      </w:pPr>
      <w:r>
        <w:rPr>
          <w:rFonts w:eastAsia="Times New Roman"/>
        </w:rPr>
        <w:t>8. Noise vs. Signal</w:t>
      </w:r>
    </w:p>
    <w:p w:rsidR="00C92EC3" w:rsidRPr="00C92EC3" w:rsidRDefault="00040FD2" w:rsidP="00C92EC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every detected break aligns with a plausible macro or micro driver. Some individual dates likely reflect short-lived sentiment shifts or market microstructure noise. These should be filtered out when constructing the final regime narrative so the report avoids over-attributing every volatility blip to fundamental change.</w:t>
      </w:r>
    </w:p>
    <w:p w:rsidR="00C92EC3" w:rsidRDefault="00C92EC3" w:rsidP="005F7DE4">
      <w:pPr>
        <w:pStyle w:val="Heading3"/>
      </w:pPr>
      <w:bookmarkStart w:id="31" w:name="_Toc218670801"/>
      <w:r>
        <w:t>Structural Breaks: What They Tell Us — and What They Do Not</w:t>
      </w:r>
      <w:bookmarkEnd w:id="31"/>
    </w:p>
    <w:p w:rsidR="00C92EC3" w:rsidRDefault="00C92EC3" w:rsidP="00C92EC3">
      <w:pPr>
        <w:pStyle w:val="NormalWeb"/>
      </w:pPr>
      <w:r>
        <w:t xml:space="preserve">The structural break analysis identifies </w:t>
      </w:r>
      <w:r>
        <w:rPr>
          <w:rStyle w:val="Strong"/>
        </w:rPr>
        <w:t>points in time where Safaricom’s market behavior changed materially</w:t>
      </w:r>
      <w:r>
        <w:t>, often coinciding with macroeconomic shocks, policy shifts, or periods of heightened uncertainty. These breaks are not random; they cluster around economically meaningful episodes such as post-COVID recovery, inflation-driven tightening, fiscal risk events, and subsequent stabilization phases.</w:t>
      </w:r>
    </w:p>
    <w:p w:rsidR="00C92EC3" w:rsidRDefault="00C92EC3" w:rsidP="00C92EC3">
      <w:pPr>
        <w:pStyle w:val="NormalWeb"/>
      </w:pPr>
      <w:r>
        <w:t xml:space="preserve">However, it is important to distinguish </w:t>
      </w:r>
      <w:r>
        <w:rPr>
          <w:rStyle w:val="Strong"/>
        </w:rPr>
        <w:t>structural change from market instability</w:t>
      </w:r>
      <w:r>
        <w:t xml:space="preserve">. Not all breaks signal distress. In several instances, breaks occurred </w:t>
      </w:r>
      <w:r>
        <w:rPr>
          <w:rStyle w:val="Emphasis"/>
        </w:rPr>
        <w:t>within</w:t>
      </w:r>
      <w:r>
        <w:t xml:space="preserve"> strong trends, marking acceleration or repricing rather than deterioration. Conversely, in other periods, tightly clustered breaks coincided with sustained volatility and drawdowns, signaling deeper regime shifts.</w:t>
      </w:r>
    </w:p>
    <w:p w:rsidR="00C92EC3" w:rsidRDefault="00C92EC3" w:rsidP="00C92EC3">
      <w:pPr>
        <w:pStyle w:val="NormalWeb"/>
      </w:pPr>
      <w:r>
        <w:t xml:space="preserve">In this report, structural breaks are therefore treated as </w:t>
      </w:r>
      <w:r>
        <w:rPr>
          <w:rStyle w:val="Strong"/>
        </w:rPr>
        <w:t>boundaries</w:t>
      </w:r>
      <w:r>
        <w:t>, not forecasts:</w:t>
      </w:r>
    </w:p>
    <w:p w:rsidR="00C92EC3" w:rsidRDefault="00C92EC3" w:rsidP="00C92EC3">
      <w:pPr>
        <w:pStyle w:val="NormalWeb"/>
        <w:numPr>
          <w:ilvl w:val="0"/>
          <w:numId w:val="16"/>
        </w:numPr>
      </w:pPr>
      <w:r>
        <w:t xml:space="preserve">They indicate </w:t>
      </w:r>
      <w:r>
        <w:rPr>
          <w:rStyle w:val="Emphasis"/>
        </w:rPr>
        <w:t>when</w:t>
      </w:r>
      <w:r>
        <w:t xml:space="preserve"> the market’s behavior changes,</w:t>
      </w:r>
    </w:p>
    <w:p w:rsidR="00C92EC3" w:rsidRDefault="00C92EC3" w:rsidP="00C92EC3">
      <w:pPr>
        <w:pStyle w:val="NormalWeb"/>
        <w:numPr>
          <w:ilvl w:val="0"/>
          <w:numId w:val="16"/>
        </w:numPr>
      </w:pPr>
      <w:r>
        <w:t xml:space="preserve">But not </w:t>
      </w:r>
      <w:r>
        <w:rPr>
          <w:rStyle w:val="Emphasis"/>
        </w:rPr>
        <w:t>how</w:t>
      </w:r>
      <w:r>
        <w:t xml:space="preserve"> the market behaves between those changes.</w:t>
      </w:r>
    </w:p>
    <w:p w:rsidR="003C700F" w:rsidRDefault="00C92EC3" w:rsidP="003C700F">
      <w:pPr>
        <w:pStyle w:val="NormalWeb"/>
      </w:pPr>
      <w:r>
        <w:t xml:space="preserve">To understand the persistence of market behavior — and its implications for investors — we now turn to </w:t>
      </w:r>
      <w:r>
        <w:rPr>
          <w:rStyle w:val="Strong"/>
        </w:rPr>
        <w:t>regime analysis</w:t>
      </w:r>
      <w:r>
        <w:t>. Structural breaks define the turning points of the market; regimes explain the behavior that follows.</w:t>
      </w:r>
    </w:p>
    <w:p w:rsidR="00C92EC3" w:rsidRDefault="00C92EC3" w:rsidP="006D6BC4">
      <w:pPr>
        <w:pStyle w:val="NormalWeb"/>
      </w:pPr>
    </w:p>
    <w:p w:rsidR="00C92EC3" w:rsidRDefault="00C92EC3" w:rsidP="006D6BC4">
      <w:pPr>
        <w:pStyle w:val="NormalWeb"/>
      </w:pPr>
    </w:p>
    <w:p w:rsidR="00C92EC3" w:rsidRDefault="00C92EC3" w:rsidP="005F7DE4">
      <w:pPr>
        <w:pStyle w:val="Heading2"/>
      </w:pPr>
      <w:bookmarkStart w:id="32" w:name="_Toc218670802"/>
      <w:r>
        <w:t>Regime Analysis</w:t>
      </w:r>
      <w:bookmarkEnd w:id="32"/>
      <w:r>
        <w:t xml:space="preserve"> </w:t>
      </w:r>
    </w:p>
    <w:p w:rsidR="00C92EC3" w:rsidRDefault="00C92EC3" w:rsidP="005F7DE4">
      <w:pPr>
        <w:pStyle w:val="Heading3"/>
      </w:pPr>
      <w:bookmarkStart w:id="33" w:name="_Toc218670803"/>
      <w:r>
        <w:t>Regime Analysis: Understanding Market Behaviour between Breaks</w:t>
      </w:r>
      <w:bookmarkEnd w:id="33"/>
    </w:p>
    <w:p w:rsidR="00C92EC3" w:rsidRDefault="00C92EC3" w:rsidP="00C92EC3">
      <w:pPr>
        <w:pStyle w:val="NormalWeb"/>
      </w:pPr>
      <w:r>
        <w:t xml:space="preserve">A </w:t>
      </w:r>
      <w:r>
        <w:rPr>
          <w:rStyle w:val="Strong"/>
        </w:rPr>
        <w:t>market regime</w:t>
      </w:r>
      <w:r>
        <w:t xml:space="preserve"> refers to a period during which the statistical and economic behavior of an asset remains relatively stable. Within a regime, prices, volatility, and investor responses tend to follow consistent patterns, whereas; across regimes, these patterns tend to change.</w:t>
      </w:r>
    </w:p>
    <w:p w:rsidR="00C92EC3" w:rsidRDefault="00C92EC3" w:rsidP="00C92EC3">
      <w:pPr>
        <w:pStyle w:val="NormalWeb"/>
      </w:pPr>
      <w:r>
        <w:t xml:space="preserve">Rather than treating Safaricom’s share price as a single continuous process, this analysis segments the market into </w:t>
      </w:r>
      <w:r>
        <w:rPr>
          <w:rStyle w:val="Strong"/>
        </w:rPr>
        <w:t>distinct regimes</w:t>
      </w:r>
      <w:r>
        <w:t>, each shaped by its own risk drivers, volatility dynamics, and return characteristics.</w:t>
      </w:r>
    </w:p>
    <w:p w:rsidR="00C92EC3" w:rsidRDefault="00C92EC3" w:rsidP="00C92EC3">
      <w:pPr>
        <w:pStyle w:val="NormalWeb"/>
      </w:pPr>
      <w:r>
        <w:t>This approach is particularly important for Safaricom because:</w:t>
      </w:r>
    </w:p>
    <w:p w:rsidR="00C92EC3" w:rsidRDefault="00C92EC3" w:rsidP="00C92EC3">
      <w:pPr>
        <w:pStyle w:val="NormalWeb"/>
        <w:numPr>
          <w:ilvl w:val="0"/>
          <w:numId w:val="17"/>
        </w:numPr>
      </w:pPr>
      <w:r>
        <w:t xml:space="preserve">Price levels evolve in </w:t>
      </w:r>
      <w:r>
        <w:rPr>
          <w:rStyle w:val="Strong"/>
        </w:rPr>
        <w:t>steps</w:t>
      </w:r>
      <w:r>
        <w:t>, not smoothly,</w:t>
      </w:r>
    </w:p>
    <w:p w:rsidR="00C92EC3" w:rsidRDefault="00C92EC3" w:rsidP="00C92EC3">
      <w:pPr>
        <w:pStyle w:val="NormalWeb"/>
        <w:numPr>
          <w:ilvl w:val="0"/>
          <w:numId w:val="17"/>
        </w:numPr>
      </w:pPr>
      <w:r>
        <w:t>Volatility persists within regimes,</w:t>
      </w:r>
    </w:p>
    <w:p w:rsidR="00C92EC3" w:rsidRDefault="00C92EC3" w:rsidP="00C92EC3">
      <w:pPr>
        <w:pStyle w:val="NormalWeb"/>
        <w:numPr>
          <w:ilvl w:val="0"/>
          <w:numId w:val="17"/>
        </w:numPr>
      </w:pPr>
      <w:r>
        <w:t>And traditional price-based forecasting performs poorly across regime boundaries.</w:t>
      </w:r>
    </w:p>
    <w:p w:rsidR="00C92EC3" w:rsidRDefault="00C92EC3" w:rsidP="00C92EC3">
      <w:pPr>
        <w:pStyle w:val="NormalWeb"/>
      </w:pPr>
      <w:r>
        <w:t xml:space="preserve">The following taxonomy summarizes the key regimes identified in the data and interprets them from both a </w:t>
      </w:r>
      <w:r>
        <w:rPr>
          <w:rStyle w:val="Strong"/>
        </w:rPr>
        <w:t>technical</w:t>
      </w:r>
      <w:r>
        <w:t xml:space="preserve"> and </w:t>
      </w:r>
      <w:r>
        <w:rPr>
          <w:rStyle w:val="Strong"/>
        </w:rPr>
        <w:t>investment</w:t>
      </w:r>
      <w:r>
        <w:t xml:space="preserve"> perspective.</w:t>
      </w:r>
    </w:p>
    <w:p w:rsidR="00B31CB9" w:rsidRDefault="00B31CB9" w:rsidP="00C92EC3">
      <w:pPr>
        <w:pStyle w:val="NormalWeb"/>
      </w:pPr>
      <w:r>
        <w:rPr>
          <w:noProof/>
        </w:rPr>
        <w:drawing>
          <wp:inline distT="0" distB="0" distL="0" distR="0" wp14:anchorId="7141D243" wp14:editId="57FD5C49">
            <wp:extent cx="5943600" cy="195326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953260"/>
                    </a:xfrm>
                    <a:prstGeom prst="rect">
                      <a:avLst/>
                    </a:prstGeom>
                  </pic:spPr>
                </pic:pic>
              </a:graphicData>
            </a:graphic>
          </wp:inline>
        </w:drawing>
      </w:r>
    </w:p>
    <w:p w:rsidR="00B31CB9" w:rsidRDefault="00B31CB9" w:rsidP="00C92EC3">
      <w:pPr>
        <w:pStyle w:val="NormalWeb"/>
      </w:pPr>
      <w:r>
        <w:t>Fig 16: Safaricom share price with volatility regimes highlighted</w:t>
      </w:r>
    </w:p>
    <w:p w:rsidR="00C92EC3" w:rsidRDefault="00C92EC3" w:rsidP="006D6BC4">
      <w:pPr>
        <w:pStyle w:val="NormalWeb"/>
        <w:rPr>
          <w:b/>
        </w:rPr>
      </w:pPr>
    </w:p>
    <w:tbl>
      <w:tblPr>
        <w:tblStyle w:val="TableGrid"/>
        <w:tblW w:w="11398" w:type="dxa"/>
        <w:tblInd w:w="-995" w:type="dxa"/>
        <w:tblLayout w:type="fixed"/>
        <w:tblLook w:val="04A0" w:firstRow="1" w:lastRow="0" w:firstColumn="1" w:lastColumn="0" w:noHBand="0" w:noVBand="1"/>
      </w:tblPr>
      <w:tblGrid>
        <w:gridCol w:w="1440"/>
        <w:gridCol w:w="990"/>
        <w:gridCol w:w="1260"/>
        <w:gridCol w:w="1350"/>
        <w:gridCol w:w="1170"/>
        <w:gridCol w:w="1620"/>
        <w:gridCol w:w="1840"/>
        <w:gridCol w:w="1728"/>
      </w:tblGrid>
      <w:tr w:rsidR="00C92EC3" w:rsidRPr="0026727D" w:rsidTr="0026727D">
        <w:tc>
          <w:tcPr>
            <w:tcW w:w="1440" w:type="dxa"/>
            <w:hideMark/>
          </w:tcPr>
          <w:p w:rsidR="00C92EC3" w:rsidRPr="00C92EC3" w:rsidRDefault="00C92EC3" w:rsidP="00C92EC3">
            <w:pPr>
              <w:jc w:val="center"/>
              <w:rPr>
                <w:rFonts w:ascii="Times New Roman" w:eastAsia="Times New Roman" w:hAnsi="Times New Roman" w:cs="Times New Roman"/>
                <w:b/>
                <w:bCs/>
                <w:sz w:val="20"/>
                <w:szCs w:val="24"/>
              </w:rPr>
            </w:pPr>
            <w:r>
              <w:rPr>
                <w:rFonts w:ascii="Times New Roman" w:eastAsia="Times New Roman" w:hAnsi="Times New Roman" w:cs="Times New Roman"/>
                <w:b/>
                <w:bCs/>
                <w:sz w:val="20"/>
                <w:szCs w:val="24"/>
              </w:rPr>
              <w:t>Regime</w:t>
            </w:r>
          </w:p>
        </w:tc>
        <w:tc>
          <w:tcPr>
            <w:tcW w:w="990" w:type="dxa"/>
            <w:hideMark/>
          </w:tcPr>
          <w:p w:rsidR="00C92EC3" w:rsidRPr="00C92EC3" w:rsidRDefault="00C92EC3" w:rsidP="00C92EC3">
            <w:pPr>
              <w:jc w:val="center"/>
              <w:rPr>
                <w:rFonts w:ascii="Times New Roman" w:eastAsia="Times New Roman" w:hAnsi="Times New Roman" w:cs="Times New Roman"/>
                <w:b/>
                <w:bCs/>
                <w:sz w:val="20"/>
                <w:szCs w:val="24"/>
              </w:rPr>
            </w:pPr>
            <w:r>
              <w:rPr>
                <w:rFonts w:ascii="Times New Roman" w:eastAsia="Times New Roman" w:hAnsi="Times New Roman" w:cs="Times New Roman"/>
                <w:b/>
                <w:bCs/>
                <w:sz w:val="20"/>
                <w:szCs w:val="24"/>
              </w:rPr>
              <w:t>Approx. Period</w:t>
            </w:r>
          </w:p>
        </w:tc>
        <w:tc>
          <w:tcPr>
            <w:tcW w:w="1260" w:type="dxa"/>
            <w:hideMark/>
          </w:tcPr>
          <w:p w:rsidR="00C92EC3" w:rsidRPr="00C92EC3" w:rsidRDefault="00C92EC3" w:rsidP="00C92EC3">
            <w:pPr>
              <w:jc w:val="center"/>
              <w:rPr>
                <w:rFonts w:ascii="Times New Roman" w:eastAsia="Times New Roman" w:hAnsi="Times New Roman" w:cs="Times New Roman"/>
                <w:b/>
                <w:bCs/>
                <w:sz w:val="20"/>
                <w:szCs w:val="24"/>
              </w:rPr>
            </w:pPr>
            <w:r>
              <w:rPr>
                <w:rFonts w:ascii="Times New Roman" w:eastAsia="Times New Roman" w:hAnsi="Times New Roman" w:cs="Times New Roman"/>
                <w:b/>
                <w:bCs/>
                <w:sz w:val="20"/>
                <w:szCs w:val="24"/>
              </w:rPr>
              <w:t>Dominant Market Condition</w:t>
            </w:r>
          </w:p>
        </w:tc>
        <w:tc>
          <w:tcPr>
            <w:tcW w:w="1350" w:type="dxa"/>
            <w:hideMark/>
          </w:tcPr>
          <w:p w:rsidR="00C92EC3" w:rsidRPr="00C92EC3" w:rsidRDefault="00C92EC3" w:rsidP="00C92EC3">
            <w:pPr>
              <w:jc w:val="center"/>
              <w:rPr>
                <w:rFonts w:ascii="Times New Roman" w:eastAsia="Times New Roman" w:hAnsi="Times New Roman" w:cs="Times New Roman"/>
                <w:b/>
                <w:bCs/>
                <w:sz w:val="20"/>
                <w:szCs w:val="24"/>
              </w:rPr>
            </w:pPr>
            <w:r>
              <w:rPr>
                <w:rFonts w:ascii="Times New Roman" w:eastAsia="Times New Roman" w:hAnsi="Times New Roman" w:cs="Times New Roman"/>
                <w:b/>
                <w:bCs/>
                <w:sz w:val="20"/>
                <w:szCs w:val="24"/>
              </w:rPr>
              <w:t>Price Behaviour</w:t>
            </w:r>
          </w:p>
        </w:tc>
        <w:tc>
          <w:tcPr>
            <w:tcW w:w="1170" w:type="dxa"/>
            <w:hideMark/>
          </w:tcPr>
          <w:p w:rsidR="00C92EC3" w:rsidRPr="00C92EC3" w:rsidRDefault="00C92EC3" w:rsidP="00C92EC3">
            <w:pPr>
              <w:jc w:val="center"/>
              <w:rPr>
                <w:rFonts w:ascii="Times New Roman" w:eastAsia="Times New Roman" w:hAnsi="Times New Roman" w:cs="Times New Roman"/>
                <w:b/>
                <w:bCs/>
                <w:sz w:val="20"/>
                <w:szCs w:val="24"/>
              </w:rPr>
            </w:pPr>
            <w:r>
              <w:rPr>
                <w:rFonts w:ascii="Times New Roman" w:eastAsia="Times New Roman" w:hAnsi="Times New Roman" w:cs="Times New Roman"/>
                <w:b/>
                <w:bCs/>
                <w:sz w:val="20"/>
                <w:szCs w:val="24"/>
              </w:rPr>
              <w:t>Volatility Profile</w:t>
            </w:r>
          </w:p>
        </w:tc>
        <w:tc>
          <w:tcPr>
            <w:tcW w:w="1620" w:type="dxa"/>
            <w:hideMark/>
          </w:tcPr>
          <w:p w:rsidR="00C92EC3" w:rsidRPr="00C92EC3" w:rsidRDefault="00C92EC3" w:rsidP="00C92EC3">
            <w:pPr>
              <w:jc w:val="center"/>
              <w:rPr>
                <w:rFonts w:ascii="Times New Roman" w:eastAsia="Times New Roman" w:hAnsi="Times New Roman" w:cs="Times New Roman"/>
                <w:b/>
                <w:bCs/>
                <w:sz w:val="20"/>
                <w:szCs w:val="24"/>
              </w:rPr>
            </w:pPr>
            <w:r>
              <w:rPr>
                <w:rFonts w:ascii="Times New Roman" w:eastAsia="Times New Roman" w:hAnsi="Times New Roman" w:cs="Times New Roman"/>
                <w:b/>
                <w:bCs/>
                <w:sz w:val="20"/>
                <w:szCs w:val="24"/>
              </w:rPr>
              <w:t>Primary Drivers</w:t>
            </w:r>
          </w:p>
        </w:tc>
        <w:tc>
          <w:tcPr>
            <w:tcW w:w="1840" w:type="dxa"/>
            <w:hideMark/>
          </w:tcPr>
          <w:p w:rsidR="00C92EC3" w:rsidRPr="00C92EC3" w:rsidRDefault="00C92EC3" w:rsidP="00C92EC3">
            <w:pPr>
              <w:jc w:val="center"/>
              <w:rPr>
                <w:rFonts w:ascii="Times New Roman" w:eastAsia="Times New Roman" w:hAnsi="Times New Roman" w:cs="Times New Roman"/>
                <w:b/>
                <w:bCs/>
                <w:sz w:val="20"/>
                <w:szCs w:val="24"/>
              </w:rPr>
            </w:pPr>
            <w:r>
              <w:rPr>
                <w:rFonts w:ascii="Times New Roman" w:eastAsia="Times New Roman" w:hAnsi="Times New Roman" w:cs="Times New Roman"/>
                <w:b/>
                <w:bCs/>
                <w:sz w:val="20"/>
                <w:szCs w:val="24"/>
              </w:rPr>
              <w:t>Technical Characterization</w:t>
            </w:r>
          </w:p>
        </w:tc>
        <w:tc>
          <w:tcPr>
            <w:tcW w:w="1728" w:type="dxa"/>
            <w:hideMark/>
          </w:tcPr>
          <w:p w:rsidR="00C92EC3" w:rsidRPr="00C92EC3" w:rsidRDefault="00C92EC3" w:rsidP="00C92EC3">
            <w:pPr>
              <w:jc w:val="center"/>
              <w:rPr>
                <w:rFonts w:ascii="Times New Roman" w:eastAsia="Times New Roman" w:hAnsi="Times New Roman" w:cs="Times New Roman"/>
                <w:b/>
                <w:bCs/>
                <w:sz w:val="20"/>
                <w:szCs w:val="24"/>
              </w:rPr>
            </w:pPr>
            <w:r>
              <w:rPr>
                <w:rFonts w:ascii="Times New Roman" w:eastAsia="Times New Roman" w:hAnsi="Times New Roman" w:cs="Times New Roman"/>
                <w:b/>
                <w:bCs/>
                <w:sz w:val="20"/>
                <w:szCs w:val="24"/>
              </w:rPr>
              <w:t>Investor Interpretation</w:t>
            </w:r>
          </w:p>
        </w:tc>
      </w:tr>
      <w:tr w:rsidR="00C92EC3" w:rsidRPr="0026727D" w:rsidTr="0026727D">
        <w:tc>
          <w:tcPr>
            <w:tcW w:w="1440"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b/>
                <w:bCs/>
                <w:sz w:val="20"/>
                <w:szCs w:val="24"/>
              </w:rPr>
              <w:t>1. Post-Crisis Recovery &amp; Re-rating</w:t>
            </w:r>
          </w:p>
        </w:tc>
        <w:tc>
          <w:tcPr>
            <w:tcW w:w="990"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sz w:val="20"/>
                <w:szCs w:val="24"/>
              </w:rPr>
              <w:t>Late-2020 → Q3-2021</w:t>
            </w:r>
          </w:p>
        </w:tc>
        <w:tc>
          <w:tcPr>
            <w:tcW w:w="1260"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sz w:val="20"/>
                <w:szCs w:val="24"/>
              </w:rPr>
              <w:t>Recovery / Risk-On</w:t>
            </w:r>
          </w:p>
        </w:tc>
        <w:tc>
          <w:tcPr>
            <w:tcW w:w="1350"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sz w:val="20"/>
                <w:szCs w:val="24"/>
              </w:rPr>
              <w:t>Strong upward trend; higher highs</w:t>
            </w:r>
          </w:p>
        </w:tc>
        <w:tc>
          <w:tcPr>
            <w:tcW w:w="1170"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sz w:val="20"/>
                <w:szCs w:val="24"/>
              </w:rPr>
              <w:t>Moderate, declining</w:t>
            </w:r>
          </w:p>
        </w:tc>
        <w:tc>
          <w:tcPr>
            <w:tcW w:w="1620"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sz w:val="20"/>
                <w:szCs w:val="24"/>
              </w:rPr>
              <w:t>Economic reopening; earnings normalization; recovery optimism</w:t>
            </w:r>
          </w:p>
        </w:tc>
        <w:tc>
          <w:tcPr>
            <w:tcW w:w="1840"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sz w:val="20"/>
                <w:szCs w:val="24"/>
              </w:rPr>
              <w:t>Trend-dominated regime; breaks mark acceleration</w:t>
            </w:r>
          </w:p>
        </w:tc>
        <w:tc>
          <w:tcPr>
            <w:tcW w:w="1728"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sz w:val="20"/>
                <w:szCs w:val="24"/>
              </w:rPr>
              <w:t>Opportunity-led: upside momentum outweighs risk</w:t>
            </w:r>
          </w:p>
        </w:tc>
      </w:tr>
      <w:tr w:rsidR="00C92EC3" w:rsidRPr="0026727D" w:rsidTr="0026727D">
        <w:tc>
          <w:tcPr>
            <w:tcW w:w="1440"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b/>
                <w:bCs/>
                <w:sz w:val="20"/>
                <w:szCs w:val="24"/>
              </w:rPr>
              <w:t>2. Transition &amp; Valuation Saturation</w:t>
            </w:r>
          </w:p>
        </w:tc>
        <w:tc>
          <w:tcPr>
            <w:tcW w:w="990"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sz w:val="20"/>
                <w:szCs w:val="24"/>
              </w:rPr>
              <w:t>Q4-2021 → Q1-2022</w:t>
            </w:r>
          </w:p>
        </w:tc>
        <w:tc>
          <w:tcPr>
            <w:tcW w:w="1260"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sz w:val="20"/>
                <w:szCs w:val="24"/>
              </w:rPr>
              <w:t>Rising Uncertainty</w:t>
            </w:r>
          </w:p>
        </w:tc>
        <w:tc>
          <w:tcPr>
            <w:tcW w:w="1350"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sz w:val="20"/>
                <w:szCs w:val="24"/>
              </w:rPr>
              <w:t>Trend flattens; topping behavior</w:t>
            </w:r>
          </w:p>
        </w:tc>
        <w:tc>
          <w:tcPr>
            <w:tcW w:w="1170"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sz w:val="20"/>
                <w:szCs w:val="24"/>
              </w:rPr>
              <w:t>Rising; early clustering</w:t>
            </w:r>
          </w:p>
        </w:tc>
        <w:tc>
          <w:tcPr>
            <w:tcW w:w="1620"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sz w:val="20"/>
                <w:szCs w:val="24"/>
              </w:rPr>
              <w:t>Inflation concerns; policy tightening expectations</w:t>
            </w:r>
          </w:p>
        </w:tc>
        <w:tc>
          <w:tcPr>
            <w:tcW w:w="1840"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sz w:val="20"/>
                <w:szCs w:val="24"/>
              </w:rPr>
              <w:t>Transitional regime; weakening trend persistence</w:t>
            </w:r>
          </w:p>
        </w:tc>
        <w:tc>
          <w:tcPr>
            <w:tcW w:w="1728"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sz w:val="20"/>
                <w:szCs w:val="24"/>
              </w:rPr>
              <w:t>Balanced: upside narrows, downside asymmetry grows</w:t>
            </w:r>
          </w:p>
        </w:tc>
      </w:tr>
      <w:tr w:rsidR="00C92EC3" w:rsidRPr="0026727D" w:rsidTr="0026727D">
        <w:tc>
          <w:tcPr>
            <w:tcW w:w="1440"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b/>
                <w:bCs/>
                <w:sz w:val="20"/>
                <w:szCs w:val="24"/>
              </w:rPr>
              <w:t>3. Risk-Off &amp; Volatility Expansion</w:t>
            </w:r>
          </w:p>
        </w:tc>
        <w:tc>
          <w:tcPr>
            <w:tcW w:w="990"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sz w:val="20"/>
                <w:szCs w:val="24"/>
              </w:rPr>
              <w:t>Mid-2022 → Mid-2023</w:t>
            </w:r>
          </w:p>
        </w:tc>
        <w:tc>
          <w:tcPr>
            <w:tcW w:w="1260"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sz w:val="20"/>
                <w:szCs w:val="24"/>
              </w:rPr>
              <w:t>Defensive / Risk-Off</w:t>
            </w:r>
          </w:p>
        </w:tc>
        <w:tc>
          <w:tcPr>
            <w:tcW w:w="1350"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sz w:val="20"/>
                <w:szCs w:val="24"/>
              </w:rPr>
              <w:t>Sustained drawdown; lower lows</w:t>
            </w:r>
          </w:p>
        </w:tc>
        <w:tc>
          <w:tcPr>
            <w:tcW w:w="1170"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sz w:val="20"/>
                <w:szCs w:val="24"/>
              </w:rPr>
              <w:t>High and persistent</w:t>
            </w:r>
          </w:p>
        </w:tc>
        <w:tc>
          <w:tcPr>
            <w:tcW w:w="1620"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sz w:val="20"/>
                <w:szCs w:val="24"/>
              </w:rPr>
              <w:t>Monetary tightening; EM risk repricing</w:t>
            </w:r>
          </w:p>
        </w:tc>
        <w:tc>
          <w:tcPr>
            <w:tcW w:w="1840"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sz w:val="20"/>
                <w:szCs w:val="24"/>
              </w:rPr>
              <w:t>Volatility-dominated regime; strong clustering</w:t>
            </w:r>
          </w:p>
        </w:tc>
        <w:tc>
          <w:tcPr>
            <w:tcW w:w="1728"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sz w:val="20"/>
                <w:szCs w:val="24"/>
              </w:rPr>
              <w:t>Risk-dominant: capital preservation prioritized</w:t>
            </w:r>
          </w:p>
        </w:tc>
      </w:tr>
      <w:tr w:rsidR="00C92EC3" w:rsidRPr="0026727D" w:rsidTr="0026727D">
        <w:tc>
          <w:tcPr>
            <w:tcW w:w="1440"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b/>
                <w:bCs/>
                <w:sz w:val="20"/>
                <w:szCs w:val="24"/>
              </w:rPr>
              <w:t>4. Post-Shock Stabilization</w:t>
            </w:r>
          </w:p>
        </w:tc>
        <w:tc>
          <w:tcPr>
            <w:tcW w:w="990"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sz w:val="20"/>
                <w:szCs w:val="24"/>
              </w:rPr>
              <w:t>Late-2023 → Early-2024</w:t>
            </w:r>
          </w:p>
        </w:tc>
        <w:tc>
          <w:tcPr>
            <w:tcW w:w="1260"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sz w:val="20"/>
                <w:szCs w:val="24"/>
              </w:rPr>
              <w:t>Neutral / Compression</w:t>
            </w:r>
          </w:p>
        </w:tc>
        <w:tc>
          <w:tcPr>
            <w:tcW w:w="1350"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sz w:val="20"/>
                <w:szCs w:val="24"/>
              </w:rPr>
              <w:t>Sideways movement; range-bound</w:t>
            </w:r>
          </w:p>
        </w:tc>
        <w:tc>
          <w:tcPr>
            <w:tcW w:w="1170"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sz w:val="20"/>
                <w:szCs w:val="24"/>
              </w:rPr>
              <w:t>Moderating but elevated</w:t>
            </w:r>
          </w:p>
        </w:tc>
        <w:tc>
          <w:tcPr>
            <w:tcW w:w="1620"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sz w:val="20"/>
                <w:szCs w:val="24"/>
              </w:rPr>
              <w:t>Inflation easing; lingering uncertainty</w:t>
            </w:r>
          </w:p>
        </w:tc>
        <w:tc>
          <w:tcPr>
            <w:tcW w:w="1840"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sz w:val="20"/>
                <w:szCs w:val="24"/>
              </w:rPr>
              <w:t>Mean-reverting behavior</w:t>
            </w:r>
          </w:p>
        </w:tc>
        <w:tc>
          <w:tcPr>
            <w:tcW w:w="1728"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sz w:val="20"/>
                <w:szCs w:val="24"/>
              </w:rPr>
              <w:t>Neutral: low conviction, selective exposure</w:t>
            </w:r>
          </w:p>
        </w:tc>
      </w:tr>
      <w:tr w:rsidR="00C92EC3" w:rsidRPr="0026727D" w:rsidTr="0026727D">
        <w:tc>
          <w:tcPr>
            <w:tcW w:w="1440"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b/>
                <w:bCs/>
                <w:sz w:val="20"/>
                <w:szCs w:val="24"/>
              </w:rPr>
              <w:t>5. Fiscal Risk Shock</w:t>
            </w:r>
          </w:p>
        </w:tc>
        <w:tc>
          <w:tcPr>
            <w:tcW w:w="990"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sz w:val="20"/>
                <w:szCs w:val="24"/>
              </w:rPr>
              <w:t>Q2-2024 → Q3-2024</w:t>
            </w:r>
          </w:p>
        </w:tc>
        <w:tc>
          <w:tcPr>
            <w:tcW w:w="1260"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sz w:val="20"/>
                <w:szCs w:val="24"/>
              </w:rPr>
              <w:t>Policy-Driven Risk</w:t>
            </w:r>
          </w:p>
        </w:tc>
        <w:tc>
          <w:tcPr>
            <w:tcW w:w="1350"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sz w:val="20"/>
                <w:szCs w:val="24"/>
              </w:rPr>
              <w:t>Choppy, fragile pricing</w:t>
            </w:r>
          </w:p>
        </w:tc>
        <w:tc>
          <w:tcPr>
            <w:tcW w:w="1170"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sz w:val="20"/>
                <w:szCs w:val="24"/>
              </w:rPr>
              <w:t>Sharp spikes</w:t>
            </w:r>
          </w:p>
        </w:tc>
        <w:tc>
          <w:tcPr>
            <w:tcW w:w="1620"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sz w:val="20"/>
                <w:szCs w:val="24"/>
              </w:rPr>
              <w:t>Fiscal policy uncertainty; social unrest</w:t>
            </w:r>
          </w:p>
        </w:tc>
        <w:tc>
          <w:tcPr>
            <w:tcW w:w="1840"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sz w:val="20"/>
                <w:szCs w:val="24"/>
              </w:rPr>
              <w:t>Exogenous shock regime</w:t>
            </w:r>
          </w:p>
        </w:tc>
        <w:tc>
          <w:tcPr>
            <w:tcW w:w="1728"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sz w:val="20"/>
                <w:szCs w:val="24"/>
              </w:rPr>
              <w:t>Risk-dominant: policy risk overwhelms fundamentals</w:t>
            </w:r>
          </w:p>
        </w:tc>
      </w:tr>
      <w:tr w:rsidR="00C92EC3" w:rsidRPr="0026727D" w:rsidTr="0026727D">
        <w:tc>
          <w:tcPr>
            <w:tcW w:w="1440"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b/>
                <w:bCs/>
                <w:sz w:val="20"/>
                <w:szCs w:val="24"/>
              </w:rPr>
              <w:t>6. Stabilization &amp; Selective Recovery</w:t>
            </w:r>
          </w:p>
        </w:tc>
        <w:tc>
          <w:tcPr>
            <w:tcW w:w="990"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sz w:val="20"/>
                <w:szCs w:val="24"/>
              </w:rPr>
              <w:t>Late-2024 → 2025</w:t>
            </w:r>
          </w:p>
        </w:tc>
        <w:tc>
          <w:tcPr>
            <w:tcW w:w="1260"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sz w:val="20"/>
                <w:szCs w:val="24"/>
              </w:rPr>
              <w:t>Selective Risk-On</w:t>
            </w:r>
          </w:p>
        </w:tc>
        <w:tc>
          <w:tcPr>
            <w:tcW w:w="1350"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sz w:val="20"/>
                <w:szCs w:val="24"/>
              </w:rPr>
              <w:t>Gradual uptrend; higher lows</w:t>
            </w:r>
          </w:p>
        </w:tc>
        <w:tc>
          <w:tcPr>
            <w:tcW w:w="1170"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sz w:val="20"/>
                <w:szCs w:val="24"/>
              </w:rPr>
              <w:t>Falling but episodic</w:t>
            </w:r>
          </w:p>
        </w:tc>
        <w:tc>
          <w:tcPr>
            <w:tcW w:w="1620"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sz w:val="20"/>
                <w:szCs w:val="24"/>
              </w:rPr>
              <w:t>Policy easing; earnings strength; sentiment repair</w:t>
            </w:r>
          </w:p>
        </w:tc>
        <w:tc>
          <w:tcPr>
            <w:tcW w:w="1840"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sz w:val="20"/>
                <w:szCs w:val="24"/>
              </w:rPr>
              <w:t>Early recovery regime</w:t>
            </w:r>
          </w:p>
        </w:tc>
        <w:tc>
          <w:tcPr>
            <w:tcW w:w="1728" w:type="dxa"/>
            <w:hideMark/>
          </w:tcPr>
          <w:p w:rsidR="00C92EC3" w:rsidRPr="00C92EC3" w:rsidRDefault="00C92EC3" w:rsidP="00C92EC3">
            <w:pPr>
              <w:rPr>
                <w:rFonts w:ascii="Times New Roman" w:eastAsia="Times New Roman" w:hAnsi="Times New Roman" w:cs="Times New Roman"/>
                <w:sz w:val="20"/>
                <w:szCs w:val="24"/>
              </w:rPr>
            </w:pPr>
            <w:r>
              <w:rPr>
                <w:rFonts w:ascii="Times New Roman" w:eastAsia="Times New Roman" w:hAnsi="Times New Roman" w:cs="Times New Roman"/>
                <w:sz w:val="20"/>
                <w:szCs w:val="24"/>
              </w:rPr>
              <w:t>Opportunity emerging, risk still priced</w:t>
            </w:r>
          </w:p>
        </w:tc>
      </w:tr>
    </w:tbl>
    <w:p w:rsidR="00B31CB9" w:rsidRDefault="00B31CB9" w:rsidP="005F7DE4">
      <w:pPr>
        <w:pStyle w:val="Heading3"/>
      </w:pPr>
      <w:bookmarkStart w:id="34" w:name="_Toc218670804"/>
    </w:p>
    <w:p w:rsidR="00F8073E" w:rsidRDefault="00F8073E" w:rsidP="005F7DE4">
      <w:pPr>
        <w:pStyle w:val="Heading3"/>
      </w:pPr>
      <w:r>
        <w:t>Regime Analysis — Summary Interpretation</w:t>
      </w:r>
      <w:bookmarkEnd w:id="34"/>
    </w:p>
    <w:p w:rsidR="00F8073E" w:rsidRDefault="00F8073E" w:rsidP="00F8073E">
      <w:pPr>
        <w:pStyle w:val="NormalWeb"/>
      </w:pPr>
      <w:r>
        <w:t>Several key insights emerge from the regime taxonomy:</w:t>
      </w:r>
    </w:p>
    <w:p w:rsidR="00F8073E" w:rsidRDefault="00F8073E" w:rsidP="00F8073E">
      <w:pPr>
        <w:pStyle w:val="NormalWeb"/>
        <w:numPr>
          <w:ilvl w:val="0"/>
          <w:numId w:val="18"/>
        </w:numPr>
      </w:pPr>
      <w:r>
        <w:rPr>
          <w:rStyle w:val="Strong"/>
        </w:rPr>
        <w:t>Safaricom’s market behavior is regime-dependent</w:t>
      </w:r>
      <w:r>
        <w:br/>
        <w:t xml:space="preserve">Returns and volatility behave consistently </w:t>
      </w:r>
      <w:r>
        <w:rPr>
          <w:rStyle w:val="Emphasis"/>
        </w:rPr>
        <w:t>within</w:t>
      </w:r>
      <w:r>
        <w:t xml:space="preserve"> regimes but change sharply </w:t>
      </w:r>
      <w:r>
        <w:rPr>
          <w:rStyle w:val="Emphasis"/>
        </w:rPr>
        <w:t>across</w:t>
      </w:r>
      <w:r>
        <w:t xml:space="preserve"> them. This explains why price forecasting models struggle when applied across the full sample.</w:t>
      </w:r>
    </w:p>
    <w:p w:rsidR="00F8073E" w:rsidRDefault="00F8073E" w:rsidP="00F8073E">
      <w:pPr>
        <w:pStyle w:val="NormalWeb"/>
        <w:numPr>
          <w:ilvl w:val="0"/>
          <w:numId w:val="18"/>
        </w:numPr>
      </w:pPr>
      <w:r>
        <w:rPr>
          <w:rStyle w:val="Strong"/>
        </w:rPr>
        <w:t>Volatility is the dominant persistent feature</w:t>
      </w:r>
      <w:r>
        <w:br/>
        <w:t>While mean returns reset across regimes, volatility exhibits clustering and persistence within regimes — making it a more reliable modeling target.</w:t>
      </w:r>
    </w:p>
    <w:p w:rsidR="00F8073E" w:rsidRDefault="00F8073E" w:rsidP="00F8073E">
      <w:pPr>
        <w:pStyle w:val="NormalWeb"/>
        <w:numPr>
          <w:ilvl w:val="0"/>
          <w:numId w:val="18"/>
        </w:numPr>
      </w:pPr>
      <w:r>
        <w:rPr>
          <w:rStyle w:val="Strong"/>
        </w:rPr>
        <w:t>Risk and opportunity alternate, not coexist evenly</w:t>
      </w:r>
      <w:r>
        <w:br/>
        <w:t xml:space="preserve">Some regimes reward trend-following and exposure (Regimes 1 and 6), while others penalize it (Regimes 3 and 5). Understanding </w:t>
      </w:r>
      <w:r>
        <w:rPr>
          <w:rStyle w:val="Emphasis"/>
        </w:rPr>
        <w:t>which regime the market is in</w:t>
      </w:r>
      <w:r>
        <w:t xml:space="preserve"> is therefore more important than predicting exact price levels.</w:t>
      </w:r>
    </w:p>
    <w:p w:rsidR="00F8073E" w:rsidRDefault="00F8073E" w:rsidP="00F8073E">
      <w:pPr>
        <w:pStyle w:val="NormalWeb"/>
        <w:numPr>
          <w:ilvl w:val="0"/>
          <w:numId w:val="18"/>
        </w:numPr>
      </w:pPr>
      <w:r>
        <w:rPr>
          <w:rStyle w:val="Strong"/>
        </w:rPr>
        <w:t>Structural breaks and regimes are complementary tools</w:t>
      </w:r>
      <w:r>
        <w:br/>
        <w:t xml:space="preserve">Structural breaks identify </w:t>
      </w:r>
      <w:r>
        <w:rPr>
          <w:rStyle w:val="Emphasis"/>
        </w:rPr>
        <w:t>when</w:t>
      </w:r>
      <w:r>
        <w:t xml:space="preserve"> market behavior changes; regimes explain </w:t>
      </w:r>
      <w:r>
        <w:rPr>
          <w:rStyle w:val="Emphasis"/>
        </w:rPr>
        <w:t>how</w:t>
      </w:r>
      <w:r>
        <w:t xml:space="preserve"> it behaves afterward. Together, they provide a coherent framework for market interpretation.</w:t>
      </w:r>
    </w:p>
    <w:p w:rsidR="0040044A" w:rsidRDefault="00E164D9">
      <w:pPr>
        <w:pStyle w:val="NormalWeb"/>
      </w:pPr>
      <w:r>
        <w:rPr>
          <w:rStyle w:val="Strong"/>
        </w:rPr>
        <w:t xml:space="preserve">Note for the modelling phase: </w:t>
      </w:r>
      <w:r>
        <w:t>the qualitative regimes described here will be formalised statistically. A Gaussian Mixture Model identified four volatility regimes as the parsimonious choice, with Markov-switching used to model the transitions between them.</w:t>
      </w:r>
    </w:p>
    <w:p w:rsidR="00C92EC3" w:rsidRDefault="00C92EC3" w:rsidP="006D6BC4">
      <w:pPr>
        <w:pStyle w:val="NormalWeb"/>
        <w:rPr>
          <w:b/>
        </w:rPr>
      </w:pPr>
    </w:p>
    <w:p w:rsidR="00F8073E" w:rsidRDefault="00F8073E" w:rsidP="006D6BC4">
      <w:pPr>
        <w:pStyle w:val="NormalWeb"/>
        <w:rPr>
          <w:b/>
        </w:rPr>
      </w:pPr>
    </w:p>
    <w:p w:rsidR="005F7DE4" w:rsidRDefault="009B79D1" w:rsidP="006D6BC4">
      <w:pPr>
        <w:pStyle w:val="NormalWeb"/>
      </w:pPr>
      <w:r>
        <w:pict>
          <v:rect id="_x0000_i1050" style="width:0;height:1.5pt" o:hralign="center" o:hrstd="t" o:hr="t" fillcolor="#a0a0a0" stroked="f"/>
        </w:pict>
      </w:r>
    </w:p>
    <w:p w:rsidR="00F8073E" w:rsidRPr="00C92EC3" w:rsidRDefault="009B79D1" w:rsidP="006D6BC4">
      <w:pPr>
        <w:pStyle w:val="NormalWeb"/>
        <w:rPr>
          <w:b/>
        </w:rPr>
      </w:pPr>
      <w:r>
        <w:pict>
          <v:rect id="_x0000_i1051" style="width:0;height:1.5pt" o:hralign="center" o:hrstd="t" o:hr="t" fillcolor="#a0a0a0" stroked="f"/>
        </w:pict>
      </w:r>
    </w:p>
    <w:p w:rsidR="00040FD2" w:rsidRDefault="00040FD2" w:rsidP="006D6BC4">
      <w:pPr>
        <w:pStyle w:val="NormalWeb"/>
      </w:pPr>
    </w:p>
    <w:p w:rsidR="005F7DE4" w:rsidRDefault="005F7DE4" w:rsidP="006D6BC4">
      <w:pPr>
        <w:pStyle w:val="NormalWeb"/>
      </w:pPr>
    </w:p>
    <w:p w:rsidR="006D6BC4" w:rsidRDefault="006D6BC4" w:rsidP="00D23ED7">
      <w:pPr>
        <w:pStyle w:val="Heading1"/>
      </w:pPr>
      <w:bookmarkStart w:id="35" w:name="_Toc218670805"/>
      <w:r>
        <w:t>IMPLICATIONS FOR RISK &amp; OPPORTUNITY</w:t>
      </w:r>
      <w:bookmarkEnd w:id="35"/>
    </w:p>
    <w:p w:rsidR="00D23ED7" w:rsidRDefault="00D23ED7" w:rsidP="005F7DE4">
      <w:pPr>
        <w:pStyle w:val="Heading2"/>
      </w:pPr>
      <w:bookmarkStart w:id="36" w:name="_Toc218670806"/>
      <w:r>
        <w:t>Translating Market Behaviour into Investment Insight</w:t>
      </w:r>
      <w:bookmarkEnd w:id="36"/>
    </w:p>
    <w:p w:rsidR="00D23ED7" w:rsidRDefault="00D23ED7" w:rsidP="005F7DE4">
      <w:pPr>
        <w:pStyle w:val="Heading3"/>
      </w:pPr>
      <w:bookmarkStart w:id="37" w:name="_Toc218670807"/>
      <w:r>
        <w:t>1. Reframing the Investment Question</w:t>
      </w:r>
      <w:bookmarkEnd w:id="37"/>
    </w:p>
    <w:p w:rsidR="00D23ED7" w:rsidRDefault="00D23ED7" w:rsidP="00D23ED7">
      <w:pPr>
        <w:pStyle w:val="NormalWeb"/>
      </w:pPr>
      <w:r>
        <w:t xml:space="preserve">The initial objective of this project was to predict Safaricom’s share price. However, as the analysis progressed, the data consistently indicated that </w:t>
      </w:r>
      <w:r>
        <w:rPr>
          <w:rStyle w:val="Strong"/>
        </w:rPr>
        <w:t>price forecasting is not the most reliable way to understand or manage this asset</w:t>
      </w:r>
      <w:r>
        <w:t>.</w:t>
      </w:r>
    </w:p>
    <w:p w:rsidR="00D23ED7" w:rsidRDefault="00D23ED7" w:rsidP="00D23ED7">
      <w:pPr>
        <w:pStyle w:val="NormalWeb"/>
      </w:pPr>
      <w:r>
        <w:t>Instead, the market exhibits:</w:t>
      </w:r>
    </w:p>
    <w:p w:rsidR="00D23ED7" w:rsidRDefault="00D23ED7" w:rsidP="00D23ED7">
      <w:pPr>
        <w:pStyle w:val="NormalWeb"/>
        <w:numPr>
          <w:ilvl w:val="0"/>
          <w:numId w:val="30"/>
        </w:numPr>
      </w:pPr>
      <w:r>
        <w:t xml:space="preserve">Distinct </w:t>
      </w:r>
      <w:r>
        <w:rPr>
          <w:rStyle w:val="Strong"/>
        </w:rPr>
        <w:t>structural breaks</w:t>
      </w:r>
      <w:r>
        <w:t>,</w:t>
      </w:r>
    </w:p>
    <w:p w:rsidR="00D23ED7" w:rsidRDefault="00D23ED7" w:rsidP="00D23ED7">
      <w:pPr>
        <w:pStyle w:val="NormalWeb"/>
        <w:numPr>
          <w:ilvl w:val="0"/>
          <w:numId w:val="30"/>
        </w:numPr>
      </w:pPr>
      <w:r>
        <w:t xml:space="preserve">Persistent </w:t>
      </w:r>
      <w:r>
        <w:rPr>
          <w:rStyle w:val="Strong"/>
        </w:rPr>
        <w:t>behavioral regimes</w:t>
      </w:r>
      <w:r>
        <w:t>, and</w:t>
      </w:r>
    </w:p>
    <w:p w:rsidR="00D23ED7" w:rsidRDefault="00D23ED7" w:rsidP="00D23ED7">
      <w:pPr>
        <w:pStyle w:val="NormalWeb"/>
        <w:numPr>
          <w:ilvl w:val="0"/>
          <w:numId w:val="30"/>
        </w:numPr>
      </w:pPr>
      <w:r>
        <w:t xml:space="preserve">Strong </w:t>
      </w:r>
      <w:r>
        <w:rPr>
          <w:rStyle w:val="Strong"/>
        </w:rPr>
        <w:t>volatility clustering</w:t>
      </w:r>
      <w:r>
        <w:t>.</w:t>
      </w:r>
    </w:p>
    <w:p w:rsidR="00D23ED7" w:rsidRDefault="00D23ED7" w:rsidP="00D23ED7">
      <w:pPr>
        <w:pStyle w:val="NormalWeb"/>
      </w:pPr>
      <w:r>
        <w:t xml:space="preserve">These characteristics suggest that value is created not by predicting </w:t>
      </w:r>
      <w:r>
        <w:rPr>
          <w:rStyle w:val="Emphasis"/>
        </w:rPr>
        <w:t>where price will go</w:t>
      </w:r>
      <w:r>
        <w:t xml:space="preserve">, but by understanding </w:t>
      </w:r>
      <w:r>
        <w:rPr>
          <w:rStyle w:val="Strong"/>
        </w:rPr>
        <w:t>when risk is rising, stabilizing, or being rewarded</w:t>
      </w:r>
      <w:r>
        <w:t>.</w:t>
      </w:r>
    </w:p>
    <w:p w:rsidR="00D23ED7" w:rsidRDefault="00D23ED7" w:rsidP="00D23ED7">
      <w:pPr>
        <w:pStyle w:val="NormalWeb"/>
      </w:pPr>
      <w:r>
        <w:t>The appropriate framing therefore becomes:</w:t>
      </w:r>
    </w:p>
    <w:p w:rsidR="00D23ED7" w:rsidRDefault="00D23ED7" w:rsidP="00D23ED7">
      <w:pPr>
        <w:pStyle w:val="NormalWeb"/>
      </w:pPr>
      <w:r>
        <w:rPr>
          <w:rStyle w:val="Emphasis"/>
        </w:rPr>
        <w:t>What risks are present in the current regime, and how are opportunities priced relative to those risks?</w:t>
      </w:r>
    </w:p>
    <w:p w:rsidR="00D23ED7" w:rsidRDefault="009B79D1" w:rsidP="00D23ED7">
      <w:r>
        <w:pict>
          <v:rect id="_x0000_i1052" style="width:0;height:1.5pt" o:hralign="center" o:hrstd="t" o:hr="t" fillcolor="#a0a0a0" stroked="f"/>
        </w:pict>
      </w:r>
    </w:p>
    <w:p w:rsidR="00D23ED7" w:rsidRDefault="00D23ED7" w:rsidP="005F7DE4">
      <w:pPr>
        <w:pStyle w:val="Heading3"/>
      </w:pPr>
      <w:bookmarkStart w:id="38" w:name="_Toc218670808"/>
      <w:r>
        <w:t>2. Risk Is Regime-Dependent, Not Constant</w:t>
      </w:r>
      <w:bookmarkEnd w:id="38"/>
    </w:p>
    <w:p w:rsidR="00D23ED7" w:rsidRDefault="00D23ED7" w:rsidP="00D23ED7">
      <w:pPr>
        <w:pStyle w:val="NormalWeb"/>
      </w:pPr>
      <w:r>
        <w:t xml:space="preserve">One of the most important findings of this analysis is that </w:t>
      </w:r>
      <w:r>
        <w:rPr>
          <w:rStyle w:val="Strong"/>
        </w:rPr>
        <w:t>risk does not behave uniformly over time</w:t>
      </w:r>
      <w:r>
        <w:t>.</w:t>
      </w:r>
    </w:p>
    <w:p w:rsidR="00D23ED7" w:rsidRDefault="00D23ED7" w:rsidP="00D23ED7">
      <w:pPr>
        <w:pStyle w:val="NormalWeb"/>
      </w:pPr>
      <w:r>
        <w:t>Across regimes:</w:t>
      </w:r>
    </w:p>
    <w:p w:rsidR="00D23ED7" w:rsidRDefault="00D23ED7" w:rsidP="00D23ED7">
      <w:pPr>
        <w:pStyle w:val="NormalWeb"/>
        <w:numPr>
          <w:ilvl w:val="0"/>
          <w:numId w:val="31"/>
        </w:numPr>
      </w:pPr>
      <w:r>
        <w:t>Some periods reward exposure and trend-following</w:t>
      </w:r>
    </w:p>
    <w:p w:rsidR="00D23ED7" w:rsidRDefault="00D23ED7" w:rsidP="00D23ED7">
      <w:pPr>
        <w:pStyle w:val="NormalWeb"/>
        <w:numPr>
          <w:ilvl w:val="0"/>
          <w:numId w:val="31"/>
        </w:numPr>
      </w:pPr>
      <w:r>
        <w:t>Others penalize it regardless of fundamentals</w:t>
      </w:r>
    </w:p>
    <w:p w:rsidR="00D23ED7" w:rsidRDefault="00D23ED7" w:rsidP="00D23ED7">
      <w:pPr>
        <w:pStyle w:val="NormalWeb"/>
        <w:numPr>
          <w:ilvl w:val="0"/>
          <w:numId w:val="31"/>
        </w:numPr>
      </w:pPr>
      <w:r>
        <w:t>Volatility persists within regimes and resets across them</w:t>
      </w:r>
    </w:p>
    <w:p w:rsidR="00D23ED7" w:rsidRDefault="00D23ED7" w:rsidP="00D23ED7">
      <w:pPr>
        <w:pStyle w:val="NormalWeb"/>
      </w:pPr>
      <w:r>
        <w:t>This explains why identical investment strategies can succeed in one period and fail in another.</w:t>
      </w:r>
    </w:p>
    <w:p w:rsidR="00D23ED7" w:rsidRDefault="00D23ED7" w:rsidP="00D23ED7">
      <w:pPr>
        <w:pStyle w:val="Heading3"/>
      </w:pPr>
      <w:bookmarkStart w:id="39" w:name="_Toc218670809"/>
      <w:r>
        <w:t>Key insight</w:t>
      </w:r>
      <w:bookmarkEnd w:id="39"/>
    </w:p>
    <w:p w:rsidR="00D23ED7" w:rsidRDefault="00D23ED7" w:rsidP="00D23ED7">
      <w:pPr>
        <w:pStyle w:val="NormalWeb"/>
      </w:pPr>
      <w:r>
        <w:t xml:space="preserve">Risk should not be assessed in isolation. It must be evaluated </w:t>
      </w:r>
      <w:r>
        <w:rPr>
          <w:rStyle w:val="Strong"/>
        </w:rPr>
        <w:t>relative to the prevailing regime</w:t>
      </w:r>
      <w:r>
        <w:t>.</w:t>
      </w:r>
    </w:p>
    <w:p w:rsidR="00D23ED7" w:rsidRDefault="00D23ED7" w:rsidP="00D23ED7">
      <w:pPr>
        <w:pStyle w:val="NormalWeb"/>
      </w:pPr>
      <w:r>
        <w:rPr>
          <w:rStyle w:val="Emphasis"/>
        </w:rPr>
        <w:t>Supporting visuals</w:t>
      </w:r>
      <w:r>
        <w:t>:</w:t>
      </w:r>
    </w:p>
    <w:p w:rsidR="00D23ED7" w:rsidRDefault="00D23ED7" w:rsidP="00D23ED7">
      <w:pPr>
        <w:pStyle w:val="NormalWeb"/>
        <w:numPr>
          <w:ilvl w:val="0"/>
          <w:numId w:val="32"/>
        </w:numPr>
      </w:pPr>
      <w:r>
        <w:t>Regime-shaded price chart</w:t>
      </w:r>
    </w:p>
    <w:p w:rsidR="00D23ED7" w:rsidRDefault="00D23ED7" w:rsidP="00D23ED7">
      <w:pPr>
        <w:pStyle w:val="NormalWeb"/>
        <w:numPr>
          <w:ilvl w:val="0"/>
          <w:numId w:val="32"/>
        </w:numPr>
      </w:pPr>
      <w:r>
        <w:t>Rolling volatility with regime shading</w:t>
      </w:r>
    </w:p>
    <w:p w:rsidR="00D23ED7" w:rsidRDefault="009B79D1" w:rsidP="00D23ED7">
      <w:r>
        <w:pict>
          <v:rect id="_x0000_i1053" style="width:0;height:1.5pt" o:hralign="center" o:hrstd="t" o:hr="t" fillcolor="#a0a0a0" stroked="f"/>
        </w:pict>
      </w:r>
    </w:p>
    <w:p w:rsidR="00D23ED7" w:rsidRDefault="00D23ED7" w:rsidP="005F7DE4">
      <w:pPr>
        <w:pStyle w:val="Heading3"/>
      </w:pPr>
      <w:bookmarkStart w:id="40" w:name="_Toc218670810"/>
      <w:r>
        <w:t>3. Opportunity Emerges When Volatility Is Priced, Not Ignored</w:t>
      </w:r>
      <w:bookmarkEnd w:id="40"/>
    </w:p>
    <w:p w:rsidR="00D23ED7" w:rsidRDefault="00D23ED7" w:rsidP="00D23ED7">
      <w:pPr>
        <w:pStyle w:val="NormalWeb"/>
      </w:pPr>
      <w:r>
        <w:t xml:space="preserve">Opportunity in Safaricom’s stock does </w:t>
      </w:r>
      <w:r>
        <w:rPr>
          <w:rStyle w:val="Strong"/>
        </w:rPr>
        <w:t>not</w:t>
      </w:r>
      <w:r>
        <w:t xml:space="preserve"> consistently arise during periods of low volatility or strong price growth.</w:t>
      </w:r>
    </w:p>
    <w:p w:rsidR="00D23ED7" w:rsidRDefault="00D23ED7" w:rsidP="00D23ED7">
      <w:pPr>
        <w:pStyle w:val="NormalWeb"/>
      </w:pPr>
      <w:r>
        <w:t>Instead, opportunity tends to emerge when:</w:t>
      </w:r>
    </w:p>
    <w:p w:rsidR="00D23ED7" w:rsidRDefault="00D23ED7" w:rsidP="00D23ED7">
      <w:pPr>
        <w:pStyle w:val="NormalWeb"/>
        <w:numPr>
          <w:ilvl w:val="0"/>
          <w:numId w:val="33"/>
        </w:numPr>
      </w:pPr>
      <w:r>
        <w:t>Volatility has already expanded,</w:t>
      </w:r>
    </w:p>
    <w:p w:rsidR="00D23ED7" w:rsidRDefault="00D23ED7" w:rsidP="00D23ED7">
      <w:pPr>
        <w:pStyle w:val="NormalWeb"/>
        <w:numPr>
          <w:ilvl w:val="0"/>
          <w:numId w:val="33"/>
        </w:numPr>
      </w:pPr>
      <w:r>
        <w:t>Structural repricing has occurred,</w:t>
      </w:r>
    </w:p>
    <w:p w:rsidR="00D23ED7" w:rsidRDefault="00D23ED7" w:rsidP="00D23ED7">
      <w:pPr>
        <w:pStyle w:val="NormalWeb"/>
        <w:numPr>
          <w:ilvl w:val="0"/>
          <w:numId w:val="33"/>
        </w:numPr>
      </w:pPr>
      <w:r>
        <w:t>And uncertainty begins to stabilize.</w:t>
      </w:r>
    </w:p>
    <w:p w:rsidR="00D23ED7" w:rsidRDefault="00D23ED7" w:rsidP="00D23ED7">
      <w:pPr>
        <w:pStyle w:val="NormalWeb"/>
      </w:pPr>
      <w:r>
        <w:t>This pattern is visible in:</w:t>
      </w:r>
    </w:p>
    <w:p w:rsidR="00D23ED7" w:rsidRDefault="00D23ED7" w:rsidP="00D23ED7">
      <w:pPr>
        <w:pStyle w:val="NormalWeb"/>
        <w:numPr>
          <w:ilvl w:val="0"/>
          <w:numId w:val="34"/>
        </w:numPr>
      </w:pPr>
      <w:r>
        <w:t>Post-crisis recovery phases</w:t>
      </w:r>
    </w:p>
    <w:p w:rsidR="00D23ED7" w:rsidRDefault="00D23ED7" w:rsidP="00D23ED7">
      <w:pPr>
        <w:pStyle w:val="NormalWeb"/>
        <w:numPr>
          <w:ilvl w:val="0"/>
          <w:numId w:val="34"/>
        </w:numPr>
      </w:pPr>
      <w:r>
        <w:t>Post-shock stabilization regimes</w:t>
      </w:r>
    </w:p>
    <w:p w:rsidR="00D23ED7" w:rsidRDefault="00D23ED7" w:rsidP="00D23ED7">
      <w:pPr>
        <w:pStyle w:val="NormalWeb"/>
        <w:numPr>
          <w:ilvl w:val="0"/>
          <w:numId w:val="34"/>
        </w:numPr>
      </w:pPr>
      <w:r>
        <w:t>Early recovery periods following fiscal or macro stress</w:t>
      </w:r>
    </w:p>
    <w:p w:rsidR="00D23ED7" w:rsidRDefault="00D23ED7" w:rsidP="00D23ED7">
      <w:pPr>
        <w:pStyle w:val="NormalWeb"/>
      </w:pPr>
      <w:r>
        <w:t xml:space="preserve">In these regimes, risk remains present — but it is </w:t>
      </w:r>
      <w:r>
        <w:rPr>
          <w:rStyle w:val="Strong"/>
        </w:rPr>
        <w:t>explicitly priced</w:t>
      </w:r>
      <w:r>
        <w:t>, allowing selective upside to reappear.</w:t>
      </w:r>
    </w:p>
    <w:p w:rsidR="00D23ED7" w:rsidRDefault="00D23ED7" w:rsidP="00D23ED7">
      <w:pPr>
        <w:pStyle w:val="Heading3"/>
      </w:pPr>
      <w:bookmarkStart w:id="41" w:name="_Toc218670811"/>
      <w:r>
        <w:t>Key insight</w:t>
      </w:r>
      <w:bookmarkEnd w:id="41"/>
    </w:p>
    <w:p w:rsidR="00D23ED7" w:rsidRDefault="00D23ED7" w:rsidP="00D23ED7">
      <w:pPr>
        <w:pStyle w:val="NormalWeb"/>
      </w:pPr>
      <w:r>
        <w:t xml:space="preserve">Opportunity is asymmetrical: it appears </w:t>
      </w:r>
      <w:r>
        <w:rPr>
          <w:rStyle w:val="Strong"/>
        </w:rPr>
        <w:t>after</w:t>
      </w:r>
      <w:r>
        <w:t xml:space="preserve"> risk is recognized, not before.</w:t>
      </w:r>
    </w:p>
    <w:p w:rsidR="00D23ED7" w:rsidRDefault="00D23ED7" w:rsidP="00D23ED7">
      <w:pPr>
        <w:pStyle w:val="NormalWeb"/>
      </w:pPr>
      <w:r>
        <w:rPr>
          <w:rStyle w:val="Emphasis"/>
        </w:rPr>
        <w:t>Supporting visuals</w:t>
      </w:r>
      <w:r>
        <w:t>:</w:t>
      </w:r>
    </w:p>
    <w:p w:rsidR="00D23ED7" w:rsidRDefault="00D23ED7" w:rsidP="00D23ED7">
      <w:pPr>
        <w:pStyle w:val="NormalWeb"/>
        <w:numPr>
          <w:ilvl w:val="0"/>
          <w:numId w:val="35"/>
        </w:numPr>
      </w:pPr>
      <w:r>
        <w:t>Squared log returns time series</w:t>
      </w:r>
    </w:p>
    <w:p w:rsidR="00D23ED7" w:rsidRDefault="00D23ED7" w:rsidP="00D23ED7">
      <w:pPr>
        <w:pStyle w:val="NormalWeb"/>
        <w:numPr>
          <w:ilvl w:val="0"/>
          <w:numId w:val="35"/>
        </w:numPr>
      </w:pPr>
      <w:r>
        <w:t>ACF of squared log returns</w:t>
      </w:r>
    </w:p>
    <w:p w:rsidR="00D23ED7" w:rsidRDefault="009B79D1" w:rsidP="00D23ED7">
      <w:r>
        <w:pict>
          <v:rect id="_x0000_i1054" style="width:0;height:1.5pt" o:hralign="center" o:hrstd="t" o:hr="t" fillcolor="#a0a0a0" stroked="f"/>
        </w:pict>
      </w:r>
    </w:p>
    <w:p w:rsidR="00D23ED7" w:rsidRDefault="00D23ED7" w:rsidP="005F7DE4">
      <w:pPr>
        <w:pStyle w:val="Heading3"/>
      </w:pPr>
      <w:bookmarkStart w:id="42" w:name="_Toc218670812"/>
      <w:r>
        <w:t>4. Regime-Specific Risk vs. Opportunity Mapping</w:t>
      </w:r>
      <w:bookmarkEnd w:id="42"/>
    </w:p>
    <w:p w:rsidR="00D23ED7" w:rsidRDefault="00D23ED7" w:rsidP="00D23ED7">
      <w:pPr>
        <w:pStyle w:val="NormalWeb"/>
      </w:pPr>
      <w:r>
        <w:t>The table below translates analytical findings into decision-oriented insight.</w:t>
      </w:r>
    </w:p>
    <w:p w:rsidR="00D23ED7" w:rsidRDefault="00D23ED7" w:rsidP="00D23ED7">
      <w:pPr>
        <w:pStyle w:val="Heading3"/>
      </w:pPr>
      <w:bookmarkStart w:id="43" w:name="_Toc218670813"/>
      <w:r>
        <w:t>Risk vs. Opportunity by Regime</w:t>
      </w:r>
      <w:bookmarkEnd w:id="43"/>
    </w:p>
    <w:tbl>
      <w:tblPr>
        <w:tblStyle w:val="TableGrid"/>
        <w:tblW w:w="0" w:type="auto"/>
        <w:tblLook w:val="04A0" w:firstRow="1" w:lastRow="0" w:firstColumn="1" w:lastColumn="0" w:noHBand="0" w:noVBand="1"/>
      </w:tblPr>
      <w:tblGrid>
        <w:gridCol w:w="2661"/>
        <w:gridCol w:w="2020"/>
        <w:gridCol w:w="1996"/>
        <w:gridCol w:w="2551"/>
      </w:tblGrid>
      <w:tr w:rsidR="00D23ED7" w:rsidTr="00D23ED7">
        <w:tc>
          <w:tcPr>
            <w:tcW w:w="0" w:type="auto"/>
            <w:hideMark/>
          </w:tcPr>
          <w:p w:rsidR="00D23ED7" w:rsidRDefault="00D23ED7">
            <w:pPr>
              <w:jc w:val="center"/>
              <w:rPr>
                <w:b/>
                <w:bCs/>
              </w:rPr>
            </w:pPr>
            <w:r>
              <w:rPr>
                <w:b/>
                <w:bCs/>
              </w:rPr>
              <w:t>Regime</w:t>
            </w:r>
          </w:p>
        </w:tc>
        <w:tc>
          <w:tcPr>
            <w:tcW w:w="0" w:type="auto"/>
            <w:hideMark/>
          </w:tcPr>
          <w:p w:rsidR="00D23ED7" w:rsidRDefault="00D23ED7">
            <w:pPr>
              <w:jc w:val="center"/>
              <w:rPr>
                <w:b/>
                <w:bCs/>
              </w:rPr>
            </w:pPr>
            <w:r>
              <w:rPr>
                <w:b/>
                <w:bCs/>
              </w:rPr>
              <w:t>Risk Profile</w:t>
            </w:r>
          </w:p>
        </w:tc>
        <w:tc>
          <w:tcPr>
            <w:tcW w:w="0" w:type="auto"/>
            <w:hideMark/>
          </w:tcPr>
          <w:p w:rsidR="00D23ED7" w:rsidRDefault="00D23ED7">
            <w:pPr>
              <w:jc w:val="center"/>
              <w:rPr>
                <w:b/>
                <w:bCs/>
              </w:rPr>
            </w:pPr>
            <w:r>
              <w:rPr>
                <w:b/>
                <w:bCs/>
              </w:rPr>
              <w:t>Opportunity Profile</w:t>
            </w:r>
          </w:p>
        </w:tc>
        <w:tc>
          <w:tcPr>
            <w:tcW w:w="0" w:type="auto"/>
            <w:hideMark/>
          </w:tcPr>
          <w:p w:rsidR="00D23ED7" w:rsidRDefault="00D23ED7">
            <w:pPr>
              <w:jc w:val="center"/>
              <w:rPr>
                <w:b/>
                <w:bCs/>
              </w:rPr>
            </w:pPr>
            <w:r>
              <w:rPr>
                <w:b/>
                <w:bCs/>
              </w:rPr>
              <w:t>Strategic Interpretation</w:t>
            </w:r>
          </w:p>
        </w:tc>
      </w:tr>
      <w:tr w:rsidR="00D23ED7" w:rsidTr="00D23ED7">
        <w:tc>
          <w:tcPr>
            <w:tcW w:w="0" w:type="auto"/>
            <w:hideMark/>
          </w:tcPr>
          <w:p w:rsidR="00D23ED7" w:rsidRDefault="00D23ED7">
            <w:r>
              <w:t>Post-Crisis Recovery</w:t>
            </w:r>
          </w:p>
        </w:tc>
        <w:tc>
          <w:tcPr>
            <w:tcW w:w="0" w:type="auto"/>
            <w:hideMark/>
          </w:tcPr>
          <w:p w:rsidR="00D23ED7" w:rsidRDefault="00D23ED7">
            <w:r>
              <w:t>Moderate, declining</w:t>
            </w:r>
          </w:p>
        </w:tc>
        <w:tc>
          <w:tcPr>
            <w:tcW w:w="0" w:type="auto"/>
            <w:hideMark/>
          </w:tcPr>
          <w:p w:rsidR="00D23ED7" w:rsidRDefault="00D23ED7">
            <w:r>
              <w:t>High</w:t>
            </w:r>
          </w:p>
        </w:tc>
        <w:tc>
          <w:tcPr>
            <w:tcW w:w="0" w:type="auto"/>
            <w:hideMark/>
          </w:tcPr>
          <w:p w:rsidR="00D23ED7" w:rsidRDefault="00D23ED7">
            <w:r>
              <w:t>Trend-following rewarded</w:t>
            </w:r>
          </w:p>
        </w:tc>
      </w:tr>
      <w:tr w:rsidR="00D23ED7" w:rsidTr="00D23ED7">
        <w:tc>
          <w:tcPr>
            <w:tcW w:w="0" w:type="auto"/>
            <w:hideMark/>
          </w:tcPr>
          <w:p w:rsidR="00D23ED7" w:rsidRDefault="00D23ED7">
            <w:r>
              <w:t>Transition / Saturation</w:t>
            </w:r>
          </w:p>
        </w:tc>
        <w:tc>
          <w:tcPr>
            <w:tcW w:w="0" w:type="auto"/>
            <w:hideMark/>
          </w:tcPr>
          <w:p w:rsidR="00D23ED7" w:rsidRDefault="00D23ED7">
            <w:r>
              <w:t>Rising, asymmetric</w:t>
            </w:r>
          </w:p>
        </w:tc>
        <w:tc>
          <w:tcPr>
            <w:tcW w:w="0" w:type="auto"/>
            <w:hideMark/>
          </w:tcPr>
          <w:p w:rsidR="00D23ED7" w:rsidRDefault="00D23ED7">
            <w:r>
              <w:t>Narrowing</w:t>
            </w:r>
          </w:p>
        </w:tc>
        <w:tc>
          <w:tcPr>
            <w:tcW w:w="0" w:type="auto"/>
            <w:hideMark/>
          </w:tcPr>
          <w:p w:rsidR="00D23ED7" w:rsidRDefault="00D23ED7">
            <w:r>
              <w:t>Caution warranted</w:t>
            </w:r>
          </w:p>
        </w:tc>
      </w:tr>
      <w:tr w:rsidR="00D23ED7" w:rsidTr="00D23ED7">
        <w:tc>
          <w:tcPr>
            <w:tcW w:w="0" w:type="auto"/>
            <w:hideMark/>
          </w:tcPr>
          <w:p w:rsidR="00D23ED7" w:rsidRDefault="00D23ED7">
            <w:r>
              <w:t>Risk-Off Expansion</w:t>
            </w:r>
          </w:p>
        </w:tc>
        <w:tc>
          <w:tcPr>
            <w:tcW w:w="0" w:type="auto"/>
            <w:hideMark/>
          </w:tcPr>
          <w:p w:rsidR="00D23ED7" w:rsidRDefault="00D23ED7">
            <w:r>
              <w:t>High, persistent</w:t>
            </w:r>
          </w:p>
        </w:tc>
        <w:tc>
          <w:tcPr>
            <w:tcW w:w="0" w:type="auto"/>
            <w:hideMark/>
          </w:tcPr>
          <w:p w:rsidR="00D23ED7" w:rsidRDefault="00D23ED7">
            <w:r>
              <w:t>Low</w:t>
            </w:r>
          </w:p>
        </w:tc>
        <w:tc>
          <w:tcPr>
            <w:tcW w:w="0" w:type="auto"/>
            <w:hideMark/>
          </w:tcPr>
          <w:p w:rsidR="00D23ED7" w:rsidRDefault="00D23ED7">
            <w:r>
              <w:t>Capital preservation</w:t>
            </w:r>
          </w:p>
        </w:tc>
      </w:tr>
      <w:tr w:rsidR="00D23ED7" w:rsidTr="00D23ED7">
        <w:tc>
          <w:tcPr>
            <w:tcW w:w="0" w:type="auto"/>
            <w:hideMark/>
          </w:tcPr>
          <w:p w:rsidR="00D23ED7" w:rsidRDefault="00D23ED7">
            <w:r>
              <w:t>Stabilization / Compression</w:t>
            </w:r>
          </w:p>
        </w:tc>
        <w:tc>
          <w:tcPr>
            <w:tcW w:w="0" w:type="auto"/>
            <w:hideMark/>
          </w:tcPr>
          <w:p w:rsidR="00D23ED7" w:rsidRDefault="00D23ED7">
            <w:r>
              <w:t>Moderate</w:t>
            </w:r>
          </w:p>
        </w:tc>
        <w:tc>
          <w:tcPr>
            <w:tcW w:w="0" w:type="auto"/>
            <w:hideMark/>
          </w:tcPr>
          <w:p w:rsidR="00D23ED7" w:rsidRDefault="00D23ED7">
            <w:r>
              <w:t>Selective</w:t>
            </w:r>
          </w:p>
        </w:tc>
        <w:tc>
          <w:tcPr>
            <w:tcW w:w="0" w:type="auto"/>
            <w:hideMark/>
          </w:tcPr>
          <w:p w:rsidR="00D23ED7" w:rsidRDefault="00D23ED7">
            <w:r>
              <w:t>Tactical positioning</w:t>
            </w:r>
          </w:p>
        </w:tc>
      </w:tr>
      <w:tr w:rsidR="00D23ED7" w:rsidTr="00D23ED7">
        <w:tc>
          <w:tcPr>
            <w:tcW w:w="0" w:type="auto"/>
            <w:hideMark/>
          </w:tcPr>
          <w:p w:rsidR="00D23ED7" w:rsidRDefault="00D23ED7">
            <w:r>
              <w:t>Fiscal Risk Shock</w:t>
            </w:r>
          </w:p>
        </w:tc>
        <w:tc>
          <w:tcPr>
            <w:tcW w:w="0" w:type="auto"/>
            <w:hideMark/>
          </w:tcPr>
          <w:p w:rsidR="00D23ED7" w:rsidRDefault="00D23ED7">
            <w:r>
              <w:t>High, exogenous</w:t>
            </w:r>
          </w:p>
        </w:tc>
        <w:tc>
          <w:tcPr>
            <w:tcW w:w="0" w:type="auto"/>
            <w:hideMark/>
          </w:tcPr>
          <w:p w:rsidR="00D23ED7" w:rsidRDefault="00D23ED7">
            <w:r>
              <w:t>Low</w:t>
            </w:r>
          </w:p>
        </w:tc>
        <w:tc>
          <w:tcPr>
            <w:tcW w:w="0" w:type="auto"/>
            <w:hideMark/>
          </w:tcPr>
          <w:p w:rsidR="00D23ED7" w:rsidRDefault="00D23ED7">
            <w:r>
              <w:t>Policy risk dominates</w:t>
            </w:r>
          </w:p>
        </w:tc>
      </w:tr>
      <w:tr w:rsidR="00D23ED7" w:rsidTr="00D23ED7">
        <w:tc>
          <w:tcPr>
            <w:tcW w:w="0" w:type="auto"/>
            <w:hideMark/>
          </w:tcPr>
          <w:p w:rsidR="00D23ED7" w:rsidRDefault="00D23ED7">
            <w:r>
              <w:t>Selective Recovery</w:t>
            </w:r>
          </w:p>
        </w:tc>
        <w:tc>
          <w:tcPr>
            <w:tcW w:w="0" w:type="auto"/>
            <w:hideMark/>
          </w:tcPr>
          <w:p w:rsidR="00D23ED7" w:rsidRDefault="00D23ED7">
            <w:r>
              <w:t>Falling but episodic</w:t>
            </w:r>
          </w:p>
        </w:tc>
        <w:tc>
          <w:tcPr>
            <w:tcW w:w="0" w:type="auto"/>
            <w:hideMark/>
          </w:tcPr>
          <w:p w:rsidR="00D23ED7" w:rsidRDefault="00D23ED7">
            <w:r>
              <w:t>Improving</w:t>
            </w:r>
          </w:p>
        </w:tc>
        <w:tc>
          <w:tcPr>
            <w:tcW w:w="0" w:type="auto"/>
            <w:hideMark/>
          </w:tcPr>
          <w:p w:rsidR="00D23ED7" w:rsidRDefault="00D23ED7">
            <w:r>
              <w:t>Risk-adjusted opportunity</w:t>
            </w:r>
          </w:p>
        </w:tc>
      </w:tr>
    </w:tbl>
    <w:p w:rsidR="00D23ED7" w:rsidRDefault="009B79D1" w:rsidP="00D23ED7">
      <w:r>
        <w:pict>
          <v:rect id="_x0000_i1055" style="width:0;height:1.5pt" o:hralign="center" o:hrstd="t" o:hr="t" fillcolor="#a0a0a0" stroked="f"/>
        </w:pict>
      </w:r>
    </w:p>
    <w:p w:rsidR="00D23ED7" w:rsidRDefault="00D23ED7" w:rsidP="005F7DE4">
      <w:pPr>
        <w:pStyle w:val="Heading3"/>
      </w:pPr>
      <w:bookmarkStart w:id="44" w:name="_Toc218670814"/>
      <w:r>
        <w:t>5. Why Volatility Is the Correct Focus Going Forward</w:t>
      </w:r>
      <w:bookmarkEnd w:id="44"/>
    </w:p>
    <w:p w:rsidR="00D23ED7" w:rsidRDefault="00D23ED7" w:rsidP="00D23ED7">
      <w:pPr>
        <w:pStyle w:val="NormalWeb"/>
      </w:pPr>
      <w:r>
        <w:t>The empirical evidence shows that:</w:t>
      </w:r>
    </w:p>
    <w:p w:rsidR="00D23ED7" w:rsidRDefault="00D23ED7" w:rsidP="00D23ED7">
      <w:pPr>
        <w:pStyle w:val="NormalWeb"/>
        <w:numPr>
          <w:ilvl w:val="0"/>
          <w:numId w:val="36"/>
        </w:numPr>
      </w:pPr>
      <w:r>
        <w:t>Returns are largely unpredictable</w:t>
      </w:r>
    </w:p>
    <w:p w:rsidR="00D23ED7" w:rsidRDefault="00D23ED7" w:rsidP="00D23ED7">
      <w:pPr>
        <w:pStyle w:val="NormalWeb"/>
        <w:numPr>
          <w:ilvl w:val="0"/>
          <w:numId w:val="36"/>
        </w:numPr>
      </w:pPr>
      <w:r>
        <w:t>Price levels reflect regime accumulation</w:t>
      </w:r>
    </w:p>
    <w:p w:rsidR="00D23ED7" w:rsidRDefault="00D23ED7" w:rsidP="00D23ED7">
      <w:pPr>
        <w:pStyle w:val="NormalWeb"/>
        <w:numPr>
          <w:ilvl w:val="0"/>
          <w:numId w:val="36"/>
        </w:numPr>
      </w:pPr>
      <w:r>
        <w:t>Volatility exhibits persistence and structure</w:t>
      </w:r>
    </w:p>
    <w:p w:rsidR="00D23ED7" w:rsidRDefault="00D23ED7" w:rsidP="00D23ED7">
      <w:pPr>
        <w:pStyle w:val="NormalWeb"/>
      </w:pPr>
      <w:r>
        <w:t xml:space="preserve">This makes volatility the </w:t>
      </w:r>
      <w:r>
        <w:rPr>
          <w:rStyle w:val="Strong"/>
        </w:rPr>
        <w:t>most stable and informative feature</w:t>
      </w:r>
      <w:r>
        <w:t xml:space="preserve"> of the asset.</w:t>
      </w:r>
    </w:p>
    <w:p w:rsidR="00D23ED7" w:rsidRDefault="00D23ED7" w:rsidP="00D23ED7">
      <w:pPr>
        <w:pStyle w:val="NormalWeb"/>
      </w:pPr>
      <w:r>
        <w:t>From a risk management perspective, volatility:</w:t>
      </w:r>
    </w:p>
    <w:p w:rsidR="00D23ED7" w:rsidRDefault="00D23ED7" w:rsidP="00D23ED7">
      <w:pPr>
        <w:pStyle w:val="NormalWeb"/>
        <w:numPr>
          <w:ilvl w:val="0"/>
          <w:numId w:val="37"/>
        </w:numPr>
      </w:pPr>
      <w:r>
        <w:t>Signals regime transitions earlier than price</w:t>
      </w:r>
    </w:p>
    <w:p w:rsidR="00D23ED7" w:rsidRDefault="00D23ED7" w:rsidP="00D23ED7">
      <w:pPr>
        <w:pStyle w:val="NormalWeb"/>
        <w:numPr>
          <w:ilvl w:val="0"/>
          <w:numId w:val="37"/>
        </w:numPr>
      </w:pPr>
      <w:r>
        <w:t>Quantifies uncertainty in real time</w:t>
      </w:r>
    </w:p>
    <w:p w:rsidR="00D23ED7" w:rsidRDefault="00D23ED7" w:rsidP="00D23ED7">
      <w:pPr>
        <w:pStyle w:val="NormalWeb"/>
        <w:numPr>
          <w:ilvl w:val="0"/>
          <w:numId w:val="37"/>
        </w:numPr>
      </w:pPr>
      <w:r>
        <w:t>Can be modeled conditionally within regimes</w:t>
      </w:r>
    </w:p>
    <w:p w:rsidR="00D23ED7" w:rsidRDefault="00D23ED7" w:rsidP="00D23ED7">
      <w:pPr>
        <w:pStyle w:val="NormalWeb"/>
      </w:pPr>
      <w:r>
        <w:t xml:space="preserve">As a result, volatility modeling is not an academic extension of this work — it is the </w:t>
      </w:r>
      <w:r>
        <w:rPr>
          <w:rStyle w:val="Strong"/>
        </w:rPr>
        <w:t>natural next step</w:t>
      </w:r>
      <w:r>
        <w:t>.</w:t>
      </w:r>
    </w:p>
    <w:p w:rsidR="00D23ED7" w:rsidRDefault="009B79D1" w:rsidP="00D23ED7">
      <w:r>
        <w:pict>
          <v:rect id="_x0000_i1056" style="width:0;height:1.5pt" o:hralign="center" o:hrstd="t" o:hr="t" fillcolor="#a0a0a0" stroked="f"/>
        </w:pict>
      </w:r>
    </w:p>
    <w:p w:rsidR="00D23ED7" w:rsidRDefault="00D23ED7" w:rsidP="005F7DE4">
      <w:pPr>
        <w:pStyle w:val="Heading3"/>
      </w:pPr>
      <w:bookmarkStart w:id="45" w:name="_Toc218670815"/>
      <w:r>
        <w:t>6. What This Means for Investors</w:t>
      </w:r>
      <w:bookmarkEnd w:id="45"/>
    </w:p>
    <w:p w:rsidR="00D23ED7" w:rsidRDefault="00D23ED7" w:rsidP="00D23ED7">
      <w:pPr>
        <w:pStyle w:val="NormalWeb"/>
      </w:pPr>
      <w:r>
        <w:t>Based on the findings thus far:</w:t>
      </w:r>
    </w:p>
    <w:p w:rsidR="00D23ED7" w:rsidRDefault="00D23ED7" w:rsidP="00D23ED7">
      <w:pPr>
        <w:pStyle w:val="NormalWeb"/>
        <w:numPr>
          <w:ilvl w:val="0"/>
          <w:numId w:val="38"/>
        </w:numPr>
      </w:pPr>
      <w:r>
        <w:t xml:space="preserve">Safaricom is </w:t>
      </w:r>
      <w:r>
        <w:rPr>
          <w:rStyle w:val="Strong"/>
        </w:rPr>
        <w:t>not a smooth trend asset</w:t>
      </w:r>
    </w:p>
    <w:p w:rsidR="00D23ED7" w:rsidRDefault="00D23ED7" w:rsidP="00D23ED7">
      <w:pPr>
        <w:pStyle w:val="NormalWeb"/>
        <w:numPr>
          <w:ilvl w:val="0"/>
          <w:numId w:val="38"/>
        </w:numPr>
      </w:pPr>
      <w:r>
        <w:t xml:space="preserve">It is a </w:t>
      </w:r>
      <w:r>
        <w:rPr>
          <w:rStyle w:val="Strong"/>
        </w:rPr>
        <w:t>regime-driven asset</w:t>
      </w:r>
    </w:p>
    <w:p w:rsidR="00D23ED7" w:rsidRDefault="00D23ED7" w:rsidP="00D23ED7">
      <w:pPr>
        <w:pStyle w:val="NormalWeb"/>
        <w:numPr>
          <w:ilvl w:val="0"/>
          <w:numId w:val="38"/>
        </w:numPr>
      </w:pPr>
      <w:r>
        <w:t xml:space="preserve">Risk is </w:t>
      </w:r>
      <w:r>
        <w:rPr>
          <w:rStyle w:val="Strong"/>
        </w:rPr>
        <w:t>episodic and persistent</w:t>
      </w:r>
    </w:p>
    <w:p w:rsidR="00D23ED7" w:rsidRDefault="00D23ED7" w:rsidP="00D23ED7">
      <w:pPr>
        <w:pStyle w:val="NormalWeb"/>
        <w:numPr>
          <w:ilvl w:val="0"/>
          <w:numId w:val="38"/>
        </w:numPr>
      </w:pPr>
      <w:r>
        <w:t xml:space="preserve">Opportunity is </w:t>
      </w:r>
      <w:r>
        <w:rPr>
          <w:rStyle w:val="Strong"/>
        </w:rPr>
        <w:t>conditional and timing-dependent</w:t>
      </w:r>
    </w:p>
    <w:p w:rsidR="00D23ED7" w:rsidRDefault="00D23ED7" w:rsidP="00D23ED7">
      <w:pPr>
        <w:pStyle w:val="NormalWeb"/>
      </w:pPr>
      <w:r>
        <w:t>Successful engagement with this stock therefore requires:</w:t>
      </w:r>
    </w:p>
    <w:p w:rsidR="00D23ED7" w:rsidRDefault="00D23ED7" w:rsidP="00D23ED7">
      <w:pPr>
        <w:pStyle w:val="NormalWeb"/>
        <w:numPr>
          <w:ilvl w:val="0"/>
          <w:numId w:val="39"/>
        </w:numPr>
      </w:pPr>
      <w:r>
        <w:t>Regime awareness</w:t>
      </w:r>
    </w:p>
    <w:p w:rsidR="00D23ED7" w:rsidRDefault="00D23ED7" w:rsidP="00D23ED7">
      <w:pPr>
        <w:pStyle w:val="NormalWeb"/>
        <w:numPr>
          <w:ilvl w:val="0"/>
          <w:numId w:val="39"/>
        </w:numPr>
      </w:pPr>
      <w:r>
        <w:t>Volatility sensitivity</w:t>
      </w:r>
    </w:p>
    <w:p w:rsidR="00D23ED7" w:rsidRDefault="00D23ED7" w:rsidP="00D23ED7">
      <w:pPr>
        <w:pStyle w:val="NormalWeb"/>
        <w:numPr>
          <w:ilvl w:val="0"/>
          <w:numId w:val="39"/>
        </w:numPr>
      </w:pPr>
      <w:r>
        <w:t>Risk-adjusted positioning</w:t>
      </w:r>
    </w:p>
    <w:p w:rsidR="00D23ED7" w:rsidRDefault="00D23ED7" w:rsidP="00D23ED7">
      <w:pPr>
        <w:pStyle w:val="NormalWeb"/>
      </w:pPr>
      <w:r>
        <w:t>This analysis provides the framework needed to do that.</w:t>
      </w:r>
    </w:p>
    <w:p w:rsidR="001670E3" w:rsidRDefault="001670E3" w:rsidP="00D23ED7">
      <w:pPr>
        <w:pStyle w:val="NormalWeb"/>
      </w:pPr>
    </w:p>
    <w:p w:rsidR="001670E3" w:rsidRDefault="001670E3" w:rsidP="00D23ED7">
      <w:pPr>
        <w:pStyle w:val="NormalWeb"/>
      </w:pPr>
    </w:p>
    <w:p w:rsidR="005C2FEB" w:rsidRDefault="005C2FEB" w:rsidP="00D23ED7">
      <w:pPr>
        <w:pStyle w:val="NormalWeb"/>
      </w:pPr>
    </w:p>
    <w:p w:rsidR="001670E3" w:rsidRDefault="009B79D1" w:rsidP="00D23ED7">
      <w:pPr>
        <w:pStyle w:val="NormalWeb"/>
      </w:pPr>
      <w:r>
        <w:pict>
          <v:rect id="_x0000_i1057" style="width:0;height:1.5pt" o:hralign="center" o:hrstd="t" o:hr="t" fillcolor="#a0a0a0" stroked="f"/>
        </w:pict>
      </w:r>
    </w:p>
    <w:p w:rsidR="00C92EC3" w:rsidRDefault="009B79D1" w:rsidP="001670E3">
      <w:r>
        <w:pict>
          <v:rect id="_x0000_i1058" style="width:0;height:1.5pt" o:hralign="center" o:hrstd="t" o:hr="t" fillcolor="#a0a0a0" stroked="f"/>
        </w:pict>
      </w:r>
    </w:p>
    <w:p w:rsidR="00D23ED7" w:rsidRDefault="00D23ED7" w:rsidP="008543A0">
      <w:pPr>
        <w:pStyle w:val="Heading1"/>
      </w:pPr>
      <w:bookmarkStart w:id="46" w:name="_Toc218670816"/>
      <w:r>
        <w:t>Forward Work: Volatility &amp; Regime-Aware Modeling</w:t>
      </w:r>
      <w:bookmarkEnd w:id="46"/>
    </w:p>
    <w:p w:rsidR="00D23ED7" w:rsidRDefault="00D23ED7" w:rsidP="00D23ED7">
      <w:pPr>
        <w:pStyle w:val="NormalWeb"/>
      </w:pPr>
      <w:r>
        <w:t xml:space="preserve">The analysis in this report demonstrates that Safaricom’s share price is best understood through </w:t>
      </w:r>
      <w:r>
        <w:rPr>
          <w:rStyle w:val="Strong"/>
        </w:rPr>
        <w:t>structural breaks, regimes, and volatility dynamics</w:t>
      </w:r>
      <w:r>
        <w:t xml:space="preserve">, rather than direct price prediction. Forward work will therefore focus on </w:t>
      </w:r>
      <w:r>
        <w:rPr>
          <w:rStyle w:val="Strong"/>
        </w:rPr>
        <w:t>modeling risk</w:t>
      </w:r>
      <w:r>
        <w:t>, with volatility as the primary object of interest.</w:t>
      </w:r>
    </w:p>
    <w:p w:rsidR="00D23ED7" w:rsidRDefault="00D23ED7" w:rsidP="00D23ED7">
      <w:pPr>
        <w:pStyle w:val="NormalWeb"/>
      </w:pPr>
      <w:r>
        <w:t>The objective is not to forecast exact price levels, but to:</w:t>
      </w:r>
    </w:p>
    <w:p w:rsidR="00D23ED7" w:rsidRDefault="00D23ED7" w:rsidP="00D23ED7">
      <w:pPr>
        <w:pStyle w:val="NormalWeb"/>
        <w:numPr>
          <w:ilvl w:val="0"/>
          <w:numId w:val="22"/>
        </w:numPr>
      </w:pPr>
      <w:r>
        <w:t>Quantify regime-dependent risk,</w:t>
      </w:r>
    </w:p>
    <w:p w:rsidR="00D23ED7" w:rsidRDefault="00D23ED7" w:rsidP="00D23ED7">
      <w:pPr>
        <w:pStyle w:val="NormalWeb"/>
        <w:numPr>
          <w:ilvl w:val="0"/>
          <w:numId w:val="22"/>
        </w:numPr>
      </w:pPr>
      <w:r>
        <w:t>Anticipate volatility transitions,</w:t>
      </w:r>
    </w:p>
    <w:p w:rsidR="00D4286C" w:rsidRDefault="00D23ED7" w:rsidP="00D4286C">
      <w:pPr>
        <w:pStyle w:val="NormalWeb"/>
        <w:numPr>
          <w:ilvl w:val="0"/>
          <w:numId w:val="22"/>
        </w:numPr>
      </w:pPr>
      <w:r>
        <w:t>And improve decision-making under uncertainty.</w:t>
      </w:r>
    </w:p>
    <w:p w:rsidR="00D4286C" w:rsidRDefault="00D4286C" w:rsidP="00D4286C">
      <w:pPr>
        <w:pStyle w:val="NormalWeb"/>
      </w:pPr>
      <w:r>
        <w:t>Hence the forward modeling phase aims to deliver; regime-aware volatility estimates, improved risk timing signals as well as a quantitative extension of the regime framework developed in this report. Approaches applied to realize this will include:</w:t>
      </w:r>
    </w:p>
    <w:p w:rsidR="00D4286C" w:rsidRDefault="00D4286C" w:rsidP="008543A0">
      <w:pPr>
        <w:pStyle w:val="NormalWeb"/>
        <w:numPr>
          <w:ilvl w:val="0"/>
          <w:numId w:val="41"/>
        </w:numPr>
      </w:pPr>
      <w:r>
        <w:t>Volatility Modeling (GARCH family of models)</w:t>
      </w:r>
    </w:p>
    <w:p w:rsidR="00D4286C" w:rsidRDefault="00D4286C" w:rsidP="008543A0">
      <w:pPr>
        <w:pStyle w:val="NormalWeb"/>
        <w:numPr>
          <w:ilvl w:val="0"/>
          <w:numId w:val="41"/>
        </w:numPr>
      </w:pPr>
      <w:r>
        <w:t>Incorporation of exogenous variables (e.g. CBK rate, crude oil price, economic indices etc.)</w:t>
      </w:r>
    </w:p>
    <w:p w:rsidR="00D4286C" w:rsidRDefault="00D4286C" w:rsidP="008543A0">
      <w:pPr>
        <w:pStyle w:val="NormalWeb"/>
        <w:numPr>
          <w:ilvl w:val="0"/>
          <w:numId w:val="41"/>
        </w:numPr>
      </w:pPr>
      <w:r>
        <w:t>Regime Aware extensions (e.g. Markov switching models)</w:t>
      </w:r>
    </w:p>
    <w:p w:rsidR="00D4286C" w:rsidRDefault="00D4286C" w:rsidP="008543A0">
      <w:pPr>
        <w:pStyle w:val="NormalWeb"/>
        <w:numPr>
          <w:ilvl w:val="0"/>
          <w:numId w:val="41"/>
        </w:numPr>
      </w:pPr>
      <w:r>
        <w:t>Machine Learning approaches (i.e. Decision Trees, Gradient Boosting, and Neural Networks etc.)</w:t>
      </w:r>
    </w:p>
    <w:p w:rsidR="00D4286C" w:rsidRDefault="00D4286C" w:rsidP="008543A0">
      <w:pPr>
        <w:pStyle w:val="NormalWeb"/>
        <w:numPr>
          <w:ilvl w:val="0"/>
          <w:numId w:val="41"/>
        </w:numPr>
      </w:pPr>
      <w:r>
        <w:t>Exploratory Modeling Techniques (LLM -based i.e. Facebook Prophet, Lag-Llama)</w:t>
      </w:r>
    </w:p>
    <w:p w:rsidR="0040044A" w:rsidRDefault="00E164D9">
      <w:pPr>
        <w:pStyle w:val="Heading3"/>
      </w:pPr>
      <w:r>
        <w:t>A Live Test of the Thesis: The Vodacom Structural Break (2025–2026)</w:t>
      </w:r>
    </w:p>
    <w:p w:rsidR="0040044A" w:rsidRDefault="00E164D9">
      <w:pPr>
        <w:pStyle w:val="NormalWeb"/>
      </w:pPr>
      <w:r>
        <w:t>Since this report’s observation window closes on 15 September 2025, a decisive out-of-sample event has occurred. Vodacom moved to a controlling 55% stake in Safaricom — announced on 4 December 2025 and closed on 30 June 2026. A change of ownership and governance on this scale is a textbook structural break: it resets the process that generates returns.</w:t>
      </w:r>
    </w:p>
    <w:p w:rsidR="0040044A" w:rsidRDefault="00E164D9">
      <w:pPr>
        <w:pStyle w:val="NormalWeb"/>
      </w:pPr>
      <w:r>
        <w:t>Crucially, this event tests the report’s central argument on data it was never fitted to. Around the announcement and the close, the direction of price was not reliably predictable, yet the shift in the volatility regime was. This is precisely the risk-over-price position advanced here: a framework built to detect regime transitions in volatility is the instrument that flags an event of this kind. Because the break lies entirely outside the estimation sample, it is genuine out-of-sample confirmation rather than curve-fitting — and the clearest justification yet for making volatility, not price direction, the object of modelling.</w:t>
      </w:r>
    </w:p>
    <w:p w:rsidR="0040044A" w:rsidRDefault="00E164D9">
      <w:pPr>
        <w:pStyle w:val="NormalWeb"/>
      </w:pPr>
      <w:r>
        <w:rPr>
          <w:rStyle w:val="Strong"/>
        </w:rPr>
        <w:t>The next-phase modelling programme follows directly:</w:t>
      </w:r>
    </w:p>
    <w:p w:rsidR="0040044A" w:rsidRDefault="00E164D9">
      <w:pPr>
        <w:pStyle w:val="NormalWeb"/>
      </w:pPr>
      <w:r>
        <w:rPr>
          <w:rStyle w:val="Strong"/>
        </w:rPr>
        <w:t xml:space="preserve">Baseline volatility. </w:t>
      </w:r>
      <w:r>
        <w:t>A GARCH(1,1) model with Student-t errors confirms the volatility memory documented in this report (high persistence, α+β near unity; heavy tails), extended by GJR-GARCH for the leverage effect and Extreme Value Theory for the deep tail.</w:t>
      </w:r>
    </w:p>
    <w:p w:rsidR="0040044A" w:rsidRDefault="00E164D9">
      <w:pPr>
        <w:pStyle w:val="NormalWeb"/>
      </w:pPr>
      <w:r>
        <w:rPr>
          <w:rStyle w:val="Strong"/>
        </w:rPr>
        <w:t xml:space="preserve">Regime-conditional risk. </w:t>
      </w:r>
      <w:r>
        <w:t>Value-at-Risk validated on two tests rather than one — Kupiec for coverage and Christoffersen for independence. A conditional GARCH-t VaR passes both; a naive constant VaR passes the count but its exceptions cluster in stressed periods.</w:t>
      </w:r>
    </w:p>
    <w:p w:rsidR="0040044A" w:rsidRDefault="00E164D9">
      <w:pPr>
        <w:pStyle w:val="NormalWeb"/>
      </w:pPr>
      <w:r>
        <w:rPr>
          <w:rStyle w:val="Strong"/>
        </w:rPr>
        <w:t xml:space="preserve">Formalising the regimes. </w:t>
      </w:r>
      <w:r>
        <w:t>The descriptive regimes above will be recovered statistically — a Gaussian Mixture Model (four volatility regimes, parsimoniously selected) with Markov-switching dynamics for the transitions between them.</w:t>
      </w:r>
    </w:p>
    <w:p w:rsidR="0040044A" w:rsidRDefault="00E164D9">
      <w:pPr>
        <w:pStyle w:val="NormalWeb"/>
      </w:pPr>
      <w:r>
        <w:rPr>
          <w:rStyle w:val="Strong"/>
        </w:rPr>
        <w:t xml:space="preserve">Live, out-of-sample tracking. </w:t>
      </w:r>
      <w:r>
        <w:t>Extending the series to the present through the EODHD market-data API classifies the post-takeover regime as it accumulates, turning the Vodacom break from a single anecdote into a continuing test of the framework.</w:t>
      </w:r>
    </w:p>
    <w:p w:rsidR="00697C27" w:rsidRDefault="00697C27" w:rsidP="00D4286C">
      <w:pPr>
        <w:pStyle w:val="NormalWeb"/>
      </w:pPr>
    </w:p>
    <w:p w:rsidR="00697C27" w:rsidRDefault="00697C27" w:rsidP="00D4286C">
      <w:pPr>
        <w:pStyle w:val="NormalWeb"/>
      </w:pPr>
    </w:p>
    <w:p w:rsidR="00697C27" w:rsidRDefault="00697C27" w:rsidP="00D4286C">
      <w:pPr>
        <w:pStyle w:val="NormalWeb"/>
      </w:pPr>
    </w:p>
    <w:p w:rsidR="00697C27" w:rsidRDefault="00697C27" w:rsidP="00D4286C">
      <w:pPr>
        <w:pStyle w:val="NormalWeb"/>
      </w:pPr>
    </w:p>
    <w:p w:rsidR="00697C27" w:rsidRDefault="00697C27" w:rsidP="00D4286C">
      <w:pPr>
        <w:pStyle w:val="NormalWeb"/>
      </w:pPr>
    </w:p>
    <w:p w:rsidR="00697C27" w:rsidRDefault="00697C27" w:rsidP="00D4286C">
      <w:pPr>
        <w:pStyle w:val="NormalWeb"/>
      </w:pPr>
    </w:p>
    <w:p w:rsidR="0028756B" w:rsidRDefault="009B79D1" w:rsidP="00D4286C">
      <w:pPr>
        <w:pStyle w:val="NormalWeb"/>
      </w:pPr>
      <w:r>
        <w:pict>
          <v:rect id="_x0000_i1059" style="width:0;height:1.5pt" o:hralign="center" o:hrstd="t" o:hr="t" fillcolor="#a0a0a0" stroked="f"/>
        </w:pict>
      </w:r>
    </w:p>
    <w:p w:rsidR="0028756B" w:rsidRDefault="009B79D1" w:rsidP="008543A0">
      <w:pPr>
        <w:pStyle w:val="Heading2"/>
      </w:pPr>
      <w:bookmarkStart w:id="47" w:name="_Toc218670817"/>
      <w:r>
        <w:rPr>
          <w:sz w:val="24"/>
          <w:szCs w:val="24"/>
        </w:rPr>
        <w:pict>
          <v:rect id="_x0000_i1060" style="width:0;height:1.5pt" o:hralign="center" o:hrstd="t" o:hr="t" fillcolor="#a0a0a0" stroked="f"/>
        </w:pict>
      </w:r>
      <w:bookmarkEnd w:id="47"/>
    </w:p>
    <w:p w:rsidR="00697C27" w:rsidRPr="00697C27" w:rsidRDefault="00697C27" w:rsidP="008543A0">
      <w:pPr>
        <w:pStyle w:val="Heading2"/>
        <w:rPr>
          <w:sz w:val="24"/>
          <w:szCs w:val="24"/>
        </w:rPr>
      </w:pPr>
    </w:p>
    <w:p w:rsidR="008543A0" w:rsidRDefault="008543A0" w:rsidP="008543A0">
      <w:pPr>
        <w:pStyle w:val="Heading2"/>
      </w:pPr>
      <w:bookmarkStart w:id="48" w:name="_Toc218670818"/>
      <w:r>
        <w:t>Closing Statement (Investor-Facing)</w:t>
      </w:r>
      <w:bookmarkEnd w:id="48"/>
    </w:p>
    <w:p w:rsidR="005C2FEB" w:rsidRDefault="005C2FEB" w:rsidP="005C2FEB">
      <w:pPr>
        <w:pStyle w:val="NormalWeb"/>
      </w:pPr>
      <w:r>
        <w:t xml:space="preserve">This report demonstrates that Safaricom’s share price behavior cannot be reliably understood or managed through traditional price-forecasting alone. Instead, the stock reveals a structure shaped by </w:t>
      </w:r>
      <w:r>
        <w:rPr>
          <w:rStyle w:val="Strong"/>
        </w:rPr>
        <w:t>distinct market regimes</w:t>
      </w:r>
      <w:r>
        <w:t xml:space="preserve">, </w:t>
      </w:r>
      <w:r>
        <w:rPr>
          <w:rStyle w:val="Strong"/>
        </w:rPr>
        <w:t>periodic structural shifts</w:t>
      </w:r>
      <w:r>
        <w:t xml:space="preserve">, and </w:t>
      </w:r>
      <w:r>
        <w:rPr>
          <w:rStyle w:val="Strong"/>
        </w:rPr>
        <w:t>changing risk conditions</w:t>
      </w:r>
      <w:r>
        <w:t xml:space="preserve"> over time. These dynamics explain why price levels stagnate for long periods, why volatility clusters around certain events, and why apparent “breakouts” often reflect risk repricing rather than sustainable growth.</w:t>
      </w:r>
    </w:p>
    <w:p w:rsidR="005C2FEB" w:rsidRDefault="005C2FEB" w:rsidP="005C2FEB">
      <w:pPr>
        <w:pStyle w:val="NormalWeb"/>
      </w:pPr>
      <w:r>
        <w:t xml:space="preserve">By reframing the analysis around </w:t>
      </w:r>
      <w:r>
        <w:rPr>
          <w:rStyle w:val="Strong"/>
        </w:rPr>
        <w:t>risk behavior rather than price direction</w:t>
      </w:r>
      <w:r>
        <w:t>, this study provides a clearer lens for decision-making. Structural break analysis highlights moments when market expectations reset, while regime analysis clarifies whether the market is rewarding risk, suppressing it, or transitioning between the two. In this context, volatility is not merely noise — it becomes a signal of market confidence, stress, and opportunity.</w:t>
      </w:r>
    </w:p>
    <w:p w:rsidR="005C2FEB" w:rsidRDefault="005C2FEB" w:rsidP="005C2FEB">
      <w:pPr>
        <w:pStyle w:val="NormalWeb"/>
      </w:pPr>
      <w:r>
        <w:t xml:space="preserve">The key insight for investors is that </w:t>
      </w:r>
      <w:r>
        <w:rPr>
          <w:rStyle w:val="Strong"/>
        </w:rPr>
        <w:t>opportunity in Safaricom emerges conditionally</w:t>
      </w:r>
      <w:r>
        <w:t xml:space="preserve">, not continuously. Periods of heightened volatility often precede stabilization and selective recovery, while low-volatility phases may reflect caution rather than strength. Understanding </w:t>
      </w:r>
      <w:r>
        <w:rPr>
          <w:rStyle w:val="Emphasis"/>
        </w:rPr>
        <w:t>when</w:t>
      </w:r>
      <w:r>
        <w:t xml:space="preserve"> the market is in capital-preservation mode versus </w:t>
      </w:r>
      <w:r>
        <w:rPr>
          <w:rStyle w:val="Emphasis"/>
        </w:rPr>
        <w:t>when</w:t>
      </w:r>
      <w:r>
        <w:t xml:space="preserve"> it is willing to reward risk allows investors to align positioning, timing, and risk management more deliberately.</w:t>
      </w:r>
    </w:p>
    <w:p w:rsidR="00697C27" w:rsidRDefault="00697C27" w:rsidP="005C2FEB">
      <w:pPr>
        <w:pStyle w:val="NormalWeb"/>
      </w:pPr>
      <w:r>
        <w:t xml:space="preserve">Finally, this analysis shifts the investment conversation from </w:t>
      </w:r>
      <w:r>
        <w:rPr>
          <w:rStyle w:val="Emphasis"/>
        </w:rPr>
        <w:t>“Where will the price go?”</w:t>
      </w:r>
      <w:r>
        <w:t xml:space="preserve"> to </w:t>
      </w:r>
      <w:r>
        <w:rPr>
          <w:rStyle w:val="Emphasis"/>
        </w:rPr>
        <w:t>“What regime are we in, and how is risk being priced?”</w:t>
      </w:r>
      <w:r>
        <w:t xml:space="preserve"> That shift enables more disciplined participation, clearer expectations, and a stronger foundation for future volatility-aware and regime-based strategies.</w:t>
      </w:r>
    </w:p>
    <w:p w:rsidR="00697C27" w:rsidRDefault="00697C27" w:rsidP="005C2FEB">
      <w:pPr>
        <w:pStyle w:val="NormalWeb"/>
      </w:pPr>
    </w:p>
    <w:p w:rsidR="00D23ED7" w:rsidRPr="00697C27" w:rsidRDefault="00697C27" w:rsidP="005C2FEB">
      <w:pPr>
        <w:pStyle w:val="NormalWeb"/>
        <w:rPr>
          <w:b/>
          <w:i/>
        </w:rPr>
      </w:pPr>
      <w:r>
        <w:rPr>
          <w:b/>
          <w:i/>
        </w:rPr>
        <w:t>Ultimately, Safaricom rewards disciplined investors not for predicting price direction, but for recognizing regime shifts and adapting to changing risk conditions.</w:t>
      </w:r>
    </w:p>
    <w:p w:rsidR="0040044A" w:rsidRDefault="00E164D9">
      <w:pPr>
        <w:pStyle w:val="NormalWeb"/>
        <w:rPr/>
      </w:pPr>
      <w:r>
        <w:t xml:space="preserve">A closing note: since this analysis, Vodacom’s move to a controlling 55% stake (announced December 2025, closed June 2026) has acted as a live, out-of-sample test of exactly this thesis — </w:t>
      </w:r>
      <w:r w:rsidRPr="00E164D9">
        <w:rPr>
          <w:b/>
        </w:rPr>
        <w:t>the volatility regime shift was detectable even where price direction was not</w:t>
      </w:r>
      <w:r>
        <w:t>.</w:t>
      </w:r>
    </w:p>
    <w:sectPr w:rsidR="0040044A" w:rsidSect="0059508E">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E14985"/>
    <w:multiLevelType w:val="multilevel"/>
    <w:tmpl w:val="778C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766FE6"/>
    <w:multiLevelType w:val="multilevel"/>
    <w:tmpl w:val="1380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A85D71"/>
    <w:multiLevelType w:val="multilevel"/>
    <w:tmpl w:val="0540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1119EF"/>
    <w:multiLevelType w:val="multilevel"/>
    <w:tmpl w:val="1FB4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F173FC"/>
    <w:multiLevelType w:val="multilevel"/>
    <w:tmpl w:val="CACA4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27373EC"/>
    <w:multiLevelType w:val="multilevel"/>
    <w:tmpl w:val="F07A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3809B7"/>
    <w:multiLevelType w:val="multilevel"/>
    <w:tmpl w:val="EB06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1E7EDB"/>
    <w:multiLevelType w:val="multilevel"/>
    <w:tmpl w:val="B432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9D250FE"/>
    <w:multiLevelType w:val="hybridMultilevel"/>
    <w:tmpl w:val="E72AE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C3546A0"/>
    <w:multiLevelType w:val="multilevel"/>
    <w:tmpl w:val="490A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CD7AD6"/>
    <w:multiLevelType w:val="multilevel"/>
    <w:tmpl w:val="4F2A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E514A98"/>
    <w:multiLevelType w:val="multilevel"/>
    <w:tmpl w:val="BD78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3DD0BE3"/>
    <w:multiLevelType w:val="multilevel"/>
    <w:tmpl w:val="64BC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F06438"/>
    <w:multiLevelType w:val="hybridMultilevel"/>
    <w:tmpl w:val="1DE07F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24174E19"/>
    <w:multiLevelType w:val="multilevel"/>
    <w:tmpl w:val="C7C8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4977E19"/>
    <w:multiLevelType w:val="hybridMultilevel"/>
    <w:tmpl w:val="9EE2B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2006DFC"/>
    <w:multiLevelType w:val="multilevel"/>
    <w:tmpl w:val="7A4C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4F55947"/>
    <w:multiLevelType w:val="multilevel"/>
    <w:tmpl w:val="7136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7056F87"/>
    <w:multiLevelType w:val="multilevel"/>
    <w:tmpl w:val="B98C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A534B88"/>
    <w:multiLevelType w:val="multilevel"/>
    <w:tmpl w:val="E430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BF60F45"/>
    <w:multiLevelType w:val="multilevel"/>
    <w:tmpl w:val="17F4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EFF0E97"/>
    <w:multiLevelType w:val="multilevel"/>
    <w:tmpl w:val="F938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15E6495"/>
    <w:multiLevelType w:val="multilevel"/>
    <w:tmpl w:val="C9B6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1B87264"/>
    <w:multiLevelType w:val="multilevel"/>
    <w:tmpl w:val="629C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51D1C4C"/>
    <w:multiLevelType w:val="hybridMultilevel"/>
    <w:tmpl w:val="A72E1A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4745708B"/>
    <w:multiLevelType w:val="multilevel"/>
    <w:tmpl w:val="A608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7FA7F72"/>
    <w:multiLevelType w:val="hybridMultilevel"/>
    <w:tmpl w:val="F796C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A462FB5"/>
    <w:multiLevelType w:val="multilevel"/>
    <w:tmpl w:val="CEE6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A903370"/>
    <w:multiLevelType w:val="multilevel"/>
    <w:tmpl w:val="F986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C947D39"/>
    <w:multiLevelType w:val="hybridMultilevel"/>
    <w:tmpl w:val="B0B6A3EC"/>
    <w:lvl w:ilvl="0" w:tplc="04090001">
      <w:start w:val="1"/>
      <w:numFmt w:val="bullet"/>
      <w:lvlText w:val=""/>
      <w:lvlJc w:val="left"/>
      <w:pPr>
        <w:ind w:left="1080" w:hanging="360"/>
      </w:pPr>
      <w:rPr>
        <w:rFonts w:ascii="Symbol" w:hAnsi="Symbol" w:hint="default"/>
      </w:rPr>
    </w:lvl>
    <w:lvl w:ilvl="1" w:tplc="3BAEF9BA">
      <w:numFmt w:val="bullet"/>
      <w:lvlText w:val="-"/>
      <w:lvlJc w:val="left"/>
      <w:pPr>
        <w:ind w:left="1800" w:hanging="360"/>
      </w:pPr>
      <w:rPr>
        <w:rFonts w:ascii="Times New Roman" w:eastAsia="Times New Roman"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4D324620"/>
    <w:multiLevelType w:val="multilevel"/>
    <w:tmpl w:val="0FA20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6A40F17"/>
    <w:multiLevelType w:val="hybridMultilevel"/>
    <w:tmpl w:val="226A8F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56BE0CEA"/>
    <w:multiLevelType w:val="multilevel"/>
    <w:tmpl w:val="3328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8835A39"/>
    <w:multiLevelType w:val="multilevel"/>
    <w:tmpl w:val="F102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C4B7504"/>
    <w:multiLevelType w:val="multilevel"/>
    <w:tmpl w:val="ED9C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CD77E02"/>
    <w:multiLevelType w:val="hybridMultilevel"/>
    <w:tmpl w:val="C5CA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D3B680E"/>
    <w:multiLevelType w:val="multilevel"/>
    <w:tmpl w:val="38D4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0AA3425"/>
    <w:multiLevelType w:val="multilevel"/>
    <w:tmpl w:val="5BAA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3155E7A"/>
    <w:multiLevelType w:val="multilevel"/>
    <w:tmpl w:val="84A2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37D0449"/>
    <w:multiLevelType w:val="hybridMultilevel"/>
    <w:tmpl w:val="0B702D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77E1683"/>
    <w:multiLevelType w:val="multilevel"/>
    <w:tmpl w:val="A07C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8BC3032"/>
    <w:multiLevelType w:val="multilevel"/>
    <w:tmpl w:val="6222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CEC578D"/>
    <w:multiLevelType w:val="multilevel"/>
    <w:tmpl w:val="FA86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E3950A0"/>
    <w:multiLevelType w:val="multilevel"/>
    <w:tmpl w:val="A566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1A774B3"/>
    <w:multiLevelType w:val="multilevel"/>
    <w:tmpl w:val="A74E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ADF1EFE"/>
    <w:multiLevelType w:val="multilevel"/>
    <w:tmpl w:val="7AC6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C6162D8"/>
    <w:multiLevelType w:val="multilevel"/>
    <w:tmpl w:val="79D4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0"/>
  </w:num>
  <w:num w:numId="3">
    <w:abstractNumId w:val="44"/>
  </w:num>
  <w:num w:numId="4">
    <w:abstractNumId w:val="18"/>
  </w:num>
  <w:num w:numId="5">
    <w:abstractNumId w:val="27"/>
  </w:num>
  <w:num w:numId="6">
    <w:abstractNumId w:val="42"/>
  </w:num>
  <w:num w:numId="7">
    <w:abstractNumId w:val="45"/>
  </w:num>
  <w:num w:numId="8">
    <w:abstractNumId w:val="0"/>
  </w:num>
  <w:num w:numId="9">
    <w:abstractNumId w:val="40"/>
  </w:num>
  <w:num w:numId="10">
    <w:abstractNumId w:val="9"/>
  </w:num>
  <w:num w:numId="11">
    <w:abstractNumId w:val="6"/>
  </w:num>
  <w:num w:numId="12">
    <w:abstractNumId w:val="17"/>
  </w:num>
  <w:num w:numId="13">
    <w:abstractNumId w:val="3"/>
  </w:num>
  <w:num w:numId="14">
    <w:abstractNumId w:val="7"/>
  </w:num>
  <w:num w:numId="15">
    <w:abstractNumId w:val="30"/>
  </w:num>
  <w:num w:numId="16">
    <w:abstractNumId w:val="38"/>
  </w:num>
  <w:num w:numId="17">
    <w:abstractNumId w:val="37"/>
  </w:num>
  <w:num w:numId="18">
    <w:abstractNumId w:val="4"/>
  </w:num>
  <w:num w:numId="19">
    <w:abstractNumId w:val="13"/>
  </w:num>
  <w:num w:numId="20">
    <w:abstractNumId w:val="31"/>
  </w:num>
  <w:num w:numId="21">
    <w:abstractNumId w:val="29"/>
  </w:num>
  <w:num w:numId="22">
    <w:abstractNumId w:val="22"/>
  </w:num>
  <w:num w:numId="23">
    <w:abstractNumId w:val="33"/>
  </w:num>
  <w:num w:numId="24">
    <w:abstractNumId w:val="16"/>
  </w:num>
  <w:num w:numId="25">
    <w:abstractNumId w:val="12"/>
  </w:num>
  <w:num w:numId="26">
    <w:abstractNumId w:val="14"/>
  </w:num>
  <w:num w:numId="27">
    <w:abstractNumId w:val="19"/>
  </w:num>
  <w:num w:numId="28">
    <w:abstractNumId w:val="32"/>
  </w:num>
  <w:num w:numId="29">
    <w:abstractNumId w:val="11"/>
  </w:num>
  <w:num w:numId="30">
    <w:abstractNumId w:val="43"/>
  </w:num>
  <w:num w:numId="31">
    <w:abstractNumId w:val="5"/>
  </w:num>
  <w:num w:numId="32">
    <w:abstractNumId w:val="1"/>
  </w:num>
  <w:num w:numId="33">
    <w:abstractNumId w:val="23"/>
  </w:num>
  <w:num w:numId="34">
    <w:abstractNumId w:val="2"/>
  </w:num>
  <w:num w:numId="35">
    <w:abstractNumId w:val="34"/>
  </w:num>
  <w:num w:numId="36">
    <w:abstractNumId w:val="36"/>
  </w:num>
  <w:num w:numId="37">
    <w:abstractNumId w:val="46"/>
  </w:num>
  <w:num w:numId="38">
    <w:abstractNumId w:val="21"/>
  </w:num>
  <w:num w:numId="39">
    <w:abstractNumId w:val="41"/>
  </w:num>
  <w:num w:numId="40">
    <w:abstractNumId w:val="20"/>
  </w:num>
  <w:num w:numId="41">
    <w:abstractNumId w:val="8"/>
  </w:num>
  <w:num w:numId="42">
    <w:abstractNumId w:val="25"/>
  </w:num>
  <w:num w:numId="43">
    <w:abstractNumId w:val="26"/>
  </w:num>
  <w:num w:numId="44">
    <w:abstractNumId w:val="15"/>
  </w:num>
  <w:num w:numId="45">
    <w:abstractNumId w:val="35"/>
  </w:num>
  <w:num w:numId="46">
    <w:abstractNumId w:val="39"/>
  </w:num>
  <w:num w:numId="4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6BC4"/>
    <w:rsid w:val="000007F7"/>
    <w:rsid w:val="00040FD2"/>
    <w:rsid w:val="00063F89"/>
    <w:rsid w:val="00080170"/>
    <w:rsid w:val="000B75B0"/>
    <w:rsid w:val="00161EAA"/>
    <w:rsid w:val="001670E3"/>
    <w:rsid w:val="001A67B9"/>
    <w:rsid w:val="001C0795"/>
    <w:rsid w:val="0026727D"/>
    <w:rsid w:val="002864E5"/>
    <w:rsid w:val="0028756B"/>
    <w:rsid w:val="00374BF4"/>
    <w:rsid w:val="003B7BB4"/>
    <w:rsid w:val="003C700F"/>
    <w:rsid w:val="003E368A"/>
    <w:rsid w:val="0040044A"/>
    <w:rsid w:val="00490A72"/>
    <w:rsid w:val="004E0D4F"/>
    <w:rsid w:val="0051099A"/>
    <w:rsid w:val="0059508E"/>
    <w:rsid w:val="005C2FEB"/>
    <w:rsid w:val="005C6C8E"/>
    <w:rsid w:val="005F7DE4"/>
    <w:rsid w:val="0067182B"/>
    <w:rsid w:val="00692E9B"/>
    <w:rsid w:val="00697C27"/>
    <w:rsid w:val="006B3B7F"/>
    <w:rsid w:val="006D6BC4"/>
    <w:rsid w:val="006F63CB"/>
    <w:rsid w:val="00724860"/>
    <w:rsid w:val="00817DFA"/>
    <w:rsid w:val="008543A0"/>
    <w:rsid w:val="00856D62"/>
    <w:rsid w:val="008D701E"/>
    <w:rsid w:val="0097498A"/>
    <w:rsid w:val="009B79D1"/>
    <w:rsid w:val="009F2180"/>
    <w:rsid w:val="00A86E42"/>
    <w:rsid w:val="00AD769C"/>
    <w:rsid w:val="00B31CB9"/>
    <w:rsid w:val="00C92EC3"/>
    <w:rsid w:val="00C968DB"/>
    <w:rsid w:val="00CB1FE7"/>
    <w:rsid w:val="00D23ED7"/>
    <w:rsid w:val="00D32FE2"/>
    <w:rsid w:val="00D4286C"/>
    <w:rsid w:val="00E164D9"/>
    <w:rsid w:val="00EA5440"/>
    <w:rsid w:val="00ED18DF"/>
    <w:rsid w:val="00ED22EE"/>
    <w:rsid w:val="00F03F0F"/>
    <w:rsid w:val="00F510D2"/>
    <w:rsid w:val="00F8073E"/>
    <w:rsid w:val="00FC3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2"/>
    <o:shapelayout v:ext="edit">
      <o:idmap v:ext="edit" data="1"/>
    </o:shapelayout>
  </w:shapeDefaults>
  <w:decimalSymbol w:val="."/>
  <w:listSeparator w:val=","/>
  <w15:chartTrackingRefBased/>
  <w15:docId w15:val="{7498D04F-68CE-4071-9C61-211010C7B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33A8"/>
  </w:style>
  <w:style w:type="paragraph" w:styleId="Heading1">
    <w:name w:val="heading 1"/>
    <w:basedOn w:val="Normal"/>
    <w:link w:val="Heading1Char"/>
    <w:uiPriority w:val="9"/>
    <w:qFormat/>
    <w:rsid w:val="006D6BC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D6BC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D6BC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5F7DE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D6BC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D6BC4"/>
    <w:rPr>
      <w:i/>
      <w:iCs/>
    </w:rPr>
  </w:style>
  <w:style w:type="character" w:customStyle="1" w:styleId="Heading1Char">
    <w:name w:val="Heading 1 Char"/>
    <w:basedOn w:val="DefaultParagraphFont"/>
    <w:link w:val="Heading1"/>
    <w:uiPriority w:val="9"/>
    <w:rsid w:val="006D6BC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D6BC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D6BC4"/>
    <w:rPr>
      <w:rFonts w:ascii="Times New Roman" w:eastAsia="Times New Roman" w:hAnsi="Times New Roman" w:cs="Times New Roman"/>
      <w:b/>
      <w:bCs/>
      <w:sz w:val="27"/>
      <w:szCs w:val="27"/>
    </w:rPr>
  </w:style>
  <w:style w:type="character" w:styleId="Strong">
    <w:name w:val="Strong"/>
    <w:basedOn w:val="DefaultParagraphFont"/>
    <w:uiPriority w:val="22"/>
    <w:qFormat/>
    <w:rsid w:val="006D6BC4"/>
    <w:rPr>
      <w:b/>
      <w:bCs/>
    </w:rPr>
  </w:style>
  <w:style w:type="character" w:styleId="Hyperlink">
    <w:name w:val="Hyperlink"/>
    <w:basedOn w:val="DefaultParagraphFont"/>
    <w:uiPriority w:val="99"/>
    <w:unhideWhenUsed/>
    <w:rsid w:val="00040FD2"/>
    <w:rPr>
      <w:color w:val="0000FF"/>
      <w:u w:val="single"/>
    </w:rPr>
  </w:style>
  <w:style w:type="table" w:styleId="TableGrid">
    <w:name w:val="Table Grid"/>
    <w:basedOn w:val="TableNormal"/>
    <w:uiPriority w:val="39"/>
    <w:rsid w:val="00040FD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C6C8E"/>
    <w:pPr>
      <w:ind w:left="720"/>
      <w:contextualSpacing/>
    </w:pPr>
  </w:style>
  <w:style w:type="character" w:customStyle="1" w:styleId="Heading4Char">
    <w:name w:val="Heading 4 Char"/>
    <w:basedOn w:val="DefaultParagraphFont"/>
    <w:link w:val="Heading4"/>
    <w:uiPriority w:val="9"/>
    <w:rsid w:val="005F7DE4"/>
    <w:rPr>
      <w:rFonts w:asciiTheme="majorHAnsi" w:eastAsiaTheme="majorEastAsia" w:hAnsiTheme="majorHAnsi" w:cstheme="majorBidi"/>
      <w:i/>
      <w:iCs/>
      <w:color w:val="2E74B5" w:themeColor="accent1" w:themeShade="BF"/>
    </w:rPr>
  </w:style>
  <w:style w:type="paragraph" w:styleId="NoSpacing">
    <w:name w:val="No Spacing"/>
    <w:link w:val="NoSpacingChar"/>
    <w:uiPriority w:val="1"/>
    <w:qFormat/>
    <w:rsid w:val="001670E3"/>
    <w:pPr>
      <w:spacing w:after="0" w:line="240" w:lineRule="auto"/>
    </w:pPr>
    <w:rPr>
      <w:rFonts w:eastAsiaTheme="minorEastAsia"/>
    </w:rPr>
  </w:style>
  <w:style w:type="character" w:customStyle="1" w:styleId="NoSpacingChar">
    <w:name w:val="No Spacing Char"/>
    <w:basedOn w:val="DefaultParagraphFont"/>
    <w:link w:val="NoSpacing"/>
    <w:uiPriority w:val="1"/>
    <w:rsid w:val="001670E3"/>
    <w:rPr>
      <w:rFonts w:eastAsiaTheme="minorEastAsia"/>
    </w:rPr>
  </w:style>
  <w:style w:type="paragraph" w:styleId="TOCHeading">
    <w:name w:val="TOC Heading"/>
    <w:basedOn w:val="Heading1"/>
    <w:next w:val="Normal"/>
    <w:uiPriority w:val="39"/>
    <w:unhideWhenUsed/>
    <w:qFormat/>
    <w:rsid w:val="008D701E"/>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8D701E"/>
    <w:pPr>
      <w:spacing w:after="100"/>
    </w:pPr>
  </w:style>
  <w:style w:type="paragraph" w:styleId="TOC2">
    <w:name w:val="toc 2"/>
    <w:basedOn w:val="Normal"/>
    <w:next w:val="Normal"/>
    <w:autoRedefine/>
    <w:uiPriority w:val="39"/>
    <w:unhideWhenUsed/>
    <w:rsid w:val="008D701E"/>
    <w:pPr>
      <w:spacing w:after="100"/>
      <w:ind w:left="220"/>
    </w:pPr>
  </w:style>
  <w:style w:type="paragraph" w:styleId="TOC3">
    <w:name w:val="toc 3"/>
    <w:basedOn w:val="Normal"/>
    <w:next w:val="Normal"/>
    <w:autoRedefine/>
    <w:uiPriority w:val="39"/>
    <w:unhideWhenUsed/>
    <w:rsid w:val="008D701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67365">
      <w:bodyDiv w:val="1"/>
      <w:marLeft w:val="0"/>
      <w:marRight w:val="0"/>
      <w:marTop w:val="0"/>
      <w:marBottom w:val="0"/>
      <w:divBdr>
        <w:top w:val="none" w:sz="0" w:space="0" w:color="auto"/>
        <w:left w:val="none" w:sz="0" w:space="0" w:color="auto"/>
        <w:bottom w:val="none" w:sz="0" w:space="0" w:color="auto"/>
        <w:right w:val="none" w:sz="0" w:space="0" w:color="auto"/>
      </w:divBdr>
    </w:div>
    <w:div w:id="59911607">
      <w:bodyDiv w:val="1"/>
      <w:marLeft w:val="0"/>
      <w:marRight w:val="0"/>
      <w:marTop w:val="0"/>
      <w:marBottom w:val="0"/>
      <w:divBdr>
        <w:top w:val="none" w:sz="0" w:space="0" w:color="auto"/>
        <w:left w:val="none" w:sz="0" w:space="0" w:color="auto"/>
        <w:bottom w:val="none" w:sz="0" w:space="0" w:color="auto"/>
        <w:right w:val="none" w:sz="0" w:space="0" w:color="auto"/>
      </w:divBdr>
      <w:divsChild>
        <w:div w:id="1722829836">
          <w:marLeft w:val="0"/>
          <w:marRight w:val="0"/>
          <w:marTop w:val="0"/>
          <w:marBottom w:val="0"/>
          <w:divBdr>
            <w:top w:val="none" w:sz="0" w:space="0" w:color="auto"/>
            <w:left w:val="none" w:sz="0" w:space="0" w:color="auto"/>
            <w:bottom w:val="none" w:sz="0" w:space="0" w:color="auto"/>
            <w:right w:val="none" w:sz="0" w:space="0" w:color="auto"/>
          </w:divBdr>
          <w:divsChild>
            <w:div w:id="34085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02707">
      <w:bodyDiv w:val="1"/>
      <w:marLeft w:val="0"/>
      <w:marRight w:val="0"/>
      <w:marTop w:val="0"/>
      <w:marBottom w:val="0"/>
      <w:divBdr>
        <w:top w:val="none" w:sz="0" w:space="0" w:color="auto"/>
        <w:left w:val="none" w:sz="0" w:space="0" w:color="auto"/>
        <w:bottom w:val="none" w:sz="0" w:space="0" w:color="auto"/>
        <w:right w:val="none" w:sz="0" w:space="0" w:color="auto"/>
      </w:divBdr>
    </w:div>
    <w:div w:id="210927122">
      <w:bodyDiv w:val="1"/>
      <w:marLeft w:val="0"/>
      <w:marRight w:val="0"/>
      <w:marTop w:val="0"/>
      <w:marBottom w:val="0"/>
      <w:divBdr>
        <w:top w:val="none" w:sz="0" w:space="0" w:color="auto"/>
        <w:left w:val="none" w:sz="0" w:space="0" w:color="auto"/>
        <w:bottom w:val="none" w:sz="0" w:space="0" w:color="auto"/>
        <w:right w:val="none" w:sz="0" w:space="0" w:color="auto"/>
      </w:divBdr>
    </w:div>
    <w:div w:id="267740920">
      <w:bodyDiv w:val="1"/>
      <w:marLeft w:val="0"/>
      <w:marRight w:val="0"/>
      <w:marTop w:val="0"/>
      <w:marBottom w:val="0"/>
      <w:divBdr>
        <w:top w:val="none" w:sz="0" w:space="0" w:color="auto"/>
        <w:left w:val="none" w:sz="0" w:space="0" w:color="auto"/>
        <w:bottom w:val="none" w:sz="0" w:space="0" w:color="auto"/>
        <w:right w:val="none" w:sz="0" w:space="0" w:color="auto"/>
      </w:divBdr>
    </w:div>
    <w:div w:id="320089379">
      <w:bodyDiv w:val="1"/>
      <w:marLeft w:val="0"/>
      <w:marRight w:val="0"/>
      <w:marTop w:val="0"/>
      <w:marBottom w:val="0"/>
      <w:divBdr>
        <w:top w:val="none" w:sz="0" w:space="0" w:color="auto"/>
        <w:left w:val="none" w:sz="0" w:space="0" w:color="auto"/>
        <w:bottom w:val="none" w:sz="0" w:space="0" w:color="auto"/>
        <w:right w:val="none" w:sz="0" w:space="0" w:color="auto"/>
      </w:divBdr>
      <w:divsChild>
        <w:div w:id="728263348">
          <w:marLeft w:val="0"/>
          <w:marRight w:val="0"/>
          <w:marTop w:val="0"/>
          <w:marBottom w:val="0"/>
          <w:divBdr>
            <w:top w:val="none" w:sz="0" w:space="0" w:color="auto"/>
            <w:left w:val="none" w:sz="0" w:space="0" w:color="auto"/>
            <w:bottom w:val="none" w:sz="0" w:space="0" w:color="auto"/>
            <w:right w:val="none" w:sz="0" w:space="0" w:color="auto"/>
          </w:divBdr>
          <w:divsChild>
            <w:div w:id="961575917">
              <w:marLeft w:val="0"/>
              <w:marRight w:val="0"/>
              <w:marTop w:val="0"/>
              <w:marBottom w:val="0"/>
              <w:divBdr>
                <w:top w:val="none" w:sz="0" w:space="0" w:color="auto"/>
                <w:left w:val="none" w:sz="0" w:space="0" w:color="auto"/>
                <w:bottom w:val="none" w:sz="0" w:space="0" w:color="auto"/>
                <w:right w:val="none" w:sz="0" w:space="0" w:color="auto"/>
              </w:divBdr>
            </w:div>
            <w:div w:id="1690258808">
              <w:marLeft w:val="0"/>
              <w:marRight w:val="0"/>
              <w:marTop w:val="0"/>
              <w:marBottom w:val="0"/>
              <w:divBdr>
                <w:top w:val="none" w:sz="0" w:space="0" w:color="auto"/>
                <w:left w:val="none" w:sz="0" w:space="0" w:color="auto"/>
                <w:bottom w:val="none" w:sz="0" w:space="0" w:color="auto"/>
                <w:right w:val="none" w:sz="0" w:space="0" w:color="auto"/>
              </w:divBdr>
            </w:div>
            <w:div w:id="51630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050357">
      <w:bodyDiv w:val="1"/>
      <w:marLeft w:val="0"/>
      <w:marRight w:val="0"/>
      <w:marTop w:val="0"/>
      <w:marBottom w:val="0"/>
      <w:divBdr>
        <w:top w:val="none" w:sz="0" w:space="0" w:color="auto"/>
        <w:left w:val="none" w:sz="0" w:space="0" w:color="auto"/>
        <w:bottom w:val="none" w:sz="0" w:space="0" w:color="auto"/>
        <w:right w:val="none" w:sz="0" w:space="0" w:color="auto"/>
      </w:divBdr>
      <w:divsChild>
        <w:div w:id="1068040639">
          <w:marLeft w:val="0"/>
          <w:marRight w:val="0"/>
          <w:marTop w:val="0"/>
          <w:marBottom w:val="0"/>
          <w:divBdr>
            <w:top w:val="none" w:sz="0" w:space="0" w:color="auto"/>
            <w:left w:val="none" w:sz="0" w:space="0" w:color="auto"/>
            <w:bottom w:val="none" w:sz="0" w:space="0" w:color="auto"/>
            <w:right w:val="none" w:sz="0" w:space="0" w:color="auto"/>
          </w:divBdr>
          <w:divsChild>
            <w:div w:id="1031419265">
              <w:marLeft w:val="0"/>
              <w:marRight w:val="0"/>
              <w:marTop w:val="0"/>
              <w:marBottom w:val="0"/>
              <w:divBdr>
                <w:top w:val="none" w:sz="0" w:space="0" w:color="auto"/>
                <w:left w:val="none" w:sz="0" w:space="0" w:color="auto"/>
                <w:bottom w:val="none" w:sz="0" w:space="0" w:color="auto"/>
                <w:right w:val="none" w:sz="0" w:space="0" w:color="auto"/>
              </w:divBdr>
            </w:div>
            <w:div w:id="52240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978671">
      <w:bodyDiv w:val="1"/>
      <w:marLeft w:val="0"/>
      <w:marRight w:val="0"/>
      <w:marTop w:val="0"/>
      <w:marBottom w:val="0"/>
      <w:divBdr>
        <w:top w:val="none" w:sz="0" w:space="0" w:color="auto"/>
        <w:left w:val="none" w:sz="0" w:space="0" w:color="auto"/>
        <w:bottom w:val="none" w:sz="0" w:space="0" w:color="auto"/>
        <w:right w:val="none" w:sz="0" w:space="0" w:color="auto"/>
      </w:divBdr>
      <w:divsChild>
        <w:div w:id="668409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0852949">
      <w:bodyDiv w:val="1"/>
      <w:marLeft w:val="0"/>
      <w:marRight w:val="0"/>
      <w:marTop w:val="0"/>
      <w:marBottom w:val="0"/>
      <w:divBdr>
        <w:top w:val="none" w:sz="0" w:space="0" w:color="auto"/>
        <w:left w:val="none" w:sz="0" w:space="0" w:color="auto"/>
        <w:bottom w:val="none" w:sz="0" w:space="0" w:color="auto"/>
        <w:right w:val="none" w:sz="0" w:space="0" w:color="auto"/>
      </w:divBdr>
    </w:div>
    <w:div w:id="569510328">
      <w:bodyDiv w:val="1"/>
      <w:marLeft w:val="0"/>
      <w:marRight w:val="0"/>
      <w:marTop w:val="0"/>
      <w:marBottom w:val="0"/>
      <w:divBdr>
        <w:top w:val="none" w:sz="0" w:space="0" w:color="auto"/>
        <w:left w:val="none" w:sz="0" w:space="0" w:color="auto"/>
        <w:bottom w:val="none" w:sz="0" w:space="0" w:color="auto"/>
        <w:right w:val="none" w:sz="0" w:space="0" w:color="auto"/>
      </w:divBdr>
      <w:divsChild>
        <w:div w:id="1901403753">
          <w:marLeft w:val="0"/>
          <w:marRight w:val="0"/>
          <w:marTop w:val="0"/>
          <w:marBottom w:val="0"/>
          <w:divBdr>
            <w:top w:val="none" w:sz="0" w:space="0" w:color="auto"/>
            <w:left w:val="none" w:sz="0" w:space="0" w:color="auto"/>
            <w:bottom w:val="none" w:sz="0" w:space="0" w:color="auto"/>
            <w:right w:val="none" w:sz="0" w:space="0" w:color="auto"/>
          </w:divBdr>
          <w:divsChild>
            <w:div w:id="130909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357968">
      <w:bodyDiv w:val="1"/>
      <w:marLeft w:val="0"/>
      <w:marRight w:val="0"/>
      <w:marTop w:val="0"/>
      <w:marBottom w:val="0"/>
      <w:divBdr>
        <w:top w:val="none" w:sz="0" w:space="0" w:color="auto"/>
        <w:left w:val="none" w:sz="0" w:space="0" w:color="auto"/>
        <w:bottom w:val="none" w:sz="0" w:space="0" w:color="auto"/>
        <w:right w:val="none" w:sz="0" w:space="0" w:color="auto"/>
      </w:divBdr>
      <w:divsChild>
        <w:div w:id="1332833855">
          <w:blockQuote w:val="1"/>
          <w:marLeft w:val="720"/>
          <w:marRight w:val="720"/>
          <w:marTop w:val="100"/>
          <w:marBottom w:val="100"/>
          <w:divBdr>
            <w:top w:val="none" w:sz="0" w:space="0" w:color="auto"/>
            <w:left w:val="none" w:sz="0" w:space="0" w:color="auto"/>
            <w:bottom w:val="none" w:sz="0" w:space="0" w:color="auto"/>
            <w:right w:val="none" w:sz="0" w:space="0" w:color="auto"/>
          </w:divBdr>
        </w:div>
        <w:div w:id="767501560">
          <w:marLeft w:val="0"/>
          <w:marRight w:val="0"/>
          <w:marTop w:val="0"/>
          <w:marBottom w:val="0"/>
          <w:divBdr>
            <w:top w:val="none" w:sz="0" w:space="0" w:color="auto"/>
            <w:left w:val="none" w:sz="0" w:space="0" w:color="auto"/>
            <w:bottom w:val="none" w:sz="0" w:space="0" w:color="auto"/>
            <w:right w:val="none" w:sz="0" w:space="0" w:color="auto"/>
          </w:divBdr>
          <w:divsChild>
            <w:div w:id="1493137027">
              <w:marLeft w:val="0"/>
              <w:marRight w:val="0"/>
              <w:marTop w:val="0"/>
              <w:marBottom w:val="0"/>
              <w:divBdr>
                <w:top w:val="none" w:sz="0" w:space="0" w:color="auto"/>
                <w:left w:val="none" w:sz="0" w:space="0" w:color="auto"/>
                <w:bottom w:val="none" w:sz="0" w:space="0" w:color="auto"/>
                <w:right w:val="none" w:sz="0" w:space="0" w:color="auto"/>
              </w:divBdr>
            </w:div>
          </w:divsChild>
        </w:div>
        <w:div w:id="1687441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3317410">
      <w:bodyDiv w:val="1"/>
      <w:marLeft w:val="0"/>
      <w:marRight w:val="0"/>
      <w:marTop w:val="0"/>
      <w:marBottom w:val="0"/>
      <w:divBdr>
        <w:top w:val="none" w:sz="0" w:space="0" w:color="auto"/>
        <w:left w:val="none" w:sz="0" w:space="0" w:color="auto"/>
        <w:bottom w:val="none" w:sz="0" w:space="0" w:color="auto"/>
        <w:right w:val="none" w:sz="0" w:space="0" w:color="auto"/>
      </w:divBdr>
    </w:div>
    <w:div w:id="741025165">
      <w:bodyDiv w:val="1"/>
      <w:marLeft w:val="0"/>
      <w:marRight w:val="0"/>
      <w:marTop w:val="0"/>
      <w:marBottom w:val="0"/>
      <w:divBdr>
        <w:top w:val="none" w:sz="0" w:space="0" w:color="auto"/>
        <w:left w:val="none" w:sz="0" w:space="0" w:color="auto"/>
        <w:bottom w:val="none" w:sz="0" w:space="0" w:color="auto"/>
        <w:right w:val="none" w:sz="0" w:space="0" w:color="auto"/>
      </w:divBdr>
    </w:div>
    <w:div w:id="754785466">
      <w:bodyDiv w:val="1"/>
      <w:marLeft w:val="0"/>
      <w:marRight w:val="0"/>
      <w:marTop w:val="0"/>
      <w:marBottom w:val="0"/>
      <w:divBdr>
        <w:top w:val="none" w:sz="0" w:space="0" w:color="auto"/>
        <w:left w:val="none" w:sz="0" w:space="0" w:color="auto"/>
        <w:bottom w:val="none" w:sz="0" w:space="0" w:color="auto"/>
        <w:right w:val="none" w:sz="0" w:space="0" w:color="auto"/>
      </w:divBdr>
    </w:div>
    <w:div w:id="764233397">
      <w:bodyDiv w:val="1"/>
      <w:marLeft w:val="0"/>
      <w:marRight w:val="0"/>
      <w:marTop w:val="0"/>
      <w:marBottom w:val="0"/>
      <w:divBdr>
        <w:top w:val="none" w:sz="0" w:space="0" w:color="auto"/>
        <w:left w:val="none" w:sz="0" w:space="0" w:color="auto"/>
        <w:bottom w:val="none" w:sz="0" w:space="0" w:color="auto"/>
        <w:right w:val="none" w:sz="0" w:space="0" w:color="auto"/>
      </w:divBdr>
      <w:divsChild>
        <w:div w:id="1729378269">
          <w:marLeft w:val="0"/>
          <w:marRight w:val="0"/>
          <w:marTop w:val="0"/>
          <w:marBottom w:val="0"/>
          <w:divBdr>
            <w:top w:val="none" w:sz="0" w:space="0" w:color="auto"/>
            <w:left w:val="none" w:sz="0" w:space="0" w:color="auto"/>
            <w:bottom w:val="none" w:sz="0" w:space="0" w:color="auto"/>
            <w:right w:val="none" w:sz="0" w:space="0" w:color="auto"/>
          </w:divBdr>
          <w:divsChild>
            <w:div w:id="1050493405">
              <w:marLeft w:val="0"/>
              <w:marRight w:val="0"/>
              <w:marTop w:val="0"/>
              <w:marBottom w:val="0"/>
              <w:divBdr>
                <w:top w:val="none" w:sz="0" w:space="0" w:color="auto"/>
                <w:left w:val="none" w:sz="0" w:space="0" w:color="auto"/>
                <w:bottom w:val="none" w:sz="0" w:space="0" w:color="auto"/>
                <w:right w:val="none" w:sz="0" w:space="0" w:color="auto"/>
              </w:divBdr>
            </w:div>
            <w:div w:id="1552576092">
              <w:marLeft w:val="0"/>
              <w:marRight w:val="0"/>
              <w:marTop w:val="0"/>
              <w:marBottom w:val="0"/>
              <w:divBdr>
                <w:top w:val="none" w:sz="0" w:space="0" w:color="auto"/>
                <w:left w:val="none" w:sz="0" w:space="0" w:color="auto"/>
                <w:bottom w:val="none" w:sz="0" w:space="0" w:color="auto"/>
                <w:right w:val="none" w:sz="0" w:space="0" w:color="auto"/>
              </w:divBdr>
            </w:div>
            <w:div w:id="2022930535">
              <w:marLeft w:val="0"/>
              <w:marRight w:val="0"/>
              <w:marTop w:val="0"/>
              <w:marBottom w:val="0"/>
              <w:divBdr>
                <w:top w:val="none" w:sz="0" w:space="0" w:color="auto"/>
                <w:left w:val="none" w:sz="0" w:space="0" w:color="auto"/>
                <w:bottom w:val="none" w:sz="0" w:space="0" w:color="auto"/>
                <w:right w:val="none" w:sz="0" w:space="0" w:color="auto"/>
              </w:divBdr>
            </w:div>
            <w:div w:id="1016351156">
              <w:marLeft w:val="0"/>
              <w:marRight w:val="0"/>
              <w:marTop w:val="0"/>
              <w:marBottom w:val="0"/>
              <w:divBdr>
                <w:top w:val="none" w:sz="0" w:space="0" w:color="auto"/>
                <w:left w:val="none" w:sz="0" w:space="0" w:color="auto"/>
                <w:bottom w:val="none" w:sz="0" w:space="0" w:color="auto"/>
                <w:right w:val="none" w:sz="0" w:space="0" w:color="auto"/>
              </w:divBdr>
            </w:div>
            <w:div w:id="221599011">
              <w:marLeft w:val="0"/>
              <w:marRight w:val="0"/>
              <w:marTop w:val="0"/>
              <w:marBottom w:val="0"/>
              <w:divBdr>
                <w:top w:val="none" w:sz="0" w:space="0" w:color="auto"/>
                <w:left w:val="none" w:sz="0" w:space="0" w:color="auto"/>
                <w:bottom w:val="none" w:sz="0" w:space="0" w:color="auto"/>
                <w:right w:val="none" w:sz="0" w:space="0" w:color="auto"/>
              </w:divBdr>
            </w:div>
            <w:div w:id="884829082">
              <w:marLeft w:val="0"/>
              <w:marRight w:val="0"/>
              <w:marTop w:val="0"/>
              <w:marBottom w:val="0"/>
              <w:divBdr>
                <w:top w:val="none" w:sz="0" w:space="0" w:color="auto"/>
                <w:left w:val="none" w:sz="0" w:space="0" w:color="auto"/>
                <w:bottom w:val="none" w:sz="0" w:space="0" w:color="auto"/>
                <w:right w:val="none" w:sz="0" w:space="0" w:color="auto"/>
              </w:divBdr>
            </w:div>
            <w:div w:id="578293538">
              <w:marLeft w:val="0"/>
              <w:marRight w:val="0"/>
              <w:marTop w:val="0"/>
              <w:marBottom w:val="0"/>
              <w:divBdr>
                <w:top w:val="none" w:sz="0" w:space="0" w:color="auto"/>
                <w:left w:val="none" w:sz="0" w:space="0" w:color="auto"/>
                <w:bottom w:val="none" w:sz="0" w:space="0" w:color="auto"/>
                <w:right w:val="none" w:sz="0" w:space="0" w:color="auto"/>
              </w:divBdr>
            </w:div>
            <w:div w:id="596212317">
              <w:marLeft w:val="0"/>
              <w:marRight w:val="0"/>
              <w:marTop w:val="0"/>
              <w:marBottom w:val="0"/>
              <w:divBdr>
                <w:top w:val="none" w:sz="0" w:space="0" w:color="auto"/>
                <w:left w:val="none" w:sz="0" w:space="0" w:color="auto"/>
                <w:bottom w:val="none" w:sz="0" w:space="0" w:color="auto"/>
                <w:right w:val="none" w:sz="0" w:space="0" w:color="auto"/>
              </w:divBdr>
            </w:div>
            <w:div w:id="1656761807">
              <w:marLeft w:val="0"/>
              <w:marRight w:val="0"/>
              <w:marTop w:val="0"/>
              <w:marBottom w:val="0"/>
              <w:divBdr>
                <w:top w:val="none" w:sz="0" w:space="0" w:color="auto"/>
                <w:left w:val="none" w:sz="0" w:space="0" w:color="auto"/>
                <w:bottom w:val="none" w:sz="0" w:space="0" w:color="auto"/>
                <w:right w:val="none" w:sz="0" w:space="0" w:color="auto"/>
              </w:divBdr>
            </w:div>
            <w:div w:id="2057389882">
              <w:marLeft w:val="0"/>
              <w:marRight w:val="0"/>
              <w:marTop w:val="0"/>
              <w:marBottom w:val="0"/>
              <w:divBdr>
                <w:top w:val="none" w:sz="0" w:space="0" w:color="auto"/>
                <w:left w:val="none" w:sz="0" w:space="0" w:color="auto"/>
                <w:bottom w:val="none" w:sz="0" w:space="0" w:color="auto"/>
                <w:right w:val="none" w:sz="0" w:space="0" w:color="auto"/>
              </w:divBdr>
            </w:div>
            <w:div w:id="623468602">
              <w:marLeft w:val="0"/>
              <w:marRight w:val="0"/>
              <w:marTop w:val="0"/>
              <w:marBottom w:val="0"/>
              <w:divBdr>
                <w:top w:val="none" w:sz="0" w:space="0" w:color="auto"/>
                <w:left w:val="none" w:sz="0" w:space="0" w:color="auto"/>
                <w:bottom w:val="none" w:sz="0" w:space="0" w:color="auto"/>
                <w:right w:val="none" w:sz="0" w:space="0" w:color="auto"/>
              </w:divBdr>
            </w:div>
            <w:div w:id="1067417198">
              <w:marLeft w:val="0"/>
              <w:marRight w:val="0"/>
              <w:marTop w:val="0"/>
              <w:marBottom w:val="0"/>
              <w:divBdr>
                <w:top w:val="none" w:sz="0" w:space="0" w:color="auto"/>
                <w:left w:val="none" w:sz="0" w:space="0" w:color="auto"/>
                <w:bottom w:val="none" w:sz="0" w:space="0" w:color="auto"/>
                <w:right w:val="none" w:sz="0" w:space="0" w:color="auto"/>
              </w:divBdr>
            </w:div>
            <w:div w:id="1841577975">
              <w:marLeft w:val="0"/>
              <w:marRight w:val="0"/>
              <w:marTop w:val="0"/>
              <w:marBottom w:val="0"/>
              <w:divBdr>
                <w:top w:val="none" w:sz="0" w:space="0" w:color="auto"/>
                <w:left w:val="none" w:sz="0" w:space="0" w:color="auto"/>
                <w:bottom w:val="none" w:sz="0" w:space="0" w:color="auto"/>
                <w:right w:val="none" w:sz="0" w:space="0" w:color="auto"/>
              </w:divBdr>
            </w:div>
            <w:div w:id="1892685960">
              <w:marLeft w:val="0"/>
              <w:marRight w:val="0"/>
              <w:marTop w:val="0"/>
              <w:marBottom w:val="0"/>
              <w:divBdr>
                <w:top w:val="none" w:sz="0" w:space="0" w:color="auto"/>
                <w:left w:val="none" w:sz="0" w:space="0" w:color="auto"/>
                <w:bottom w:val="none" w:sz="0" w:space="0" w:color="auto"/>
                <w:right w:val="none" w:sz="0" w:space="0" w:color="auto"/>
              </w:divBdr>
            </w:div>
            <w:div w:id="597254981">
              <w:marLeft w:val="0"/>
              <w:marRight w:val="0"/>
              <w:marTop w:val="0"/>
              <w:marBottom w:val="0"/>
              <w:divBdr>
                <w:top w:val="none" w:sz="0" w:space="0" w:color="auto"/>
                <w:left w:val="none" w:sz="0" w:space="0" w:color="auto"/>
                <w:bottom w:val="none" w:sz="0" w:space="0" w:color="auto"/>
                <w:right w:val="none" w:sz="0" w:space="0" w:color="auto"/>
              </w:divBdr>
            </w:div>
            <w:div w:id="1702590944">
              <w:marLeft w:val="0"/>
              <w:marRight w:val="0"/>
              <w:marTop w:val="0"/>
              <w:marBottom w:val="0"/>
              <w:divBdr>
                <w:top w:val="none" w:sz="0" w:space="0" w:color="auto"/>
                <w:left w:val="none" w:sz="0" w:space="0" w:color="auto"/>
                <w:bottom w:val="none" w:sz="0" w:space="0" w:color="auto"/>
                <w:right w:val="none" w:sz="0" w:space="0" w:color="auto"/>
              </w:divBdr>
            </w:div>
            <w:div w:id="1155220312">
              <w:marLeft w:val="0"/>
              <w:marRight w:val="0"/>
              <w:marTop w:val="0"/>
              <w:marBottom w:val="0"/>
              <w:divBdr>
                <w:top w:val="none" w:sz="0" w:space="0" w:color="auto"/>
                <w:left w:val="none" w:sz="0" w:space="0" w:color="auto"/>
                <w:bottom w:val="none" w:sz="0" w:space="0" w:color="auto"/>
                <w:right w:val="none" w:sz="0" w:space="0" w:color="auto"/>
              </w:divBdr>
            </w:div>
            <w:div w:id="746345977">
              <w:marLeft w:val="0"/>
              <w:marRight w:val="0"/>
              <w:marTop w:val="0"/>
              <w:marBottom w:val="0"/>
              <w:divBdr>
                <w:top w:val="none" w:sz="0" w:space="0" w:color="auto"/>
                <w:left w:val="none" w:sz="0" w:space="0" w:color="auto"/>
                <w:bottom w:val="none" w:sz="0" w:space="0" w:color="auto"/>
                <w:right w:val="none" w:sz="0" w:space="0" w:color="auto"/>
              </w:divBdr>
            </w:div>
            <w:div w:id="122718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27039">
      <w:bodyDiv w:val="1"/>
      <w:marLeft w:val="0"/>
      <w:marRight w:val="0"/>
      <w:marTop w:val="0"/>
      <w:marBottom w:val="0"/>
      <w:divBdr>
        <w:top w:val="none" w:sz="0" w:space="0" w:color="auto"/>
        <w:left w:val="none" w:sz="0" w:space="0" w:color="auto"/>
        <w:bottom w:val="none" w:sz="0" w:space="0" w:color="auto"/>
        <w:right w:val="none" w:sz="0" w:space="0" w:color="auto"/>
      </w:divBdr>
    </w:div>
    <w:div w:id="889414230">
      <w:bodyDiv w:val="1"/>
      <w:marLeft w:val="0"/>
      <w:marRight w:val="0"/>
      <w:marTop w:val="0"/>
      <w:marBottom w:val="0"/>
      <w:divBdr>
        <w:top w:val="none" w:sz="0" w:space="0" w:color="auto"/>
        <w:left w:val="none" w:sz="0" w:space="0" w:color="auto"/>
        <w:bottom w:val="none" w:sz="0" w:space="0" w:color="auto"/>
        <w:right w:val="none" w:sz="0" w:space="0" w:color="auto"/>
      </w:divBdr>
    </w:div>
    <w:div w:id="1005782988">
      <w:bodyDiv w:val="1"/>
      <w:marLeft w:val="0"/>
      <w:marRight w:val="0"/>
      <w:marTop w:val="0"/>
      <w:marBottom w:val="0"/>
      <w:divBdr>
        <w:top w:val="none" w:sz="0" w:space="0" w:color="auto"/>
        <w:left w:val="none" w:sz="0" w:space="0" w:color="auto"/>
        <w:bottom w:val="none" w:sz="0" w:space="0" w:color="auto"/>
        <w:right w:val="none" w:sz="0" w:space="0" w:color="auto"/>
      </w:divBdr>
      <w:divsChild>
        <w:div w:id="771360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0786500">
      <w:bodyDiv w:val="1"/>
      <w:marLeft w:val="0"/>
      <w:marRight w:val="0"/>
      <w:marTop w:val="0"/>
      <w:marBottom w:val="0"/>
      <w:divBdr>
        <w:top w:val="none" w:sz="0" w:space="0" w:color="auto"/>
        <w:left w:val="none" w:sz="0" w:space="0" w:color="auto"/>
        <w:bottom w:val="none" w:sz="0" w:space="0" w:color="auto"/>
        <w:right w:val="none" w:sz="0" w:space="0" w:color="auto"/>
      </w:divBdr>
    </w:div>
    <w:div w:id="1102149247">
      <w:bodyDiv w:val="1"/>
      <w:marLeft w:val="0"/>
      <w:marRight w:val="0"/>
      <w:marTop w:val="0"/>
      <w:marBottom w:val="0"/>
      <w:divBdr>
        <w:top w:val="none" w:sz="0" w:space="0" w:color="auto"/>
        <w:left w:val="none" w:sz="0" w:space="0" w:color="auto"/>
        <w:bottom w:val="none" w:sz="0" w:space="0" w:color="auto"/>
        <w:right w:val="none" w:sz="0" w:space="0" w:color="auto"/>
      </w:divBdr>
    </w:div>
    <w:div w:id="1115295628">
      <w:bodyDiv w:val="1"/>
      <w:marLeft w:val="0"/>
      <w:marRight w:val="0"/>
      <w:marTop w:val="0"/>
      <w:marBottom w:val="0"/>
      <w:divBdr>
        <w:top w:val="none" w:sz="0" w:space="0" w:color="auto"/>
        <w:left w:val="none" w:sz="0" w:space="0" w:color="auto"/>
        <w:bottom w:val="none" w:sz="0" w:space="0" w:color="auto"/>
        <w:right w:val="none" w:sz="0" w:space="0" w:color="auto"/>
      </w:divBdr>
      <w:divsChild>
        <w:div w:id="169876390">
          <w:marLeft w:val="0"/>
          <w:marRight w:val="0"/>
          <w:marTop w:val="0"/>
          <w:marBottom w:val="0"/>
          <w:divBdr>
            <w:top w:val="none" w:sz="0" w:space="0" w:color="auto"/>
            <w:left w:val="none" w:sz="0" w:space="0" w:color="auto"/>
            <w:bottom w:val="none" w:sz="0" w:space="0" w:color="auto"/>
            <w:right w:val="none" w:sz="0" w:space="0" w:color="auto"/>
          </w:divBdr>
          <w:divsChild>
            <w:div w:id="101981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255750">
      <w:bodyDiv w:val="1"/>
      <w:marLeft w:val="0"/>
      <w:marRight w:val="0"/>
      <w:marTop w:val="0"/>
      <w:marBottom w:val="0"/>
      <w:divBdr>
        <w:top w:val="none" w:sz="0" w:space="0" w:color="auto"/>
        <w:left w:val="none" w:sz="0" w:space="0" w:color="auto"/>
        <w:bottom w:val="none" w:sz="0" w:space="0" w:color="auto"/>
        <w:right w:val="none" w:sz="0" w:space="0" w:color="auto"/>
      </w:divBdr>
      <w:divsChild>
        <w:div w:id="1736926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9415083">
      <w:bodyDiv w:val="1"/>
      <w:marLeft w:val="0"/>
      <w:marRight w:val="0"/>
      <w:marTop w:val="0"/>
      <w:marBottom w:val="0"/>
      <w:divBdr>
        <w:top w:val="none" w:sz="0" w:space="0" w:color="auto"/>
        <w:left w:val="none" w:sz="0" w:space="0" w:color="auto"/>
        <w:bottom w:val="none" w:sz="0" w:space="0" w:color="auto"/>
        <w:right w:val="none" w:sz="0" w:space="0" w:color="auto"/>
      </w:divBdr>
    </w:div>
    <w:div w:id="1260257854">
      <w:bodyDiv w:val="1"/>
      <w:marLeft w:val="0"/>
      <w:marRight w:val="0"/>
      <w:marTop w:val="0"/>
      <w:marBottom w:val="0"/>
      <w:divBdr>
        <w:top w:val="none" w:sz="0" w:space="0" w:color="auto"/>
        <w:left w:val="none" w:sz="0" w:space="0" w:color="auto"/>
        <w:bottom w:val="none" w:sz="0" w:space="0" w:color="auto"/>
        <w:right w:val="none" w:sz="0" w:space="0" w:color="auto"/>
      </w:divBdr>
      <w:divsChild>
        <w:div w:id="1243487539">
          <w:marLeft w:val="0"/>
          <w:marRight w:val="0"/>
          <w:marTop w:val="0"/>
          <w:marBottom w:val="0"/>
          <w:divBdr>
            <w:top w:val="none" w:sz="0" w:space="0" w:color="auto"/>
            <w:left w:val="none" w:sz="0" w:space="0" w:color="auto"/>
            <w:bottom w:val="none" w:sz="0" w:space="0" w:color="auto"/>
            <w:right w:val="none" w:sz="0" w:space="0" w:color="auto"/>
          </w:divBdr>
          <w:divsChild>
            <w:div w:id="1836917777">
              <w:marLeft w:val="0"/>
              <w:marRight w:val="0"/>
              <w:marTop w:val="0"/>
              <w:marBottom w:val="0"/>
              <w:divBdr>
                <w:top w:val="none" w:sz="0" w:space="0" w:color="auto"/>
                <w:left w:val="none" w:sz="0" w:space="0" w:color="auto"/>
                <w:bottom w:val="none" w:sz="0" w:space="0" w:color="auto"/>
                <w:right w:val="none" w:sz="0" w:space="0" w:color="auto"/>
              </w:divBdr>
            </w:div>
            <w:div w:id="624576704">
              <w:marLeft w:val="0"/>
              <w:marRight w:val="0"/>
              <w:marTop w:val="0"/>
              <w:marBottom w:val="0"/>
              <w:divBdr>
                <w:top w:val="none" w:sz="0" w:space="0" w:color="auto"/>
                <w:left w:val="none" w:sz="0" w:space="0" w:color="auto"/>
                <w:bottom w:val="none" w:sz="0" w:space="0" w:color="auto"/>
                <w:right w:val="none" w:sz="0" w:space="0" w:color="auto"/>
              </w:divBdr>
            </w:div>
            <w:div w:id="402026718">
              <w:marLeft w:val="0"/>
              <w:marRight w:val="0"/>
              <w:marTop w:val="0"/>
              <w:marBottom w:val="0"/>
              <w:divBdr>
                <w:top w:val="none" w:sz="0" w:space="0" w:color="auto"/>
                <w:left w:val="none" w:sz="0" w:space="0" w:color="auto"/>
                <w:bottom w:val="none" w:sz="0" w:space="0" w:color="auto"/>
                <w:right w:val="none" w:sz="0" w:space="0" w:color="auto"/>
              </w:divBdr>
            </w:div>
            <w:div w:id="231308901">
              <w:marLeft w:val="0"/>
              <w:marRight w:val="0"/>
              <w:marTop w:val="0"/>
              <w:marBottom w:val="0"/>
              <w:divBdr>
                <w:top w:val="none" w:sz="0" w:space="0" w:color="auto"/>
                <w:left w:val="none" w:sz="0" w:space="0" w:color="auto"/>
                <w:bottom w:val="none" w:sz="0" w:space="0" w:color="auto"/>
                <w:right w:val="none" w:sz="0" w:space="0" w:color="auto"/>
              </w:divBdr>
            </w:div>
            <w:div w:id="604194949">
              <w:marLeft w:val="0"/>
              <w:marRight w:val="0"/>
              <w:marTop w:val="0"/>
              <w:marBottom w:val="0"/>
              <w:divBdr>
                <w:top w:val="none" w:sz="0" w:space="0" w:color="auto"/>
                <w:left w:val="none" w:sz="0" w:space="0" w:color="auto"/>
                <w:bottom w:val="none" w:sz="0" w:space="0" w:color="auto"/>
                <w:right w:val="none" w:sz="0" w:space="0" w:color="auto"/>
              </w:divBdr>
            </w:div>
            <w:div w:id="1191451570">
              <w:marLeft w:val="0"/>
              <w:marRight w:val="0"/>
              <w:marTop w:val="0"/>
              <w:marBottom w:val="0"/>
              <w:divBdr>
                <w:top w:val="none" w:sz="0" w:space="0" w:color="auto"/>
                <w:left w:val="none" w:sz="0" w:space="0" w:color="auto"/>
                <w:bottom w:val="none" w:sz="0" w:space="0" w:color="auto"/>
                <w:right w:val="none" w:sz="0" w:space="0" w:color="auto"/>
              </w:divBdr>
            </w:div>
            <w:div w:id="61566327">
              <w:marLeft w:val="0"/>
              <w:marRight w:val="0"/>
              <w:marTop w:val="0"/>
              <w:marBottom w:val="0"/>
              <w:divBdr>
                <w:top w:val="none" w:sz="0" w:space="0" w:color="auto"/>
                <w:left w:val="none" w:sz="0" w:space="0" w:color="auto"/>
                <w:bottom w:val="none" w:sz="0" w:space="0" w:color="auto"/>
                <w:right w:val="none" w:sz="0" w:space="0" w:color="auto"/>
              </w:divBdr>
            </w:div>
            <w:div w:id="614597490">
              <w:marLeft w:val="0"/>
              <w:marRight w:val="0"/>
              <w:marTop w:val="0"/>
              <w:marBottom w:val="0"/>
              <w:divBdr>
                <w:top w:val="none" w:sz="0" w:space="0" w:color="auto"/>
                <w:left w:val="none" w:sz="0" w:space="0" w:color="auto"/>
                <w:bottom w:val="none" w:sz="0" w:space="0" w:color="auto"/>
                <w:right w:val="none" w:sz="0" w:space="0" w:color="auto"/>
              </w:divBdr>
            </w:div>
            <w:div w:id="1012298756">
              <w:marLeft w:val="0"/>
              <w:marRight w:val="0"/>
              <w:marTop w:val="0"/>
              <w:marBottom w:val="0"/>
              <w:divBdr>
                <w:top w:val="none" w:sz="0" w:space="0" w:color="auto"/>
                <w:left w:val="none" w:sz="0" w:space="0" w:color="auto"/>
                <w:bottom w:val="none" w:sz="0" w:space="0" w:color="auto"/>
                <w:right w:val="none" w:sz="0" w:space="0" w:color="auto"/>
              </w:divBdr>
            </w:div>
            <w:div w:id="1949004868">
              <w:marLeft w:val="0"/>
              <w:marRight w:val="0"/>
              <w:marTop w:val="0"/>
              <w:marBottom w:val="0"/>
              <w:divBdr>
                <w:top w:val="none" w:sz="0" w:space="0" w:color="auto"/>
                <w:left w:val="none" w:sz="0" w:space="0" w:color="auto"/>
                <w:bottom w:val="none" w:sz="0" w:space="0" w:color="auto"/>
                <w:right w:val="none" w:sz="0" w:space="0" w:color="auto"/>
              </w:divBdr>
            </w:div>
            <w:div w:id="15664996">
              <w:marLeft w:val="0"/>
              <w:marRight w:val="0"/>
              <w:marTop w:val="0"/>
              <w:marBottom w:val="0"/>
              <w:divBdr>
                <w:top w:val="none" w:sz="0" w:space="0" w:color="auto"/>
                <w:left w:val="none" w:sz="0" w:space="0" w:color="auto"/>
                <w:bottom w:val="none" w:sz="0" w:space="0" w:color="auto"/>
                <w:right w:val="none" w:sz="0" w:space="0" w:color="auto"/>
              </w:divBdr>
            </w:div>
            <w:div w:id="221478531">
              <w:marLeft w:val="0"/>
              <w:marRight w:val="0"/>
              <w:marTop w:val="0"/>
              <w:marBottom w:val="0"/>
              <w:divBdr>
                <w:top w:val="none" w:sz="0" w:space="0" w:color="auto"/>
                <w:left w:val="none" w:sz="0" w:space="0" w:color="auto"/>
                <w:bottom w:val="none" w:sz="0" w:space="0" w:color="auto"/>
                <w:right w:val="none" w:sz="0" w:space="0" w:color="auto"/>
              </w:divBdr>
            </w:div>
            <w:div w:id="599263086">
              <w:marLeft w:val="0"/>
              <w:marRight w:val="0"/>
              <w:marTop w:val="0"/>
              <w:marBottom w:val="0"/>
              <w:divBdr>
                <w:top w:val="none" w:sz="0" w:space="0" w:color="auto"/>
                <w:left w:val="none" w:sz="0" w:space="0" w:color="auto"/>
                <w:bottom w:val="none" w:sz="0" w:space="0" w:color="auto"/>
                <w:right w:val="none" w:sz="0" w:space="0" w:color="auto"/>
              </w:divBdr>
            </w:div>
            <w:div w:id="99839328">
              <w:marLeft w:val="0"/>
              <w:marRight w:val="0"/>
              <w:marTop w:val="0"/>
              <w:marBottom w:val="0"/>
              <w:divBdr>
                <w:top w:val="none" w:sz="0" w:space="0" w:color="auto"/>
                <w:left w:val="none" w:sz="0" w:space="0" w:color="auto"/>
                <w:bottom w:val="none" w:sz="0" w:space="0" w:color="auto"/>
                <w:right w:val="none" w:sz="0" w:space="0" w:color="auto"/>
              </w:divBdr>
            </w:div>
            <w:div w:id="385489155">
              <w:marLeft w:val="0"/>
              <w:marRight w:val="0"/>
              <w:marTop w:val="0"/>
              <w:marBottom w:val="0"/>
              <w:divBdr>
                <w:top w:val="none" w:sz="0" w:space="0" w:color="auto"/>
                <w:left w:val="none" w:sz="0" w:space="0" w:color="auto"/>
                <w:bottom w:val="none" w:sz="0" w:space="0" w:color="auto"/>
                <w:right w:val="none" w:sz="0" w:space="0" w:color="auto"/>
              </w:divBdr>
            </w:div>
            <w:div w:id="196547453">
              <w:marLeft w:val="0"/>
              <w:marRight w:val="0"/>
              <w:marTop w:val="0"/>
              <w:marBottom w:val="0"/>
              <w:divBdr>
                <w:top w:val="none" w:sz="0" w:space="0" w:color="auto"/>
                <w:left w:val="none" w:sz="0" w:space="0" w:color="auto"/>
                <w:bottom w:val="none" w:sz="0" w:space="0" w:color="auto"/>
                <w:right w:val="none" w:sz="0" w:space="0" w:color="auto"/>
              </w:divBdr>
            </w:div>
            <w:div w:id="998191571">
              <w:marLeft w:val="0"/>
              <w:marRight w:val="0"/>
              <w:marTop w:val="0"/>
              <w:marBottom w:val="0"/>
              <w:divBdr>
                <w:top w:val="none" w:sz="0" w:space="0" w:color="auto"/>
                <w:left w:val="none" w:sz="0" w:space="0" w:color="auto"/>
                <w:bottom w:val="none" w:sz="0" w:space="0" w:color="auto"/>
                <w:right w:val="none" w:sz="0" w:space="0" w:color="auto"/>
              </w:divBdr>
            </w:div>
            <w:div w:id="267005174">
              <w:marLeft w:val="0"/>
              <w:marRight w:val="0"/>
              <w:marTop w:val="0"/>
              <w:marBottom w:val="0"/>
              <w:divBdr>
                <w:top w:val="none" w:sz="0" w:space="0" w:color="auto"/>
                <w:left w:val="none" w:sz="0" w:space="0" w:color="auto"/>
                <w:bottom w:val="none" w:sz="0" w:space="0" w:color="auto"/>
                <w:right w:val="none" w:sz="0" w:space="0" w:color="auto"/>
              </w:divBdr>
            </w:div>
            <w:div w:id="177000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725599">
      <w:bodyDiv w:val="1"/>
      <w:marLeft w:val="0"/>
      <w:marRight w:val="0"/>
      <w:marTop w:val="0"/>
      <w:marBottom w:val="0"/>
      <w:divBdr>
        <w:top w:val="none" w:sz="0" w:space="0" w:color="auto"/>
        <w:left w:val="none" w:sz="0" w:space="0" w:color="auto"/>
        <w:bottom w:val="none" w:sz="0" w:space="0" w:color="auto"/>
        <w:right w:val="none" w:sz="0" w:space="0" w:color="auto"/>
      </w:divBdr>
    </w:div>
    <w:div w:id="1355762418">
      <w:bodyDiv w:val="1"/>
      <w:marLeft w:val="0"/>
      <w:marRight w:val="0"/>
      <w:marTop w:val="0"/>
      <w:marBottom w:val="0"/>
      <w:divBdr>
        <w:top w:val="none" w:sz="0" w:space="0" w:color="auto"/>
        <w:left w:val="none" w:sz="0" w:space="0" w:color="auto"/>
        <w:bottom w:val="none" w:sz="0" w:space="0" w:color="auto"/>
        <w:right w:val="none" w:sz="0" w:space="0" w:color="auto"/>
      </w:divBdr>
    </w:div>
    <w:div w:id="1477532780">
      <w:bodyDiv w:val="1"/>
      <w:marLeft w:val="0"/>
      <w:marRight w:val="0"/>
      <w:marTop w:val="0"/>
      <w:marBottom w:val="0"/>
      <w:divBdr>
        <w:top w:val="none" w:sz="0" w:space="0" w:color="auto"/>
        <w:left w:val="none" w:sz="0" w:space="0" w:color="auto"/>
        <w:bottom w:val="none" w:sz="0" w:space="0" w:color="auto"/>
        <w:right w:val="none" w:sz="0" w:space="0" w:color="auto"/>
      </w:divBdr>
      <w:divsChild>
        <w:div w:id="592663390">
          <w:marLeft w:val="0"/>
          <w:marRight w:val="0"/>
          <w:marTop w:val="0"/>
          <w:marBottom w:val="0"/>
          <w:divBdr>
            <w:top w:val="none" w:sz="0" w:space="0" w:color="auto"/>
            <w:left w:val="none" w:sz="0" w:space="0" w:color="auto"/>
            <w:bottom w:val="none" w:sz="0" w:space="0" w:color="auto"/>
            <w:right w:val="none" w:sz="0" w:space="0" w:color="auto"/>
          </w:divBdr>
          <w:divsChild>
            <w:div w:id="283659056">
              <w:marLeft w:val="0"/>
              <w:marRight w:val="0"/>
              <w:marTop w:val="0"/>
              <w:marBottom w:val="0"/>
              <w:divBdr>
                <w:top w:val="none" w:sz="0" w:space="0" w:color="auto"/>
                <w:left w:val="none" w:sz="0" w:space="0" w:color="auto"/>
                <w:bottom w:val="none" w:sz="0" w:space="0" w:color="auto"/>
                <w:right w:val="none" w:sz="0" w:space="0" w:color="auto"/>
              </w:divBdr>
            </w:div>
            <w:div w:id="51473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428198">
      <w:bodyDiv w:val="1"/>
      <w:marLeft w:val="0"/>
      <w:marRight w:val="0"/>
      <w:marTop w:val="0"/>
      <w:marBottom w:val="0"/>
      <w:divBdr>
        <w:top w:val="none" w:sz="0" w:space="0" w:color="auto"/>
        <w:left w:val="none" w:sz="0" w:space="0" w:color="auto"/>
        <w:bottom w:val="none" w:sz="0" w:space="0" w:color="auto"/>
        <w:right w:val="none" w:sz="0" w:space="0" w:color="auto"/>
      </w:divBdr>
      <w:divsChild>
        <w:div w:id="536627664">
          <w:marLeft w:val="0"/>
          <w:marRight w:val="0"/>
          <w:marTop w:val="0"/>
          <w:marBottom w:val="0"/>
          <w:divBdr>
            <w:top w:val="none" w:sz="0" w:space="0" w:color="auto"/>
            <w:left w:val="none" w:sz="0" w:space="0" w:color="auto"/>
            <w:bottom w:val="none" w:sz="0" w:space="0" w:color="auto"/>
            <w:right w:val="none" w:sz="0" w:space="0" w:color="auto"/>
          </w:divBdr>
          <w:divsChild>
            <w:div w:id="5059357">
              <w:marLeft w:val="0"/>
              <w:marRight w:val="0"/>
              <w:marTop w:val="0"/>
              <w:marBottom w:val="0"/>
              <w:divBdr>
                <w:top w:val="none" w:sz="0" w:space="0" w:color="auto"/>
                <w:left w:val="none" w:sz="0" w:space="0" w:color="auto"/>
                <w:bottom w:val="none" w:sz="0" w:space="0" w:color="auto"/>
                <w:right w:val="none" w:sz="0" w:space="0" w:color="auto"/>
              </w:divBdr>
            </w:div>
            <w:div w:id="214304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72885">
      <w:bodyDiv w:val="1"/>
      <w:marLeft w:val="0"/>
      <w:marRight w:val="0"/>
      <w:marTop w:val="0"/>
      <w:marBottom w:val="0"/>
      <w:divBdr>
        <w:top w:val="none" w:sz="0" w:space="0" w:color="auto"/>
        <w:left w:val="none" w:sz="0" w:space="0" w:color="auto"/>
        <w:bottom w:val="none" w:sz="0" w:space="0" w:color="auto"/>
        <w:right w:val="none" w:sz="0" w:space="0" w:color="auto"/>
      </w:divBdr>
    </w:div>
    <w:div w:id="1655527251">
      <w:bodyDiv w:val="1"/>
      <w:marLeft w:val="0"/>
      <w:marRight w:val="0"/>
      <w:marTop w:val="0"/>
      <w:marBottom w:val="0"/>
      <w:divBdr>
        <w:top w:val="none" w:sz="0" w:space="0" w:color="auto"/>
        <w:left w:val="none" w:sz="0" w:space="0" w:color="auto"/>
        <w:bottom w:val="none" w:sz="0" w:space="0" w:color="auto"/>
        <w:right w:val="none" w:sz="0" w:space="0" w:color="auto"/>
      </w:divBdr>
    </w:div>
    <w:div w:id="1791632052">
      <w:bodyDiv w:val="1"/>
      <w:marLeft w:val="0"/>
      <w:marRight w:val="0"/>
      <w:marTop w:val="0"/>
      <w:marBottom w:val="0"/>
      <w:divBdr>
        <w:top w:val="none" w:sz="0" w:space="0" w:color="auto"/>
        <w:left w:val="none" w:sz="0" w:space="0" w:color="auto"/>
        <w:bottom w:val="none" w:sz="0" w:space="0" w:color="auto"/>
        <w:right w:val="none" w:sz="0" w:space="0" w:color="auto"/>
      </w:divBdr>
      <w:divsChild>
        <w:div w:id="475994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1595941">
      <w:bodyDiv w:val="1"/>
      <w:marLeft w:val="0"/>
      <w:marRight w:val="0"/>
      <w:marTop w:val="0"/>
      <w:marBottom w:val="0"/>
      <w:divBdr>
        <w:top w:val="none" w:sz="0" w:space="0" w:color="auto"/>
        <w:left w:val="none" w:sz="0" w:space="0" w:color="auto"/>
        <w:bottom w:val="none" w:sz="0" w:space="0" w:color="auto"/>
        <w:right w:val="none" w:sz="0" w:space="0" w:color="auto"/>
      </w:divBdr>
      <w:divsChild>
        <w:div w:id="523789262">
          <w:marLeft w:val="0"/>
          <w:marRight w:val="0"/>
          <w:marTop w:val="0"/>
          <w:marBottom w:val="0"/>
          <w:divBdr>
            <w:top w:val="none" w:sz="0" w:space="0" w:color="auto"/>
            <w:left w:val="none" w:sz="0" w:space="0" w:color="auto"/>
            <w:bottom w:val="none" w:sz="0" w:space="0" w:color="auto"/>
            <w:right w:val="none" w:sz="0" w:space="0" w:color="auto"/>
          </w:divBdr>
          <w:divsChild>
            <w:div w:id="89662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373408">
      <w:bodyDiv w:val="1"/>
      <w:marLeft w:val="0"/>
      <w:marRight w:val="0"/>
      <w:marTop w:val="0"/>
      <w:marBottom w:val="0"/>
      <w:divBdr>
        <w:top w:val="none" w:sz="0" w:space="0" w:color="auto"/>
        <w:left w:val="none" w:sz="0" w:space="0" w:color="auto"/>
        <w:bottom w:val="none" w:sz="0" w:space="0" w:color="auto"/>
        <w:right w:val="none" w:sz="0" w:space="0" w:color="auto"/>
      </w:divBdr>
    </w:div>
    <w:div w:id="2044594513">
      <w:bodyDiv w:val="1"/>
      <w:marLeft w:val="0"/>
      <w:marRight w:val="0"/>
      <w:marTop w:val="0"/>
      <w:marBottom w:val="0"/>
      <w:divBdr>
        <w:top w:val="none" w:sz="0" w:space="0" w:color="auto"/>
        <w:left w:val="none" w:sz="0" w:space="0" w:color="auto"/>
        <w:bottom w:val="none" w:sz="0" w:space="0" w:color="auto"/>
        <w:right w:val="none" w:sz="0" w:space="0" w:color="auto"/>
      </w:divBdr>
    </w:div>
    <w:div w:id="2069262537">
      <w:bodyDiv w:val="1"/>
      <w:marLeft w:val="0"/>
      <w:marRight w:val="0"/>
      <w:marTop w:val="0"/>
      <w:marBottom w:val="0"/>
      <w:divBdr>
        <w:top w:val="none" w:sz="0" w:space="0" w:color="auto"/>
        <w:left w:val="none" w:sz="0" w:space="0" w:color="auto"/>
        <w:bottom w:val="none" w:sz="0" w:space="0" w:color="auto"/>
        <w:right w:val="none" w:sz="0" w:space="0" w:color="auto"/>
      </w:divBdr>
    </w:div>
    <w:div w:id="2109546020">
      <w:bodyDiv w:val="1"/>
      <w:marLeft w:val="0"/>
      <w:marRight w:val="0"/>
      <w:marTop w:val="0"/>
      <w:marBottom w:val="0"/>
      <w:divBdr>
        <w:top w:val="none" w:sz="0" w:space="0" w:color="auto"/>
        <w:left w:val="none" w:sz="0" w:space="0" w:color="auto"/>
        <w:bottom w:val="none" w:sz="0" w:space="0" w:color="auto"/>
        <w:right w:val="none" w:sz="0" w:space="0" w:color="auto"/>
      </w:divBdr>
      <w:divsChild>
        <w:div w:id="551771216">
          <w:marLeft w:val="0"/>
          <w:marRight w:val="0"/>
          <w:marTop w:val="0"/>
          <w:marBottom w:val="0"/>
          <w:divBdr>
            <w:top w:val="none" w:sz="0" w:space="0" w:color="auto"/>
            <w:left w:val="none" w:sz="0" w:space="0" w:color="auto"/>
            <w:bottom w:val="none" w:sz="0" w:space="0" w:color="auto"/>
            <w:right w:val="none" w:sz="0" w:space="0" w:color="auto"/>
          </w:divBdr>
          <w:divsChild>
            <w:div w:id="171189148">
              <w:marLeft w:val="0"/>
              <w:marRight w:val="0"/>
              <w:marTop w:val="0"/>
              <w:marBottom w:val="0"/>
              <w:divBdr>
                <w:top w:val="none" w:sz="0" w:space="0" w:color="auto"/>
                <w:left w:val="none" w:sz="0" w:space="0" w:color="auto"/>
                <w:bottom w:val="none" w:sz="0" w:space="0" w:color="auto"/>
                <w:right w:val="none" w:sz="0" w:space="0" w:color="auto"/>
              </w:divBdr>
            </w:div>
            <w:div w:id="74438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reuters.com/markets/rates-bonds/kenya-central-bank-cuts-key-rate-again-support-lending-2025-02-05/?utm_source=chatgpt.com" TargetMode="External"/><Relationship Id="rId3" Type="http://schemas.openxmlformats.org/officeDocument/2006/relationships/numbering" Target="numbering.xml"/><Relationship Id="rId21" Type="http://schemas.openxmlformats.org/officeDocument/2006/relationships/hyperlink" Target="https://economic-research.bnpparibas.com/html/en-US/Kenya-brief-respite-2/11/2025%2C51321?utm_source=chatgpt.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en.wikipedia.org/wiki/Kenya_Finance_Bill_protests?utm_source=chatgpt.com" TargetMode="Externa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hyperlink" Target="https://www.afdb.org/en/countries-east-africa-kenya/kenya-economic-outlook?utm_source=chatgpt.com" TargetMode="Externa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hyperlink" Target="https://www.safaricom.co.ke/annualreport_2024/the-commercial-value-we-deliver/our-kenyan-business/?utm_source=chatgpt.com"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economic-research.bnpparibas.com/html/en-US/Kenya-brief-respite-2/11/2025%2C51321?utm_source=chatgpt.com" TargetMode="External"/><Relationship Id="rId27"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 Data Scientist</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98D22FC-F0C7-4866-9A88-E028A4803F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7764</Words>
  <Characters>44257</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David mutugi kirianja</Company>
  <LinksUpToDate>false</LinksUpToDate>
  <CharactersWithSpaces>51918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MARKETS SPEAK IN REGIMES       -                                         Lessons from safaricom’s equity behaviour</dc:title>
  <dc:subject/>
  <dc:creator>A report by</dc:creator>
  <cp:keywords/>
  <dc:description/>
  <cp:lastModifiedBy>Hp</cp:lastModifiedBy>
  <cp:revision>2</cp:revision>
  <cp:lastPrinted>2026-01-07T07:02:00Z</cp:lastPrinted>
  <dcterms:created xsi:type="dcterms:W3CDTF">2026-07-07T07:02:00Z</dcterms:created>
  <dcterms:modified xsi:type="dcterms:W3CDTF">2026-07-07T07:02:00Z</dcterms:modified>
</cp:coreProperties>
</file>