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/>
          <w:sz w:val="18"/>
          <w:i/>
          <w:color w:val="000000"/>
        </w:rPr>
        <w:t xml:space="preserve">                                                                          Lógica</w:t>
      </w:r>
      <w:r>
        <w:rPr>
          <w:rFonts w:ascii="Cambria" w:hAnsi="Cambria"/>
          <w:sz w:val="18"/>
          <w:i/>
          <w:color w:val="000000"/>
        </w:rPr>
        <w:t xml:space="preserve"> </w:t>
      </w:r>
      <w:r>
        <w:rPr>
          <w:rFonts w:ascii="Cambria" w:hAnsi="Cambria"/>
          <w:sz w:val="18"/>
          <w:i/>
          <w:color w:val="000000"/>
        </w:rPr>
        <w:t xml:space="preserve">y</w:t>
      </w:r>
      <w:r>
        <w:rPr>
          <w:rFonts w:ascii="Cambria" w:hAnsi="Cambria"/>
          <w:sz w:val="18"/>
          <w:i/>
          <w:color w:val="000000"/>
        </w:rPr>
        <w:t xml:space="preserve"> </w:t>
      </w:r>
      <w:r>
        <w:rPr>
          <w:rFonts w:ascii="Cambria" w:hAnsi="Cambria"/>
          <w:sz w:val="18"/>
          <w:i/>
          <w:color w:val="000000"/>
        </w:rPr>
        <w:t xml:space="preserve">argumentación</w:t>
      </w:r>
      <w:r>
        <w:rPr>
          <w:rFonts w:ascii="Cambria" w:hAnsi="Cambria"/>
          <w:sz w:val="18"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i/>
          <w:color w:val="000000"/>
        </w:rPr>
        <w:t xml:space="preserve">                                                                                      2022-2</w:t>
      </w:r>
      <w:r>
        <w:rPr>
          <w:rFonts w:ascii="Cambria" w:hAnsi="Cambria"/>
          <w:sz w:val="18"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i/>
          <w:color w:val="000000"/>
        </w:rPr>
        <w:t xml:space="preserve">                                                                        Profesor:</w:t>
      </w:r>
      <w:r>
        <w:rPr>
          <w:rFonts w:ascii="Cambria" w:hAnsi="Cambria"/>
          <w:sz w:val="18"/>
          <w:i/>
          <w:color w:val="000000"/>
        </w:rPr>
        <w:t xml:space="preserve"> </w:t>
      </w:r>
      <w:r>
        <w:rPr>
          <w:rFonts w:ascii="Cambria" w:hAnsi="Cambria"/>
          <w:sz w:val="18"/>
          <w:i/>
          <w:color w:val="000000"/>
        </w:rPr>
        <w:t xml:space="preserve">Diego</w:t>
      </w:r>
      <w:r>
        <w:rPr>
          <w:rFonts w:ascii="Cambria" w:hAnsi="Cambria"/>
          <w:sz w:val="18"/>
          <w:i/>
          <w:color w:val="000000"/>
        </w:rPr>
        <w:t xml:space="preserve"> </w:t>
      </w:r>
      <w:r>
        <w:rPr>
          <w:rFonts w:ascii="Cambria" w:hAnsi="Cambria"/>
          <w:sz w:val="18"/>
          <w:i/>
          <w:color w:val="000000"/>
        </w:rPr>
        <w:t xml:space="preserve">Rodríguez</w:t>
      </w:r>
      <w:r>
        <w:rPr>
          <w:rFonts w:ascii="Cambria" w:hAnsi="Cambria"/>
          <w:sz w:val="18"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i/>
          <w:color w:val="000000"/>
        </w:rPr>
        <w:drawing>
          <wp:inline distT="0" distB="0" distL="0" distR="0">
            <wp:extent cx="2628900" cy="480695"/>
            <wp:effectExtent l="0" t="0" r="0" b="0"/>
            <wp:docPr id="1" name="Picture 0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i/>
          <w:color w:val="000000"/>
        </w:rPr>
        <w:t xml:space="preserve"> </w:t>
      </w:r>
      <w:r>
        <w:rPr>
          <w:rFonts w:ascii="Cambria" w:hAnsi="Cambria"/>
          <w:b/>
          <w:i/>
          <w:color w:val="000000"/>
        </w:rPr>
        <w:t xml:space="preserve">Preparación</w:t>
      </w:r>
      <w:r>
        <w:rPr>
          <w:rFonts w:ascii="Cambria" w:hAnsi="Cambria"/>
          <w:b/>
          <w:i/>
          <w:color w:val="000000"/>
        </w:rPr>
        <w:t xml:space="preserve"> </w:t>
      </w:r>
      <w:r>
        <w:rPr>
          <w:rFonts w:ascii="Cambria" w:hAnsi="Cambria"/>
          <w:b/>
          <w:i/>
          <w:color w:val="000000"/>
        </w:rPr>
        <w:t xml:space="preserve">de</w:t>
      </w:r>
      <w:r>
        <w:rPr>
          <w:rFonts w:ascii="Cambria" w:hAnsi="Cambria"/>
          <w:b/>
          <w:i/>
          <w:color w:val="000000"/>
        </w:rPr>
        <w:t xml:space="preserve"> </w:t>
      </w:r>
      <w:r>
        <w:rPr>
          <w:rFonts w:ascii="Cambria" w:hAnsi="Cambria"/>
          <w:b/>
          <w:i/>
          <w:color w:val="000000"/>
        </w:rPr>
        <w:t xml:space="preserve">clase</w:t>
      </w:r>
      <w:r>
        <w:rPr>
          <w:rFonts w:ascii="Cambria" w:hAnsi="Cambria"/>
          <w:b/>
          <w:i/>
          <w:color w:val="000000"/>
        </w:rPr>
        <w:t xml:space="preserve"> </w:t>
      </w:r>
      <w:r>
        <w:rPr>
          <w:rFonts w:ascii="Cambria" w:hAnsi="Cambria"/>
          <w:b/>
          <w:i/>
          <w:color w:val="000000"/>
        </w:rPr>
        <w:t xml:space="preserve">2.2</w:t>
      </w:r>
      <w:r>
        <w:rPr>
          <w:rFonts w:ascii="Cambria" w:hAnsi="Cambria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P</w:t>
      </w:r>
      <w:r>
        <w:rPr>
          <w:rFonts w:ascii="Cambria" w:hAnsi="Cambria"/>
          <w:sz w:val="21"/>
          <w:b/>
          <w:i/>
          <w:color w:val="000000"/>
        </w:rPr>
        <w:t xml:space="preserve">RECISIÓN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CONCEPTUAL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Hay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dos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maneras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que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un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argumento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puede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fracasar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al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establecer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verdad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conclusión: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 1.</w:t>
      </w:r>
      <w:r>
        <w:rPr>
          <w:rFonts w:ascii="Arial" w:hAnsi="Arial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Cuando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algunas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premisas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son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falsas.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 2.</w:t>
      </w:r>
      <w:r>
        <w:rPr>
          <w:rFonts w:ascii="Arial" w:hAnsi="Arial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Cuando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verdad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conclusión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no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sigue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verdad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premisas.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Una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falacia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un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error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razonamiento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que,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pesar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esto,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tiende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ser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persuasivo.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Un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argumento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falaz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sólo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si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presenta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el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rasgo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mencionado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2.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manera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fracaso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un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razonamiento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que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el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estudio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lógica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nos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permite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identificar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2;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efecto,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por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un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lado,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verdad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premisas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encargan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otras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ciencias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distintas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lógica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y,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por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otro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lado,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través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del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estudio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lógica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reconocemos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los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casos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los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que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verdad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premisas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transmite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hasta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verdad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conclusión.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     Además,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las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falacias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son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peligrosas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porque,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en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tanto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que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parecen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formas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argumentativas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correctas,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son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psicológicamente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persuasivas</w:t>
      </w:r>
      <w:r>
        <w:rPr>
          <w:rFonts w:ascii="Cambria" w:hAnsi="Cambria"/>
          <w:sz w:val="19"/>
          <w:b/>
          <w:color w:val="000000"/>
        </w:rPr>
        <w:t xml:space="preserve">,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de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manera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que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por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aspectos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de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nuestra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psicología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tendemos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a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creer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en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la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conclusión</w:t>
      </w:r>
      <w:r>
        <w:rPr>
          <w:rFonts w:ascii="Cambria" w:hAnsi="Cambria"/>
          <w:sz w:val="19"/>
          <w:b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color w:val="000000"/>
        </w:rPr>
        <w:t xml:space="preserve">que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nos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proponen.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En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este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sentido,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son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como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“cantos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de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sirenas”.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Distinguimos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d</w:t>
      </w:r>
      <w:r>
        <w:rPr>
          <w:rFonts w:ascii="Cambria" w:hAnsi="Cambria"/>
          <w:sz w:val="19"/>
          <w:b/>
          <w:color w:val="000000"/>
        </w:rPr>
        <w:t xml:space="preserve">os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tipos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de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falacias,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las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formales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y</w:t>
      </w:r>
      <w:r>
        <w:rPr>
          <w:rFonts w:ascii="Cambria" w:hAnsi="Cambria"/>
          <w:sz w:val="19"/>
          <w:b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color w:val="000000"/>
        </w:rPr>
        <w:t xml:space="preserve">las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informales.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A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diferencia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de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las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falacias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informales</w:t>
      </w:r>
      <w:r>
        <w:rPr>
          <w:rFonts w:ascii="Cambria" w:hAnsi="Cambria"/>
          <w:sz w:val="19"/>
          <w:b/>
          <w:color w:val="000000"/>
        </w:rPr>
        <w:t xml:space="preserve">,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las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color w:val="000000"/>
        </w:rPr>
        <w:t xml:space="preserve">falacias</w:t>
      </w:r>
      <w:r>
        <w:rPr>
          <w:rFonts w:ascii="Cambria" w:hAnsi="Cambria"/>
          <w:sz w:val="19"/>
          <w:b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formales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parecen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correctas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porque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asemejan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formas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válidas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razonamiento.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Falacias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formales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F</w:t>
        <w:t xml:space="preserve">ALACIA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</w:t>
        <w:t xml:space="preserve">SQUEMA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</w:t>
        <w:t xml:space="preserve">JEMPLO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 Negación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del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antecedente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Si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entonces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B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(1)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Si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no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hace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frío,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no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nieva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                           No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(2)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Hace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frío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                           No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B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(3)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Está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nevando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 Afirmación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del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consecuente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Si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entonces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B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(1)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Si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Toby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un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perro,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entonces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no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reptil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                         B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(2)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Toby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no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un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reptil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                         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(3)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Toby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un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perro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Lista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algunas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falacias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informales*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F.</w:t>
      </w:r>
      <w:r>
        <w:rPr>
          <w:rFonts w:ascii="Cambria" w:hAnsi="Cambria"/>
          <w:sz w:val="17"/>
          <w:b/>
          <w:i/>
          <w:color w:val="000000"/>
        </w:rPr>
        <w:t xml:space="preserve"> </w:t>
      </w:r>
      <w:r>
        <w:rPr>
          <w:rFonts w:ascii="Cambria" w:hAnsi="Cambria"/>
          <w:sz w:val="17"/>
          <w:b/>
          <w:i/>
          <w:color w:val="000000"/>
        </w:rPr>
        <w:t xml:space="preserve">DE</w:t>
      </w:r>
      <w:r>
        <w:rPr>
          <w:rFonts w:ascii="Cambria" w:hAnsi="Cambria"/>
          <w:sz w:val="17"/>
          <w:b/>
          <w:i/>
          <w:color w:val="000000"/>
        </w:rPr>
        <w:t xml:space="preserve"> </w:t>
      </w:r>
      <w:r>
        <w:rPr>
          <w:rFonts w:ascii="Cambria" w:hAnsi="Cambria"/>
          <w:sz w:val="17"/>
          <w:b/>
          <w:i/>
          <w:color w:val="000000"/>
        </w:rPr>
        <w:t xml:space="preserve">RELEVANCIA</w:t>
      </w:r>
      <w:r>
        <w:rPr>
          <w:rFonts w:ascii="Cambria" w:hAnsi="Cambria"/>
          <w:sz w:val="17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I</w:t>
        <w:t xml:space="preserve">NDUCCIÓN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DEFECTUOSA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</w:t>
        <w:t xml:space="preserve">RESUPOSICIÓN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F.</w:t>
      </w:r>
      <w:r>
        <w:rPr>
          <w:rFonts w:ascii="Cambria" w:hAnsi="Cambria"/>
          <w:sz w:val="17"/>
          <w:b/>
          <w:i/>
          <w:color w:val="000000"/>
        </w:rPr>
        <w:t xml:space="preserve"> </w:t>
      </w:r>
      <w:r>
        <w:rPr>
          <w:rFonts w:ascii="Cambria" w:hAnsi="Cambria"/>
          <w:sz w:val="17"/>
          <w:b/>
          <w:i/>
          <w:color w:val="000000"/>
        </w:rPr>
        <w:t xml:space="preserve">DE</w:t>
      </w:r>
      <w:r>
        <w:rPr>
          <w:rFonts w:ascii="Cambria" w:hAnsi="Cambria"/>
          <w:sz w:val="17"/>
          <w:b/>
          <w:i/>
          <w:color w:val="000000"/>
        </w:rPr>
        <w:t xml:space="preserve"> </w:t>
      </w:r>
      <w:r>
        <w:rPr>
          <w:rFonts w:ascii="Cambria" w:hAnsi="Cambria"/>
          <w:sz w:val="17"/>
          <w:b/>
          <w:i/>
          <w:color w:val="000000"/>
        </w:rPr>
        <w:t xml:space="preserve">AMBIGÜEDAD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Pista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falsa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*</w:t>
      </w:r>
      <w:r>
        <w:rPr>
          <w:rFonts w:ascii="Cambria" w:hAnsi="Cambria"/>
          <w:sz w:val="19"/>
          <w:b/>
          <w:i/>
          <w:color w:val="000000"/>
        </w:rPr>
        <w:t xml:space="preserve">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verecundiam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(rem.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Pregunta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compleja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Composición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                                  falsa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autoridad)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múltiple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Hombre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paja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*</w:t>
      </w:r>
      <w:r>
        <w:rPr>
          <w:rFonts w:ascii="Cambria" w:hAnsi="Cambria"/>
          <w:sz w:val="19"/>
          <w:b/>
          <w:i/>
          <w:color w:val="000000"/>
        </w:rPr>
        <w:t xml:space="preserve">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ignorantiam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(rem.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Petición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División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                                  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ignorancia)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principio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Ignoratio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elenchi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(conclus.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irrelevante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Causa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falsa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(incluye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post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Accidente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Anfibología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                                  hoc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ergo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propter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hoc</w:t>
      </w:r>
      <w:r>
        <w:rPr>
          <w:rFonts w:ascii="Cambria" w:hAnsi="Cambria"/>
          <w:sz w:val="19"/>
          <w:b/>
          <w:color w:val="000000"/>
        </w:rPr>
        <w:t xml:space="preserve">)</w:t>
      </w:r>
      <w:r>
        <w:rPr>
          <w:rFonts w:ascii="Cambria" w:hAnsi="Cambria"/>
          <w:sz w:val="19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color w:val="000000"/>
        </w:rPr>
        <w:t xml:space="preserve">*</w:t>
      </w:r>
      <w:r>
        <w:rPr>
          <w:rFonts w:ascii="Cambria" w:hAnsi="Cambria"/>
          <w:sz w:val="19"/>
          <w:b/>
          <w:i/>
          <w:color w:val="000000"/>
        </w:rPr>
        <w:t xml:space="preserve">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populum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(rem.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multitud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Generalización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Equívoco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emociones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defectuosa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equivocación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*</w:t>
      </w:r>
      <w:r>
        <w:rPr>
          <w:rFonts w:ascii="Cambria" w:hAnsi="Cambria"/>
          <w:sz w:val="19"/>
          <w:b/>
          <w:i/>
          <w:color w:val="000000"/>
        </w:rPr>
        <w:t xml:space="preserve">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baculum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(remite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fuerza)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Acento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*</w:t>
      </w:r>
      <w:r>
        <w:rPr>
          <w:rFonts w:ascii="Cambria" w:hAnsi="Cambria"/>
          <w:sz w:val="19"/>
          <w:b/>
          <w:i/>
          <w:color w:val="000000"/>
        </w:rPr>
        <w:t xml:space="preserve">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misericordiam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(rem.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misericordia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*</w:t>
      </w:r>
      <w:r>
        <w:rPr>
          <w:rFonts w:ascii="Cambria" w:hAnsi="Cambria"/>
          <w:sz w:val="19"/>
          <w:b/>
          <w:i/>
          <w:color w:val="000000"/>
        </w:rPr>
        <w:t xml:space="preserve">Ad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hominem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(rem.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rasgo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de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la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persona)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-</w:t>
      </w:r>
      <w:r>
        <w:rPr>
          <w:rFonts w:ascii="Arial" w:hAnsi="Arial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Abusiva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u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ofensiva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Circunstancial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(incluye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“mira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qui</w:t>
      </w:r>
      <w:r>
        <w:rPr>
          <w:rFonts w:ascii="Cambria" w:hAnsi="Cambria"/>
          <w:sz w:val="19"/>
          <w:b/>
          <w:i/>
          <w:color w:val="000000"/>
        </w:rPr>
        <w:t xml:space="preserve">én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9"/>
          <w:b/>
          <w:i/>
          <w:color w:val="000000"/>
        </w:rPr>
        <w:t xml:space="preserve">habla”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—“y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tú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también”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o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tu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9"/>
          <w:b/>
          <w:i/>
          <w:color w:val="000000"/>
        </w:rPr>
        <w:t xml:space="preserve">quoque</w:t>
      </w:r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2"/>
          <w:b/>
          <w:i/>
          <w:color w:val="000000"/>
        </w:rPr>
        <w:t xml:space="preserve">*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Las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falacias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marcadas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con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asterisco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(*)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son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las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que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se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evaluarán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en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la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actividad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entregable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2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y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en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el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parcial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1.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1/6</w:t>
      </w:r>
      <w:r>
        <w:rPr>
          <w:rFonts w:ascii="Cambria" w:hAnsi="Cambria"/>
          <w:sz w:val="18"/>
          <w:b/>
          <w:i/>
          <w:color w:val="000000"/>
        </w:rPr>
        <w:t xml:space="preserve"> </w:t>
        <w:br w:type="page"/>
      </w:r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  Lógica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y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argumentación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              2022-2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Profesor: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Diego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Rodríguez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b/>
          <w:i/>
          <w:color w:val="000000"/>
        </w:rPr>
        <w:drawing>
          <wp:inline distT="0" distB="0" distL="0" distR="0">
            <wp:extent cx="2628900" cy="480695"/>
            <wp:effectExtent l="0" t="0" r="0" b="0"/>
            <wp:docPr id="1" name="Picture 0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1"/>
          <w:b/>
          <w:i/>
          <w:color w:val="000000"/>
        </w:rPr>
        <w:t xml:space="preserve">I</w:t>
      </w:r>
      <w:r>
        <w:rPr>
          <w:rFonts w:ascii="Cambria" w:hAnsi="Cambria"/>
          <w:sz w:val="21"/>
          <w:b/>
          <w:i/>
          <w:color w:val="000000"/>
        </w:rPr>
        <w:t xml:space="preserve">NSTRUCCIONES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Cada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numeral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consiste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actividades.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(a)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ofrece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ejemplo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Determine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y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explique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i/>
          <w:color w:val="000000"/>
        </w:rPr>
        <w:t xml:space="preserve">cómo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está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involucrada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ejemplo.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(b)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asigna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Ilustre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mediante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ejemplo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(remítase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cualquier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tipo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recurso: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inventar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y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mencionarlo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dramatizarlo,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buscar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video,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meme,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cita,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etc.).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1.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«</w:t>
      </w:r>
      <w:r>
        <w:rPr>
          <w:rFonts w:ascii="Cambria" w:hAnsi="Cambria"/>
          <w:sz w:val="21"/>
          <w:b/>
          <w:i/>
          <w:color w:val="000000"/>
        </w:rPr>
        <w:t xml:space="preserve">Cliff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Arnett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(</w:t>
      </w:r>
      <w:r>
        <w:rPr>
          <w:rFonts w:ascii="Cambria" w:hAnsi="Cambria"/>
          <w:sz w:val="21"/>
          <w:b/>
          <w:i/>
          <w:color w:val="000000"/>
        </w:rPr>
        <w:t xml:space="preserve">CNN</w:t>
      </w:r>
      <w:r>
        <w:rPr>
          <w:rFonts w:ascii="Cambria" w:hAnsi="Cambria"/>
          <w:sz w:val="21"/>
          <w:b/>
          <w:i/>
          <w:color w:val="000000"/>
        </w:rPr>
        <w:t xml:space="preserve">)</w:t>
      </w:r>
      <w:r>
        <w:rPr>
          <w:rFonts w:ascii="Cambria" w:hAnsi="Cambria"/>
          <w:sz w:val="21"/>
          <w:b/>
          <w:color w:val="000000"/>
        </w:rPr>
        <w:t xml:space="preserve">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El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gobierno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Estados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Unidos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dice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que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usted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todavía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está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financiando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color w:val="000000"/>
        </w:rPr>
        <w:t xml:space="preserve">    campos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entrenamiento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militar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aquí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Afganistán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para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luchadores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islámicos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militantes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y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que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usted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patrocinador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del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terrorismo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internacional…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Osama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bin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Laden</w:t>
      </w:r>
      <w:r>
        <w:rPr>
          <w:rFonts w:ascii="Cambria" w:hAnsi="Cambria"/>
          <w:sz w:val="21"/>
          <w:b/>
          <w:color w:val="000000"/>
        </w:rPr>
        <w:t xml:space="preserve">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…a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la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vez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q</w:t>
      </w:r>
      <w:r>
        <w:rPr>
          <w:rFonts w:ascii="Cambria" w:hAnsi="Cambria"/>
          <w:sz w:val="21"/>
          <w:b/>
          <w:color w:val="000000"/>
        </w:rPr>
        <w:t xml:space="preserve">ue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ellos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condenan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cualquier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líder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musulmán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quien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reclama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sus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color w:val="000000"/>
        </w:rPr>
        <w:t xml:space="preserve">    derechos,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ellos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reciben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al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oficial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más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alto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armada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República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Irlandesa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Casa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Blanca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como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líder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político.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Donde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sea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que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miremos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encontramos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EE</w:t>
        <w:t xml:space="preserve">.</w:t>
        <w:t xml:space="preserve">UU</w:t>
        <w:t xml:space="preserve">.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como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líderes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del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terrorismo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y</w:t>
      </w:r>
      <w:r>
        <w:rPr>
          <w:rFonts w:ascii="Cambria" w:hAnsi="Cambria"/>
          <w:sz w:val="17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el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crimen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el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mundo.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EE</w:t>
        <w:t xml:space="preserve">.</w:t>
        <w:t xml:space="preserve">UU</w:t>
        <w:t xml:space="preserve">.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no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considera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un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acto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de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terrorismo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arrojar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bombas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atómicas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a</w:t>
      </w:r>
      <w:r>
        <w:rPr>
          <w:rFonts w:ascii="Cambria" w:hAnsi="Cambria"/>
          <w:sz w:val="17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naciones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miles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millas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distanci</w:t>
      </w:r>
      <w:r>
        <w:rPr>
          <w:rFonts w:ascii="Cambria" w:hAnsi="Cambria"/>
          <w:sz w:val="21"/>
          <w:b/>
          <w:color w:val="000000"/>
        </w:rPr>
        <w:t xml:space="preserve">a…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EE</w:t>
        <w:t xml:space="preserve">.</w:t>
        <w:t xml:space="preserve">UU</w:t>
        <w:t xml:space="preserve">.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no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considera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terrorismo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el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hecho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de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que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cientos</w:t>
      </w:r>
      <w:r>
        <w:rPr>
          <w:rFonts w:ascii="Cambria" w:hAnsi="Cambria"/>
          <w:sz w:val="17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miles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nuestros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hijos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y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hermanos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Irak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mueran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por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falta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comida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medicina.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Así,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no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hay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color w:val="000000"/>
        </w:rPr>
        <w:t xml:space="preserve">    un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fundamento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para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que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EE</w:t>
        <w:t xml:space="preserve">.</w:t>
        <w:t xml:space="preserve">UU</w:t>
        <w:t xml:space="preserve">.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dice»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(Copi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&amp;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Cohen.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i/>
          <w:color w:val="000000"/>
        </w:rPr>
        <w:t xml:space="preserve">Introduction</w:t>
      </w:r>
      <w:r>
        <w:rPr>
          <w:rFonts w:ascii="Cambria" w:hAnsi="Cambria"/>
          <w:sz w:val="17"/>
          <w:b/>
          <w:i/>
          <w:color w:val="000000"/>
        </w:rPr>
        <w:t xml:space="preserve"> </w:t>
      </w:r>
      <w:r>
        <w:rPr>
          <w:rFonts w:ascii="Cambria" w:hAnsi="Cambria"/>
          <w:sz w:val="17"/>
          <w:b/>
          <w:i/>
          <w:color w:val="000000"/>
        </w:rPr>
        <w:t xml:space="preserve">to</w:t>
      </w:r>
      <w:r>
        <w:rPr>
          <w:rFonts w:ascii="Cambria" w:hAnsi="Cambria"/>
          <w:sz w:val="17"/>
          <w:b/>
          <w:i/>
          <w:color w:val="000000"/>
        </w:rPr>
        <w:t xml:space="preserve"> </w:t>
      </w:r>
      <w:r>
        <w:rPr>
          <w:rFonts w:ascii="Cambria" w:hAnsi="Cambria"/>
          <w:sz w:val="17"/>
          <w:b/>
          <w:i/>
          <w:color w:val="000000"/>
        </w:rPr>
        <w:t xml:space="preserve">Logic</w:t>
      </w:r>
      <w:r>
        <w:rPr>
          <w:rFonts w:ascii="Cambria" w:hAnsi="Cambria"/>
          <w:sz w:val="17"/>
          <w:b/>
          <w:color w:val="000000"/>
        </w:rPr>
        <w:t xml:space="preserve">,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ed.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13,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pp.</w:t>
      </w:r>
      <w:r>
        <w:rPr>
          <w:rFonts w:ascii="Cambria" w:hAnsi="Cambria"/>
          <w:sz w:val="17"/>
          <w:b/>
          <w:color w:val="000000"/>
        </w:rPr>
        <w:t xml:space="preserve"> </w:t>
      </w:r>
      <w:r>
        <w:rPr>
          <w:rFonts w:ascii="Cambria" w:hAnsi="Cambria"/>
          <w:sz w:val="17"/>
          <w:b/>
          <w:color w:val="000000"/>
        </w:rPr>
        <w:t xml:space="preserve">129-30).</w:t>
      </w:r>
      <w:r>
        <w:rPr>
          <w:rFonts w:ascii="Cambria" w:hAnsi="Cambria"/>
          <w:sz w:val="17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Falacia: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Explicación: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b.</w:t>
      </w:r>
      <w:r>
        <w:rPr>
          <w:rFonts w:ascii="Arial" w:hAnsi="Arial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Falacia: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afirmación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consecuente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2.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«Rectifica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medias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diputada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panameña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que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calificó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colombianos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“escoria”</w:t>
      </w:r>
      <w:r>
        <w:rPr>
          <w:rFonts w:ascii="Cambria" w:hAnsi="Cambria"/>
          <w:sz w:val="21"/>
          <w:b/>
          <w:i/>
          <w:color w:val="000000"/>
        </w:rPr>
        <w:t xml:space="preserve">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mujer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enfrenta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varios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escándalos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sexuales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su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país»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(titulares,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Noticias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RCN,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emisión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12:30pm,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i/>
          <w:color w:val="000000"/>
        </w:rPr>
        <w:t xml:space="preserve">    25/02/15).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Explicación: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b.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baculum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2/6</w:t>
      </w:r>
      <w:r>
        <w:rPr>
          <w:rFonts w:ascii="Cambria" w:hAnsi="Cambria"/>
          <w:sz w:val="18"/>
          <w:b/>
          <w:i/>
          <w:color w:val="000000"/>
        </w:rPr>
        <w:t xml:space="preserve"> </w:t>
        <w:br w:type="page"/>
      </w:r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  Lógica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y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argumentación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              2022-2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Profesor: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Diego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Rodríguez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b/>
          <w:i/>
          <w:color w:val="000000"/>
        </w:rPr>
        <w:drawing>
          <wp:inline distT="0" distB="0" distL="0" distR="0">
            <wp:extent cx="2628900" cy="480695"/>
            <wp:effectExtent l="0" t="0" r="0" b="0"/>
            <wp:docPr id="1" name="Picture 0" descr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1"/>
          <w:b/>
          <w:i/>
          <w:color w:val="000000"/>
        </w:rPr>
        <w:t xml:space="preserve">3.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«La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felicidad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cada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persona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bien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para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esa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persona;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por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tanto,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felicidad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general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un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bien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para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conjunto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todas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las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personas»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(J.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Mill).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Explicación: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b.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misericordiam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4.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«(Un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hombre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afirma:)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Aristóteles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dijo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Las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políticas</w:t>
      </w:r>
      <w:r>
        <w:rPr>
          <w:rFonts w:ascii="Cambria" w:hAnsi="Cambria"/>
          <w:sz w:val="21"/>
          <w:b/>
          <w:color w:val="000000"/>
        </w:rPr>
        <w:t xml:space="preserve">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“El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esclavo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está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absolutamente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privado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voluntad;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mujer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tiene,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pero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subordinada;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el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niño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sólo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tiene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incompleta</w:t>
      </w:r>
      <w:r>
        <w:rPr>
          <w:rFonts w:ascii="Cambria" w:hAnsi="Cambria"/>
          <w:sz w:val="21"/>
          <w:b/>
          <w:color w:val="000000"/>
        </w:rPr>
        <w:t xml:space="preserve">”.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Así,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siendo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muy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aristotélico,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yo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mando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mi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casa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por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encima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de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mi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mujer».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Falacia: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Explicación: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b.</w:t>
      </w:r>
      <w:r>
        <w:rPr>
          <w:rFonts w:ascii="Arial" w:hAnsi="Arial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Falacia: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ignorantiam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5.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«Un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publicista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planea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una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publicidad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para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marca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cerveza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Peker</w:t>
      </w:r>
      <w:r>
        <w:rPr>
          <w:rFonts w:ascii="Cambria" w:hAnsi="Cambria"/>
          <w:sz w:val="21"/>
          <w:b/>
          <w:i/>
          <w:color w:val="000000"/>
        </w:rPr>
        <w:t xml:space="preserve">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“Casi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todos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los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colombianos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toman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cerveza;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colombianos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toman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Peker”</w:t>
      </w:r>
      <w:r>
        <w:rPr>
          <w:rFonts w:ascii="Cambria" w:hAnsi="Cambria"/>
          <w:sz w:val="21"/>
          <w:b/>
          <w:i/>
          <w:color w:val="000000"/>
        </w:rPr>
        <w:t xml:space="preserve">».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Explicación: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3/6</w:t>
      </w:r>
      <w:r>
        <w:rPr>
          <w:rFonts w:ascii="Cambria" w:hAnsi="Cambria"/>
          <w:sz w:val="18"/>
          <w:b/>
          <w:i/>
          <w:color w:val="000000"/>
        </w:rPr>
        <w:t xml:space="preserve"> </w:t>
        <w:br w:type="page"/>
      </w:r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  Lógica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y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argumentación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              2022-2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Profesor: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Diego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Rodríguez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b/>
          <w:i/>
          <w:color w:val="000000"/>
        </w:rPr>
        <w:drawing>
          <wp:inline distT="0" distB="0" distL="0" distR="0">
            <wp:extent cx="2628900" cy="480695"/>
            <wp:effectExtent l="0" t="0" r="0" b="0"/>
            <wp:docPr id="1" name="Picture 0" descr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1"/>
          <w:b/>
          <w:i/>
          <w:color w:val="000000"/>
        </w:rPr>
        <w:t xml:space="preserve">b.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negación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antecedente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6.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«</w:t>
      </w:r>
      <w:r>
        <w:rPr>
          <w:rFonts w:ascii="Cambria" w:hAnsi="Cambria"/>
          <w:sz w:val="21"/>
          <w:b/>
          <w:i/>
          <w:color w:val="000000"/>
        </w:rPr>
        <w:t xml:space="preserve">(En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correo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electrónico):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“Únete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lucha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contra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que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odian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libros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autoayuda.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Si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no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reenvías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este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correo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todos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tus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contactos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cinco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minutos,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tu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llenará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cucarachas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y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ratas</w:t>
      </w:r>
      <w:r>
        <w:rPr>
          <w:rFonts w:ascii="Cambria" w:hAnsi="Cambria"/>
          <w:sz w:val="21"/>
          <w:b/>
          <w:i/>
          <w:color w:val="000000"/>
        </w:rPr>
        <w:t xml:space="preserve">”</w:t>
      </w:r>
      <w:r>
        <w:rPr>
          <w:rFonts w:ascii="Cambria" w:hAnsi="Cambria"/>
          <w:sz w:val="21"/>
          <w:b/>
          <w:i/>
          <w:color w:val="000000"/>
        </w:rPr>
        <w:t xml:space="preserve">».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Explicación: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b.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verecundiam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7.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«¿Todavía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dudamos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que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Tierra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sea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único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planeta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habitado?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No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hemos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encontrado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i/>
          <w:color w:val="000000"/>
        </w:rPr>
        <w:t xml:space="preserve">    evidencia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que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haya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vida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otros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planetas;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por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esto,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razonable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pensar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que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sólo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Tierra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hay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vida».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Explicación: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b.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populum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4/6</w:t>
      </w:r>
      <w:r>
        <w:rPr>
          <w:rFonts w:ascii="Cambria" w:hAnsi="Cambria"/>
          <w:sz w:val="18"/>
          <w:b/>
          <w:i/>
          <w:color w:val="000000"/>
        </w:rPr>
        <w:t xml:space="preserve"> </w:t>
        <w:br w:type="page"/>
      </w:r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  Lógica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y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argumentación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              2022-2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Profesor: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Diego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Rodríguez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b/>
          <w:i/>
          <w:color w:val="000000"/>
        </w:rPr>
        <w:drawing>
          <wp:inline distT="0" distB="0" distL="0" distR="0">
            <wp:extent cx="2628900" cy="480695"/>
            <wp:effectExtent l="0" t="0" r="0" b="0"/>
            <wp:docPr id="1" name="Picture 0" descr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1"/>
          <w:b/>
          <w:i/>
          <w:color w:val="000000"/>
        </w:rPr>
        <w:t xml:space="preserve">8.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Explicación: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b.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ignorantiam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b/>
          <w:i/>
          <w:color w:val="000000"/>
        </w:rPr>
        <w:drawing>
          <wp:inline distT="0" distB="0" distL="0" distR="0">
            <wp:extent cx="2547620" cy="2123439"/>
            <wp:effectExtent l="0" t="0" r="0" b="0"/>
            <wp:docPr id="1" name="Picture 0" descr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21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1"/>
          <w:b/>
          <w:i/>
          <w:color w:val="000000"/>
        </w:rPr>
        <w:t xml:space="preserve">            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9.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          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          Explicación: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                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                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b/>
          <w:i/>
          <w:color w:val="000000"/>
        </w:rPr>
        <w:drawing>
          <wp:inline distT="0" distB="0" distL="0" distR="0">
            <wp:extent cx="1324610" cy="835025"/>
            <wp:effectExtent l="0" t="0" r="0" b="0"/>
            <wp:docPr id="1" name="Picture 0" descr="image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b.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misericordiam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10.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«Dice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cura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</w:t>
      </w:r>
      <w:r>
        <w:rPr>
          <w:rFonts w:ascii="Cambria" w:hAnsi="Cambria"/>
          <w:sz w:val="21"/>
          <w:b/>
          <w:i/>
          <w:color w:val="000000"/>
        </w:rPr>
        <w:t xml:space="preserve">isa: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“Ustedes,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queridos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cristianos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aquí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sentados,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vienen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sus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familias.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Juntos,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sus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papeles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padre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y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madre,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han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sacado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adelante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sus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hijos,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cada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aportando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necesario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para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su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hogar: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padre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seguridad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y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orden,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madre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amor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incondicional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y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i/>
          <w:color w:val="000000"/>
        </w:rPr>
        <w:t xml:space="preserve">    cuidado.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¿Cómo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podría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una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familia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sólo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padres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sólo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dos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madres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salir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adelante?”».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Explicación: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5/6</w:t>
      </w:r>
      <w:r>
        <w:rPr>
          <w:rFonts w:ascii="Cambria" w:hAnsi="Cambria"/>
          <w:sz w:val="18"/>
          <w:b/>
          <w:i/>
          <w:color w:val="000000"/>
        </w:rPr>
        <w:t xml:space="preserve"> </w:t>
        <w:br w:type="page"/>
      </w:r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  Lógica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y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argumentación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              2022-2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sz w:val="18"/>
          <w:b/>
          <w:i/>
          <w:color w:val="000000"/>
        </w:rPr>
        <w:t xml:space="preserve">                                                                        Profesor: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Diego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Rodríguez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p>
      <w:pPr/>
      <w:r>
        <w:rPr>
          <w:rFonts w:ascii="Cambria" w:hAnsi="Cambria"/>
          <w:b/>
          <w:i/>
          <w:color w:val="000000"/>
        </w:rPr>
        <w:drawing>
          <wp:inline distT="0" distB="0" distL="0" distR="0">
            <wp:extent cx="2628900" cy="480695"/>
            <wp:effectExtent l="0" t="0" r="0" b="0"/>
            <wp:docPr id="1" name="Picture 0" descr="image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1"/>
          <w:b/>
          <w:i/>
          <w:color w:val="000000"/>
        </w:rPr>
        <w:t xml:space="preserve">b.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ignorantiam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11.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a.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“No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hagas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caso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lo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que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dicen: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¿cómo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puede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tu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novio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esa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silla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ruedas,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habiendo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perdido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una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mano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accidente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que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perdió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sus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padres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y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con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esa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carita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yo-no-fui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andar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robándote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dinero?”.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Explicación: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b.</w:t>
      </w:r>
      <w:r>
        <w:rPr>
          <w:rFonts w:ascii="Arial" w:hAnsi="Arial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Falacia: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tu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quoque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(tipo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ad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hominem</w:t>
      </w:r>
      <w:r>
        <w:rPr>
          <w:rFonts w:ascii="Cambria" w:hAnsi="Cambria"/>
          <w:sz w:val="21"/>
          <w:b/>
          <w:color w:val="000000"/>
        </w:rPr>
        <w:t xml:space="preserve">)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Ilustración: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12.</w:t>
      </w:r>
      <w:r>
        <w:rPr>
          <w:rFonts w:ascii="Arial" w:hAnsi="Arial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a.</w:t>
      </w:r>
      <w:r>
        <w:rPr>
          <w:rFonts w:ascii="Arial" w:hAnsi="Arial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Caso: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“</w:t>
      </w:r>
      <w:r>
        <w:rPr>
          <w:rFonts w:ascii="Cambria" w:hAnsi="Cambria"/>
          <w:sz w:val="21"/>
          <w:b/>
          <w:color w:val="000000"/>
        </w:rPr>
        <w:t xml:space="preserve">Si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los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taxistas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fueran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inteligentes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venderían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el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taxi,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el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cupo,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y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comprarían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dos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carros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para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color w:val="000000"/>
        </w:rPr>
        <w:t xml:space="preserve">    trabajar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con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Uber.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Pero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son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taxistas</w:t>
      </w:r>
      <w:r>
        <w:rPr>
          <w:rFonts w:ascii="Cambria" w:hAnsi="Cambria"/>
          <w:sz w:val="21"/>
          <w:b/>
          <w:color w:val="000000"/>
        </w:rPr>
        <w:t xml:space="preserve">”.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Falacia: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Explicación: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color w:val="000000"/>
        </w:rPr>
        <w:t xml:space="preserve">b.</w:t>
      </w:r>
      <w:r>
        <w:rPr>
          <w:rFonts w:ascii="Arial" w:hAnsi="Arial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color w:val="000000"/>
        </w:rPr>
        <w:t xml:space="preserve">Falacia:</w:t>
      </w:r>
      <w:r>
        <w:rPr>
          <w:rFonts w:ascii="Cambria" w:hAnsi="Cambria"/>
          <w:sz w:val="21"/>
          <w:b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negación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del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antecedente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Ilustración: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  <w:r>
        <w:rPr>
          <w:rFonts w:ascii="Cambria" w:hAnsi="Cambria"/>
          <w:sz w:val="21"/>
          <w:b/>
          <w:i/>
          <w:color w:val="000000"/>
        </w:rPr>
        <w:t xml:space="preserve">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               _________________________________________________________________________________________________________________</w:t>
      </w:r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  <w:r>
        <w:rPr>
          <w:rFonts w:ascii="Cambria" w:hAnsi="Cambria"/>
          <w:sz w:val="21"/>
          <w:b/>
          <w:i/>
          <w:color w:val="000000"/>
        </w:rPr>
        <w:t xml:space="preserve"> 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Cambria" w:hAnsi="Cambria"/>
          <w:sz w:val="19"/>
          <w:b/>
          <w:i/>
          <w:color w:val="000000"/>
        </w:rPr>
        <w:t xml:space="preserve"> </w:t>
      </w:r>
      <w:r>
        <w:rPr>
          <w:rFonts w:ascii="Cambria" w:hAnsi="Cambria"/>
          <w:sz w:val="18"/>
          <w:b/>
          <w:i/>
          <w:color w:val="000000"/>
        </w:rPr>
        <w:t xml:space="preserve">6/6</w:t>
      </w:r>
      <w:r>
        <w:rPr>
          <w:rFonts w:ascii="Cambria" w:hAnsi="Cambria"/>
          <w:sz w:val="18"/>
          <w:b/>
          <w:i/>
          <w:color w:val="000000"/>
        </w:rPr>
        <w:t xml:space="preserve"> 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 Versión de prueba de Doxillion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