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76B80ABC" w:rsidR="00244011" w:rsidRPr="00FA143D" w:rsidRDefault="00826B64" w:rsidP="00FA143D">
      <w:pPr>
        <w:pStyle w:val="Heading3"/>
      </w:pPr>
      <w:r w:rsidRPr="0039217B">
        <w:t xml:space="preserve">Course </w:t>
      </w:r>
      <w:r w:rsidR="0096786D" w:rsidRPr="0039217B">
        <w:t>Format</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lastRenderedPageBreak/>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proofErr w:type="gramStart"/>
      <w:r w:rsidR="00B73D56" w:rsidRPr="0039217B">
        <w:rPr>
          <w:rFonts w:ascii="Calibri" w:hAnsi="Calibri" w:cs="Times"/>
        </w:rPr>
        <w:t>0</w:t>
      </w:r>
      <w:r w:rsidRPr="0039217B">
        <w:rPr>
          <w:rFonts w:ascii="Calibri" w:hAnsi="Calibri" w:cs="Times"/>
        </w:rPr>
        <w:t>}</w:t>
      </w:r>
      <w:r w:rsidR="00B73D56" w:rsidRPr="0039217B">
        <w:rPr>
          <w:rFonts w:ascii="Calibri" w:hAnsi="Calibri" w:cs="Times"/>
        </w:rPr>
        <w:t>$</w:t>
      </w:r>
      <w:proofErr w:type="gramEnd"/>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w:t>
      </w:r>
      <w:proofErr w:type="gramEnd"/>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lastRenderedPageBreak/>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lastRenderedPageBreak/>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 xml:space="preserve">Faculties, departments, and schools reserve the right to scale grades in order to maintain equity among sections and conformity to </w:t>
      </w:r>
      <w:proofErr w:type="gramStart"/>
      <w:r w:rsidRPr="0039217B">
        <w:rPr>
          <w:rFonts w:ascii="Calibri" w:hAnsi="Calibri" w:cs="Times"/>
          <w:sz w:val="24"/>
          <w:szCs w:val="24"/>
        </w:rPr>
        <w:t>University</w:t>
      </w:r>
      <w:proofErr w:type="gramEnd"/>
      <w:r w:rsidRPr="0039217B">
        <w:rPr>
          <w:rFonts w:ascii="Calibri" w:hAnsi="Calibri" w:cs="Times"/>
          <w:sz w:val="24"/>
          <w:szCs w:val="24"/>
        </w:rPr>
        <w:t>,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lastRenderedPageBreak/>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641B1342"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F13DDA">
        <w:rPr>
          <w:rFonts w:ascii="Calibri" w:hAnsi="Calibri" w:cs="Times"/>
        </w:rPr>
        <w:t xml:space="preserve">isability </w:t>
      </w:r>
      <w:r w:rsidR="00A40D44" w:rsidRPr="0039217B">
        <w:rPr>
          <w:rFonts w:ascii="Calibri" w:hAnsi="Calibri" w:cs="Times"/>
        </w:rPr>
        <w:t>R</w:t>
      </w:r>
      <w:r w:rsidR="00F13DDA">
        <w:rPr>
          <w:rFonts w:ascii="Calibri" w:hAnsi="Calibri" w:cs="Times"/>
        </w:rPr>
        <w:t xml:space="preserve">esource </w:t>
      </w:r>
      <w:r w:rsidR="00A40D44" w:rsidRPr="0039217B">
        <w:rPr>
          <w:rFonts w:ascii="Calibri" w:hAnsi="Calibri" w:cs="Times"/>
        </w:rPr>
        <w:t>C</w:t>
      </w:r>
      <w:r w:rsidR="00F13DDA">
        <w:rPr>
          <w:rFonts w:ascii="Calibri" w:hAnsi="Calibri" w:cs="Times"/>
        </w:rPr>
        <w:t>entre (DRC)</w:t>
      </w:r>
      <w:r w:rsidR="00A40D44" w:rsidRPr="0039217B">
        <w:rPr>
          <w:rFonts w:ascii="Calibri" w:hAnsi="Calibri" w:cs="Times"/>
        </w:rPr>
        <w:t xml:space="preserve"> facilitates disability-related accommodations and programming initiatives to </w:t>
      </w:r>
      <w:r w:rsidR="00F13DDA">
        <w:rPr>
          <w:rFonts w:ascii="Calibri" w:hAnsi="Calibri" w:cs="Times"/>
        </w:rPr>
        <w:t xml:space="preserve">that ameliorate </w:t>
      </w:r>
      <w:r w:rsidR="00A40D44" w:rsidRPr="0039217B">
        <w:rPr>
          <w:rFonts w:ascii="Calibri" w:hAnsi="Calibri" w:cs="Times"/>
        </w:rPr>
        <w:t>barriers for students with disabilities and</w:t>
      </w:r>
      <w:r w:rsidR="00255074">
        <w:rPr>
          <w:rFonts w:ascii="Calibri" w:hAnsi="Calibri" w:cs="Times"/>
        </w:rPr>
        <w:t>/or</w:t>
      </w:r>
      <w:r w:rsidR="00A40D44" w:rsidRPr="0039217B">
        <w:rPr>
          <w:rFonts w:ascii="Calibri" w:hAnsi="Calibri" w:cs="Times"/>
        </w:rPr>
        <w:t xml:space="preserve"> ongoing medical conditions. </w:t>
      </w:r>
      <w:r w:rsidR="00714D4E" w:rsidRPr="0039217B">
        <w:rPr>
          <w:rFonts w:ascii="Calibri" w:hAnsi="Calibri" w:cs="Times"/>
        </w:rPr>
        <w:t xml:space="preserve">If you require academic accommodations to achieve the objectives of a </w:t>
      </w:r>
      <w:proofErr w:type="gramStart"/>
      <w:r w:rsidR="00714D4E" w:rsidRPr="0039217B">
        <w:rPr>
          <w:rFonts w:ascii="Calibri" w:hAnsi="Calibri" w:cs="Times"/>
        </w:rPr>
        <w:t>course</w:t>
      </w:r>
      <w:proofErr w:type="gramEnd"/>
      <w:r w:rsidR="00714D4E" w:rsidRPr="0039217B">
        <w:rPr>
          <w:rFonts w:ascii="Calibri" w:hAnsi="Calibri" w:cs="Times"/>
        </w:rPr>
        <w:t xml:space="preserv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2EFAE275" w14:textId="77777777" w:rsidR="001B4E1F"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p>
    <w:p w14:paraId="69CE6E42"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2F68BCF5"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6025DAD1" w14:textId="77777777" w:rsidR="001B4E1F" w:rsidRPr="0039217B" w:rsidRDefault="001B4E1F" w:rsidP="001B4E1F">
      <w:pPr>
        <w:pStyle w:val="Heading3"/>
      </w:pPr>
      <w:r w:rsidRPr="0039217B">
        <w:lastRenderedPageBreak/>
        <w:t>${ombud-title}</w:t>
      </w:r>
    </w:p>
    <w:p w14:paraId="27487FA2" w14:textId="77777777" w:rsidR="001B4E1F" w:rsidRPr="0039217B" w:rsidRDefault="001B4E1F" w:rsidP="001B4E1F">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23553F6C"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186ED65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16" w:history="1">
        <w:r w:rsidRPr="0039217B">
          <w:rPr>
            <w:rStyle w:val="Hyperlink"/>
            <w:sz w:val="24"/>
            <w:szCs w:val="24"/>
          </w:rPr>
          <w:t>ombuds.office.ok@ubc.ca</w:t>
        </w:r>
      </w:hyperlink>
      <w:r w:rsidRPr="0039217B">
        <w:rPr>
          <w:sz w:val="24"/>
          <w:szCs w:val="24"/>
        </w:rPr>
        <w:t xml:space="preserve"> </w:t>
      </w:r>
      <w:r w:rsidRPr="0039217B">
        <w:rPr>
          <w:rFonts w:ascii="Calibri" w:hAnsi="Calibri" w:cs="Times"/>
          <w:sz w:val="24"/>
          <w:szCs w:val="24"/>
        </w:rPr>
        <w:t xml:space="preserve"> </w:t>
      </w:r>
    </w:p>
    <w:p w14:paraId="6F21CC13"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7E9EFA7F"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3FCD53F"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${student}</w:t>
      </w:r>
    </w:p>
    <w:p w14:paraId="058D9626"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23C5F57D" w14:textId="77777777" w:rsidR="001B4E1F" w:rsidRPr="0039217B" w:rsidRDefault="001B4E1F" w:rsidP="001B4E1F">
      <w:pPr>
        <w:pStyle w:val="Heading3"/>
      </w:pPr>
      <w:r w:rsidRPr="0039217B">
        <w:t>${student-title}</w:t>
      </w:r>
    </w:p>
    <w:p w14:paraId="7C679366" w14:textId="2B96DA13" w:rsidR="001B4E1F" w:rsidRPr="0039217B" w:rsidRDefault="001B4E1F" w:rsidP="001B4E1F">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w:t>
      </w:r>
      <w:r w:rsidR="00F13DDA">
        <w:rPr>
          <w:rFonts w:ascii="Calibri" w:hAnsi="Calibri" w:cs="Times"/>
          <w:b/>
          <w:bCs/>
        </w:rPr>
        <w:t xml:space="preserve"> academic integrity,</w:t>
      </w:r>
      <w:r w:rsidRPr="0039217B">
        <w:rPr>
          <w:rFonts w:ascii="Calibri" w:hAnsi="Calibri" w:cs="Times"/>
          <w:b/>
          <w:bCs/>
        </w:rPr>
        <w:t xml:space="preserve"> study skills and learning strategies</w:t>
      </w:r>
      <w:r w:rsidRPr="0039217B">
        <w:rPr>
          <w:rFonts w:ascii="Calibri" w:hAnsi="Calibri" w:cs="Times"/>
        </w:rPr>
        <w:t>. Students are encouraged to visit often and early to build the skills, strategies and behaviors that are essential to being a confident and independent learner. For more information, please visit the Hub’s website.</w:t>
      </w:r>
    </w:p>
    <w:p w14:paraId="2C8EABD6" w14:textId="77777777" w:rsidR="001B4E1F" w:rsidRPr="0039217B" w:rsidRDefault="001B4E1F" w:rsidP="001B4E1F">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78630D47"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Email: </w:t>
      </w:r>
      <w:hyperlink r:id="rId18" w:history="1">
        <w:r w:rsidRPr="0039217B">
          <w:rPr>
            <w:rStyle w:val="Hyperlink"/>
            <w:rFonts w:ascii="Calibri" w:hAnsi="Calibri" w:cs="Times"/>
            <w:sz w:val="24"/>
            <w:szCs w:val="24"/>
            <w:shd w:val="clear" w:color="auto" w:fill="FFFFFF"/>
          </w:rPr>
          <w:t>learning.hub@ubc.ca</w:t>
        </w:r>
      </w:hyperlink>
    </w:p>
    <w:p w14:paraId="0B014326"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Web: </w:t>
      </w:r>
      <w:hyperlink r:id="rId19" w:history="1">
        <w:r w:rsidRPr="0039217B">
          <w:rPr>
            <w:rStyle w:val="Hyperlink"/>
            <w:sz w:val="24"/>
            <w:szCs w:val="24"/>
          </w:rPr>
          <w:t>www.students.ok.ubc.ca/slh</w:t>
        </w:r>
      </w:hyperlink>
      <w:r w:rsidRPr="0039217B">
        <w:rPr>
          <w:sz w:val="24"/>
          <w:szCs w:val="24"/>
        </w:rPr>
        <w:t xml:space="preserve"> </w:t>
      </w:r>
    </w:p>
    <w:p w14:paraId="328802BB" w14:textId="77777777" w:rsidR="00F13DDA" w:rsidRDefault="001B4E1F" w:rsidP="00CC2B20">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26DD926E" w14:textId="0B17089F" w:rsidR="00F13DDA" w:rsidRPr="0039217B" w:rsidRDefault="00F13DDA" w:rsidP="00F13DDA">
      <w:pPr>
        <w:pStyle w:val="Heading3"/>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1D475F47" w14:textId="77777777" w:rsidR="00F13DDA" w:rsidRPr="0039217B" w:rsidRDefault="00F13DDA" w:rsidP="00F13DDA">
      <w:pPr>
        <w:pStyle w:val="paragraph"/>
        <w:spacing w:before="0" w:beforeAutospacing="0" w:after="0" w:afterAutospacing="0"/>
        <w:textAlignment w:val="baseline"/>
        <w:rPr>
          <w:rFonts w:ascii="Calibri" w:hAnsi="Calibri" w:cs="Times"/>
        </w:rPr>
      </w:pPr>
    </w:p>
    <w:p w14:paraId="561EEE0C" w14:textId="50BC93E1" w:rsidR="00F13DDA" w:rsidRPr="0039217B" w:rsidRDefault="00F13DDA" w:rsidP="00F13DDA">
      <w:pPr>
        <w:pStyle w:val="Heading3"/>
        <w:rPr>
          <w:color w:val="000000" w:themeColor="text1"/>
        </w:rPr>
      </w:pPr>
      <w:r w:rsidRPr="0039217B">
        <w:t>${</w:t>
      </w:r>
      <w:proofErr w:type="spellStart"/>
      <w:r>
        <w:t>svpro</w:t>
      </w:r>
      <w:proofErr w:type="spellEnd"/>
      <w:r w:rsidRPr="0039217B">
        <w:t>-title}</w:t>
      </w:r>
    </w:p>
    <w:p w14:paraId="35DFDF09" w14:textId="0CDD2EA3" w:rsidR="00F13DDA" w:rsidRDefault="00F13DDA" w:rsidP="00F13DDA">
      <w:pPr>
        <w:pStyle w:val="paragraph"/>
        <w:spacing w:after="0"/>
        <w:textAlignment w:val="baseline"/>
        <w:rPr>
          <w:rFonts w:ascii="Calibri" w:hAnsi="Calibri" w:cs="Times"/>
        </w:rPr>
      </w:pPr>
      <w:r w:rsidRPr="00F13DDA">
        <w:rPr>
          <w:rFonts w:ascii="Calibri" w:hAnsi="Calibri" w:cs="Times"/>
        </w:rPr>
        <w:t>The Sexual Violence Prevention and Response Office (SVPRO) is a confidential place for those who have been impacted by any form of sexual or gender-based violence, harassment, or harm, regardless of where or when it took place. SVPRO aims to be a safer space for all UBC students, faculty, and staff by respecting each person’s unique and multiple identities and experiences. All genders and sexualities are welcome.</w:t>
      </w:r>
    </w:p>
    <w:p w14:paraId="264B1130" w14:textId="777024BB" w:rsidR="00F13DDA" w:rsidRPr="0039217B" w:rsidRDefault="00F13DDA" w:rsidP="00F13DDA">
      <w:pPr>
        <w:pStyle w:val="BodyText"/>
        <w:spacing w:after="0"/>
        <w:jc w:val="both"/>
        <w:rPr>
          <w:rFonts w:ascii="Calibri" w:hAnsi="Calibri" w:cs="Times"/>
        </w:rPr>
      </w:pPr>
      <w:r>
        <w:rPr>
          <w:rFonts w:ascii="Calibri" w:hAnsi="Calibri" w:cs="Times"/>
          <w:b/>
        </w:rPr>
        <w:t>Nicola Townhome 120, 1270 International Mews</w:t>
      </w:r>
      <w:r w:rsidRPr="0039217B">
        <w:rPr>
          <w:rFonts w:ascii="Calibri" w:hAnsi="Calibri" w:cs="Times"/>
        </w:rPr>
        <w:t xml:space="preserve"> </w:t>
      </w:r>
      <w:r w:rsidRPr="0039217B">
        <w:rPr>
          <w:rFonts w:ascii="Calibri" w:hAnsi="Calibri" w:cs="Times"/>
        </w:rPr>
        <w:tab/>
        <w:t>250.807.8053</w:t>
      </w:r>
    </w:p>
    <w:p w14:paraId="28DF1C8E" w14:textId="704D6588" w:rsidR="00F13DDA" w:rsidRPr="0039217B" w:rsidRDefault="00F13DDA" w:rsidP="00F13DDA">
      <w:pPr>
        <w:rPr>
          <w:rFonts w:ascii="Calibri" w:eastAsia="Times New Roman" w:hAnsi="Calibri" w:cs="Times"/>
          <w:sz w:val="24"/>
          <w:szCs w:val="24"/>
        </w:rPr>
      </w:pPr>
      <w:r w:rsidRPr="0039217B">
        <w:rPr>
          <w:rFonts w:ascii="Calibri" w:hAnsi="Calibri" w:cs="Times"/>
          <w:sz w:val="24"/>
          <w:szCs w:val="24"/>
        </w:rPr>
        <w:lastRenderedPageBreak/>
        <w:t>Email</w:t>
      </w:r>
      <w:r>
        <w:rPr>
          <w:rFonts w:ascii="Calibri" w:hAnsi="Calibri" w:cs="Times"/>
          <w:sz w:val="24"/>
          <w:szCs w:val="24"/>
        </w:rPr>
        <w:t xml:space="preserve">: </w:t>
      </w:r>
      <w:hyperlink r:id="rId20" w:history="1">
        <w:r w:rsidRPr="00264696">
          <w:rPr>
            <w:rStyle w:val="Hyperlink"/>
            <w:rFonts w:ascii="Calibri" w:hAnsi="Calibri" w:cs="Times"/>
            <w:sz w:val="24"/>
            <w:szCs w:val="24"/>
          </w:rPr>
          <w:t>svpro@okangan@ubc.ca</w:t>
        </w:r>
      </w:hyperlink>
      <w:r>
        <w:rPr>
          <w:rFonts w:ascii="Calibri" w:hAnsi="Calibri" w:cs="Times"/>
          <w:sz w:val="24"/>
          <w:szCs w:val="24"/>
        </w:rPr>
        <w:t xml:space="preserve"> </w:t>
      </w:r>
    </w:p>
    <w:p w14:paraId="3C0D402A" w14:textId="302CA58B" w:rsidR="00F13DDA" w:rsidRPr="00F13DDA" w:rsidRDefault="00F13DDA" w:rsidP="00F13DDA">
      <w:r w:rsidRPr="0039217B">
        <w:rPr>
          <w:rFonts w:ascii="Calibri" w:eastAsia="Times New Roman" w:hAnsi="Calibri" w:cs="Times"/>
          <w:sz w:val="24"/>
          <w:szCs w:val="24"/>
        </w:rPr>
        <w:t xml:space="preserve">Web: </w:t>
      </w:r>
      <w:hyperlink r:id="rId21" w:history="1">
        <w:r w:rsidRPr="00264696">
          <w:rPr>
            <w:rStyle w:val="Hyperlink"/>
            <w:rFonts w:ascii="Calibri" w:eastAsia="Times New Roman" w:hAnsi="Calibri" w:cs="Times"/>
            <w:sz w:val="24"/>
            <w:szCs w:val="24"/>
          </w:rPr>
          <w:t>www.</w:t>
        </w:r>
        <w:r w:rsidRPr="00264696">
          <w:rPr>
            <w:rStyle w:val="Hyperlink"/>
          </w:rPr>
          <w:t>svpro.ok.ubc.ca</w:t>
        </w:r>
      </w:hyperlink>
      <w:r>
        <w:t xml:space="preserve"> </w:t>
      </w:r>
    </w:p>
    <w:p w14:paraId="37D81C13" w14:textId="77D2CAEE" w:rsidR="00F13DDA" w:rsidRPr="0039217B" w:rsidRDefault="00F13DDA" w:rsidP="00F13DD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3B5E28F5" w14:textId="2A5C5079" w:rsidR="00051A8F" w:rsidRPr="0039217B" w:rsidRDefault="00EA5B8D" w:rsidP="00CC2B20">
      <w:pPr>
        <w:pStyle w:val="paragraph"/>
        <w:spacing w:before="0" w:beforeAutospacing="0" w:after="0" w:afterAutospacing="0"/>
        <w:textAlignment w:val="baseline"/>
        <w:rPr>
          <w:rFonts w:ascii="Calibri" w:hAnsi="Calibri" w:cs="Times"/>
        </w:rPr>
      </w:pPr>
      <w:r w:rsidRPr="0039217B">
        <w:rPr>
          <w:rStyle w:val="eop"/>
          <w:rFonts w:ascii="Calibri" w:hAnsi="Calibri" w:cs="Times"/>
        </w:rPr>
        <w:t> </w:t>
      </w:r>
    </w:p>
    <w:p w14:paraId="0B1E5F59"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273C888A"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584EDA3E" w14:textId="77777777" w:rsidR="001B4E1F" w:rsidRPr="0039217B" w:rsidRDefault="001B4E1F" w:rsidP="001B4E1F">
      <w:pPr>
        <w:pStyle w:val="Heading3"/>
      </w:pPr>
      <w:r w:rsidRPr="0039217B">
        <w:t>${health-title}</w:t>
      </w:r>
    </w:p>
    <w:p w14:paraId="64175AA2" w14:textId="77777777" w:rsidR="001B4E1F" w:rsidRPr="0039217B" w:rsidRDefault="001B4E1F" w:rsidP="001B4E1F">
      <w:pPr>
        <w:pStyle w:val="paragraph"/>
        <w:spacing w:after="0"/>
        <w:textAlignment w:val="baseline"/>
        <w:rPr>
          <w:rFonts w:ascii="Calibri" w:hAnsi="Calibri" w:cs="Times"/>
        </w:rPr>
      </w:pPr>
      <w:r>
        <w:rPr>
          <w:rFonts w:ascii="Calibri" w:hAnsi="Calibri" w:cs="Times"/>
        </w:rPr>
        <w:t xml:space="preserve">Wellbeing and Accessibility Services (WAS) supports holistic student wellbeing in </w:t>
      </w:r>
      <w:r w:rsidRPr="00F1152B">
        <w:rPr>
          <w:rFonts w:ascii="Calibri" w:hAnsi="Calibri" w:cs="Times"/>
        </w:rPr>
        <w:t>body, mind, and spirit. Students can access n</w:t>
      </w:r>
      <w:r>
        <w:rPr>
          <w:rFonts w:ascii="Calibri" w:hAnsi="Calibri" w:cs="Times"/>
        </w:rPr>
        <w:t>u</w:t>
      </w:r>
      <w:r>
        <w:rPr>
          <w:rStyle w:val="normaltextrun"/>
          <w:rFonts w:ascii="Calibri" w:hAnsi="Calibri" w:cs="Calibri"/>
          <w:color w:val="000000"/>
          <w:bdr w:val="none" w:sz="0" w:space="0" w:color="auto" w:frame="1"/>
        </w:rPr>
        <w:t xml:space="preserve">rses, physicians and counsellors for </w:t>
      </w:r>
      <w:r w:rsidRPr="00F1152B">
        <w:rPr>
          <w:rStyle w:val="normaltextrun"/>
          <w:rFonts w:ascii="Calibri" w:hAnsi="Calibri" w:cs="Calibri"/>
          <w:color w:val="000000"/>
          <w:bdr w:val="none" w:sz="0" w:space="0" w:color="auto" w:frame="1"/>
        </w:rPr>
        <w:t>health care and counselling related to physical health, emotional/mental health and sexual/reproductive health concerns. WAS is also home to the Disability Resource Centre, Spiritual and Mu</w:t>
      </w:r>
      <w:r>
        <w:rPr>
          <w:rStyle w:val="normaltextrun"/>
          <w:rFonts w:ascii="Calibri" w:hAnsi="Calibri" w:cs="Calibri"/>
          <w:color w:val="000000"/>
          <w:bdr w:val="none" w:sz="0" w:space="0" w:color="auto" w:frame="1"/>
        </w:rPr>
        <w:t>l</w:t>
      </w:r>
      <w:r w:rsidRPr="00F1152B">
        <w:rPr>
          <w:rStyle w:val="normaltextrun"/>
          <w:rFonts w:ascii="Calibri" w:hAnsi="Calibri" w:cs="Calibri"/>
          <w:color w:val="000000"/>
          <w:bdr w:val="none" w:sz="0" w:space="0" w:color="auto" w:frame="1"/>
        </w:rPr>
        <w:t>ti-Faith Services, and Campus Health and Education</w:t>
      </w:r>
      <w:r>
        <w:rPr>
          <w:rFonts w:ascii="Calibri" w:hAnsi="Calibri" w:cs="Times"/>
        </w:rPr>
        <w:t xml:space="preserve">. </w:t>
      </w:r>
      <w:r>
        <w:rPr>
          <w:rStyle w:val="normaltextrun"/>
          <w:rFonts w:ascii="Calibri" w:hAnsi="Calibri" w:cs="Calibri"/>
          <w:color w:val="000000"/>
          <w:shd w:val="clear" w:color="auto" w:fill="FFFFFF"/>
        </w:rPr>
        <w:t xml:space="preserve">If you require assistance with your health, please contact </w:t>
      </w:r>
      <w:r w:rsidRPr="00F1152B">
        <w:rPr>
          <w:rStyle w:val="normaltextrun"/>
          <w:rFonts w:ascii="Calibri" w:hAnsi="Calibri" w:cs="Calibri"/>
          <w:color w:val="000000"/>
          <w:shd w:val="clear" w:color="auto" w:fill="FFFFFF"/>
        </w:rPr>
        <w:t xml:space="preserve">Wellbeing and Accessibility </w:t>
      </w:r>
      <w:proofErr w:type="gramStart"/>
      <w:r w:rsidRPr="00F1152B">
        <w:rPr>
          <w:rStyle w:val="normaltextrun"/>
          <w:rFonts w:ascii="Calibri" w:hAnsi="Calibri" w:cs="Calibri"/>
          <w:color w:val="000000"/>
          <w:shd w:val="clear" w:color="auto" w:fill="FFFFFF"/>
        </w:rPr>
        <w:t>Services  for</w:t>
      </w:r>
      <w:proofErr w:type="gramEnd"/>
      <w:r w:rsidRPr="00F1152B">
        <w:rPr>
          <w:rStyle w:val="normaltextrun"/>
          <w:rFonts w:ascii="Calibri" w:hAnsi="Calibri" w:cs="Calibri"/>
          <w:color w:val="000000"/>
          <w:shd w:val="clear" w:color="auto" w:fill="FFFFFF"/>
        </w:rPr>
        <w:t xml:space="preserve"> more information or to book an appointment.</w:t>
      </w:r>
    </w:p>
    <w:p w14:paraId="6EFCD815"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74FA98A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22" w:tooltip="Email" w:history="1">
        <w:r w:rsidRPr="0039217B">
          <w:rPr>
            <w:rStyle w:val="Hyperlink"/>
            <w:rFonts w:ascii="Calibri" w:hAnsi="Calibri" w:cs="Times"/>
            <w:sz w:val="24"/>
            <w:szCs w:val="24"/>
            <w:shd w:val="clear" w:color="auto" w:fill="FFFFFF"/>
          </w:rPr>
          <w:t>healthwellness.okanagan@ubc.ca</w:t>
        </w:r>
      </w:hyperlink>
    </w:p>
    <w:p w14:paraId="4CBF6F20"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3" w:history="1">
        <w:r w:rsidRPr="00264696">
          <w:rPr>
            <w:rStyle w:val="Hyperlink"/>
            <w:rFonts w:ascii="Calibri" w:hAnsi="Calibri" w:cs="Times"/>
            <w:sz w:val="24"/>
            <w:szCs w:val="24"/>
          </w:rPr>
          <w:t>www.students.ok.ubc.ca/was</w:t>
        </w:r>
      </w:hyperlink>
      <w:r>
        <w:rPr>
          <w:rFonts w:ascii="Calibri" w:hAnsi="Calibri" w:cs="Times"/>
          <w:sz w:val="24"/>
          <w:szCs w:val="24"/>
        </w:rPr>
        <w:t xml:space="preserve"> </w:t>
      </w:r>
    </w:p>
    <w:p w14:paraId="6716EF78" w14:textId="39486712" w:rsidR="001B4E1F"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t>Email</w:t>
      </w:r>
      <w:r w:rsidR="00CF0C04">
        <w:rPr>
          <w:rFonts w:ascii="Calibri" w:hAnsi="Calibri" w:cs="Times"/>
          <w:color w:val="002145"/>
          <w:sz w:val="24"/>
          <w:szCs w:val="24"/>
          <w:shd w:val="clear" w:color="auto" w:fill="FFFFFF"/>
        </w:rPr>
        <w:t xml:space="preserve">: </w:t>
      </w:r>
      <w:hyperlink r:id="rId24"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5"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lastRenderedPageBreak/>
        <w:t>${</w:t>
      </w:r>
      <w:proofErr w:type="spellStart"/>
      <w:r w:rsidRPr="0039217B">
        <w:t>safewalk</w:t>
      </w:r>
      <w:proofErr w:type="spellEnd"/>
      <w:r w:rsidRPr="0039217B">
        <w:t>-title}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6"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95B3" w14:textId="77777777" w:rsidR="00FD58AD" w:rsidRDefault="00FD58AD" w:rsidP="0031550F">
      <w:pPr>
        <w:spacing w:after="0"/>
      </w:pPr>
      <w:r>
        <w:separator/>
      </w:r>
    </w:p>
  </w:endnote>
  <w:endnote w:type="continuationSeparator" w:id="0">
    <w:p w14:paraId="3173595A" w14:textId="77777777" w:rsidR="00FD58AD" w:rsidRDefault="00FD58A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AECD" w14:textId="77777777" w:rsidR="00FD58AD" w:rsidRDefault="00FD58AD" w:rsidP="0031550F">
      <w:pPr>
        <w:spacing w:after="0"/>
      </w:pPr>
      <w:r>
        <w:separator/>
      </w:r>
    </w:p>
  </w:footnote>
  <w:footnote w:type="continuationSeparator" w:id="0">
    <w:p w14:paraId="2B88BF37" w14:textId="77777777" w:rsidR="00FD58AD" w:rsidRDefault="00FD58A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107A"/>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6C03"/>
    <w:rsid w:val="004279EA"/>
    <w:rsid w:val="00437CD2"/>
    <w:rsid w:val="004440B3"/>
    <w:rsid w:val="00444ADF"/>
    <w:rsid w:val="00445560"/>
    <w:rsid w:val="00451833"/>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DA"/>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learning.hub@ubc.ca" TargetMode="External"/><Relationship Id="rId26" Type="http://schemas.openxmlformats.org/officeDocument/2006/relationships/hyperlink" Target="http://www.security.ok.ubc.ca" TargetMode="External"/><Relationship Id="rId3" Type="http://schemas.openxmlformats.org/officeDocument/2006/relationships/styles" Target="styles.xml"/><Relationship Id="rId21" Type="http://schemas.openxmlformats.org/officeDocument/2006/relationships/hyperlink" Target="http://www.svpro.ok.ubc.ca"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ombudsoffice.ubc.ca" TargetMode="External"/><Relationship Id="rId25" Type="http://schemas.openxmlformats.org/officeDocument/2006/relationships/hyperlink" Target="https://psych.ok.ubc.ca/psychology-clinic/walk-in-wellness/" TargetMode="External"/><Relationship Id="rId2" Type="http://schemas.openxmlformats.org/officeDocument/2006/relationships/numbering" Target="numbering.xml"/><Relationship Id="rId16" Type="http://schemas.openxmlformats.org/officeDocument/2006/relationships/hyperlink" Target="mailto:ombuds.office.ok@ubc.ca" TargetMode="External"/><Relationship Id="rId20" Type="http://schemas.openxmlformats.org/officeDocument/2006/relationships/hyperlink" Target="mailto:svpro@okangan@ubc.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mailto:ipc.ok@ubc.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was"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http://www.students.ok.ubc.ca/sl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healthwellness.okanagan@ubc.ca" TargetMode="External"/><Relationship Id="rId27" Type="http://schemas.openxmlformats.org/officeDocument/2006/relationships/hyperlink" Target="https://creativecommons.org/license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12</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957</cp:revision>
  <dcterms:created xsi:type="dcterms:W3CDTF">2021-04-09T17:39:00Z</dcterms:created>
  <dcterms:modified xsi:type="dcterms:W3CDTF">2024-03-25T16:49:00Z</dcterms:modified>
</cp:coreProperties>
</file>