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39217B">
      <w:pPr>
        <w:pStyle w:val="Heading1"/>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${courseName}:</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lastRenderedPageBreak/>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37DC30D5" w14:textId="5629B901" w:rsidR="00FF6526" w:rsidRPr="0039217B" w:rsidRDefault="00FF6526" w:rsidP="0039217B">
      <w:pPr>
        <w:pStyle w:val="Heading1"/>
      </w:pPr>
      <w:bookmarkStart w:id="0" w:name="_Toc2236264"/>
      <w:r w:rsidRPr="0039217B">
        <w:t xml:space="preserve">Other Instructional </w:t>
      </w:r>
      <w:bookmarkEnd w:id="0"/>
      <w:r w:rsidRPr="0039217B">
        <w:t>Staff</w:t>
      </w:r>
    </w:p>
    <w:p w14:paraId="19AB4B4F" w14:textId="77777777" w:rsidR="00A36DC0" w:rsidRPr="0039217B" w:rsidRDefault="00A36DC0" w:rsidP="00A36DC0">
      <w:pPr>
        <w:rPr>
          <w:sz w:val="24"/>
          <w:szCs w:val="24"/>
        </w:rPr>
      </w:pPr>
    </w:p>
    <w:p w14:paraId="154A29E8" w14:textId="7A90CCD3" w:rsidR="00FF6526" w:rsidRPr="0039217B" w:rsidRDefault="00FF6526" w:rsidP="00FF6526">
      <w:pPr>
        <w:pStyle w:val="Paragraphs"/>
        <w:ind w:left="0"/>
        <w:rPr>
          <w:rFonts w:asciiTheme="minorHAnsi" w:hAnsiTheme="minorHAnsi" w:cstheme="minorHAnsi"/>
          <w:sz w:val="24"/>
          <w:szCs w:val="24"/>
        </w:rPr>
      </w:pPr>
      <w:r w:rsidRPr="0039217B">
        <w:rPr>
          <w:rFonts w:asciiTheme="minorHAnsi" w:hAnsiTheme="minorHAnsi" w:cstheme="minorHAnsi"/>
          <w:sz w:val="24"/>
          <w:szCs w:val="24"/>
        </w:rPr>
        <w:t>${otherInstructionalStaff</w:t>
      </w:r>
      <w:r w:rsidR="00BE62AF" w:rsidRPr="0039217B">
        <w:rPr>
          <w:rFonts w:asciiTheme="minorHAnsi" w:hAnsiTheme="minorHAnsi" w:cstheme="minorHAnsi"/>
          <w:sz w:val="24"/>
          <w:szCs w:val="24"/>
        </w:rPr>
        <w:t>0</w:t>
      </w:r>
      <w:r w:rsidRPr="0039217B">
        <w:rPr>
          <w:rFonts w:asciiTheme="minorHAnsi" w:hAnsiTheme="minorHAnsi" w:cstheme="minorHAnsi"/>
          <w:sz w:val="24"/>
          <w:szCs w:val="24"/>
        </w:rPr>
        <w:t>}</w:t>
      </w:r>
      <w:r w:rsidR="00BE62AF" w:rsidRPr="0039217B">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7777777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3F54212E" w14:textId="520736FB" w:rsidR="00317A7E" w:rsidRDefault="007D3638" w:rsidP="0039217B">
      <w:pPr>
        <w:pStyle w:val="Heading1"/>
      </w:pPr>
      <w:r w:rsidRPr="0039217B">
        <w:t>Course Description</w:t>
      </w:r>
    </w:p>
    <w:p w14:paraId="79D51877" w14:textId="77777777" w:rsidR="00DA4582" w:rsidRPr="00DA4582" w:rsidRDefault="00DA4582" w:rsidP="00DA4582"/>
    <w:p w14:paraId="4700F29A" w14:textId="3525A20F" w:rsidR="00D04292" w:rsidRPr="00DA4582" w:rsidRDefault="00091B77" w:rsidP="00DA4582">
      <w:pPr>
        <w:rPr>
          <w:sz w:val="24"/>
          <w:szCs w:val="24"/>
        </w:rPr>
      </w:pPr>
      <w:r w:rsidRPr="00DA4582">
        <w:rPr>
          <w:sz w:val="24"/>
          <w:szCs w:val="24"/>
        </w:rPr>
        <w:t>${courseDescriptionOK</w:t>
      </w:r>
      <w:proofErr w:type="gramStart"/>
      <w:r w:rsidRPr="00DA4582">
        <w:rPr>
          <w:sz w:val="24"/>
          <w:szCs w:val="24"/>
        </w:rPr>
        <w:t>0}$</w:t>
      </w:r>
      <w:proofErr w:type="gramEnd"/>
      <w:r w:rsidRPr="00DA4582">
        <w:rPr>
          <w:sz w:val="24"/>
          <w:szCs w:val="24"/>
        </w:rPr>
        <w:t>{courseDescriptionOK1}${courseDescriptionOK2}${courseDescriptionOK3}</w:t>
      </w:r>
      <w:r w:rsidR="00D04292" w:rsidRPr="00DA4582">
        <w:rPr>
          <w:sz w:val="24"/>
          <w:szCs w:val="24"/>
        </w:rPr>
        <w:t>${courseDescriptionOK4}${courseDescriptionOK5}${courseDescriptionOK6}${courseDescriptionOK7}${courseDescriptionOK8}${courseDescriptionOK9}${courseDescriptionOK10}</w:t>
      </w:r>
      <w:r w:rsidR="002A2C6D" w:rsidRPr="00DA4582">
        <w:rPr>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ED2AE6" w14:textId="55FBD2BA" w:rsidR="00B60026" w:rsidRPr="0039217B" w:rsidRDefault="00826B64" w:rsidP="0039217B">
      <w:pPr>
        <w:pStyle w:val="Heading1"/>
      </w:pPr>
      <w:r w:rsidRPr="0039217B">
        <w:t xml:space="preserve">Course </w:t>
      </w:r>
      <w:r w:rsidR="0096786D" w:rsidRPr="0039217B">
        <w:t>Format</w:t>
      </w:r>
    </w:p>
    <w:p w14:paraId="56B9564B" w14:textId="1DA5E880" w:rsidR="00B3403D" w:rsidRPr="0039217B" w:rsidRDefault="00B3403D"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${courseFormat</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{courseFormat1}${courseFormat2}${courseFormat3}${courseFormat4}${courseFormat5}${courseFormat6}${courseFormat7}${courseFormat8}${courseFormat9}${courseFormat10}</w:t>
      </w:r>
      <w:r w:rsidR="002355E5" w:rsidRPr="0039217B">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lastRenderedPageBreak/>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39217B">
      <w:pPr>
        <w:pStyle w:val="Heading1"/>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39217B">
      <w:pPr>
        <w:pStyle w:val="Heading1"/>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39217B">
      <w:pPr>
        <w:pStyle w:val="Heading1"/>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lastRenderedPageBreak/>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39217B">
      <w:pPr>
        <w:pStyle w:val="Heading1"/>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39217B">
      <w:pPr>
        <w:pStyle w:val="Heading1"/>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39217B">
      <w:pPr>
        <w:pStyle w:val="Heading1"/>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lastRenderedPageBreak/>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39217B">
      <w:pPr>
        <w:pStyle w:val="Heading1"/>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39217B">
      <w:pPr>
        <w:pStyle w:val="Heading1"/>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39217B">
      <w:pPr>
        <w:pStyle w:val="Heading1"/>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proofErr w:type="gramStart"/>
      <w:r w:rsidR="00B73D56" w:rsidRPr="0039217B">
        <w:rPr>
          <w:rFonts w:ascii="Calibri" w:hAnsi="Calibri" w:cs="Times"/>
        </w:rPr>
        <w:t>0</w:t>
      </w:r>
      <w:r w:rsidRPr="0039217B">
        <w:rPr>
          <w:rFonts w:ascii="Calibri" w:hAnsi="Calibri" w:cs="Times"/>
        </w:rPr>
        <w:t>}</w:t>
      </w:r>
      <w:r w:rsidR="00B73D56" w:rsidRPr="0039217B">
        <w:rPr>
          <w:rFonts w:ascii="Calibri" w:hAnsi="Calibri" w:cs="Times"/>
        </w:rPr>
        <w:t>$</w:t>
      </w:r>
      <w:proofErr w:type="gramEnd"/>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39217B">
      <w:pPr>
        <w:pStyle w:val="Heading1"/>
        <w:rPr>
          <w:rFonts w:eastAsia="Times New Roman"/>
        </w:rPr>
      </w:pPr>
      <w:r w:rsidRPr="0039217B">
        <w:rPr>
          <w:rFonts w:eastAsia="Times New Roman"/>
        </w:rPr>
        <w:lastRenderedPageBreak/>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39217B">
      <w:pPr>
        <w:pStyle w:val="Heading1"/>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w:t>
      </w:r>
      <w:proofErr w:type="gramEnd"/>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39217B">
      <w:pPr>
        <w:pStyle w:val="Heading1"/>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39217B">
      <w:pPr>
        <w:pStyle w:val="Heading1"/>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w:t>
      </w:r>
      <w:r w:rsidRPr="0039217B">
        <w:rPr>
          <w:rFonts w:asciiTheme="minorHAnsi" w:hAnsiTheme="minorHAnsi" w:cstheme="minorHAnsi"/>
          <w:sz w:val="24"/>
          <w:szCs w:val="24"/>
        </w:rPr>
        <w:lastRenderedPageBreak/>
        <w:t>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39217B">
      <w:pPr>
        <w:pStyle w:val="Heading1"/>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367C4181" w:rsidR="00487880" w:rsidRPr="0039217B" w:rsidRDefault="00487880" w:rsidP="0039217B">
      <w:pPr>
        <w:pStyle w:val="Heading4"/>
        <w:rPr>
          <w:sz w:val="24"/>
          <w:szCs w:val="24"/>
        </w:rPr>
      </w:pPr>
      <w:r w:rsidRPr="0039217B">
        <w:rPr>
          <w:sz w:val="24"/>
          <w:szCs w:val="24"/>
        </w:rPr>
        <w:t>Other Course Policies</w:t>
      </w:r>
      <w:bookmarkEnd w:id="4"/>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39217B">
      <w:pPr>
        <w:pStyle w:val="Heading1"/>
        <w:rPr>
          <w:rFonts w:eastAsia="Times New Roman"/>
        </w:rPr>
      </w:pPr>
      <w:r w:rsidRPr="0039217B">
        <w:rPr>
          <w:rFonts w:eastAsia="Times New Roman"/>
        </w:rPr>
        <w:t>${academic}</w:t>
      </w:r>
    </w:p>
    <w:p w14:paraId="32C6FC3F" w14:textId="16C7D920" w:rsidR="0039217B" w:rsidRPr="0039217B" w:rsidRDefault="00F01CDE" w:rsidP="0039217B">
      <w:pPr>
        <w:pStyle w:val="Heading1"/>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39217B">
      <w:pPr>
        <w:pStyle w:val="Heading1"/>
        <w:rPr>
          <w:rFonts w:eastAsia="Times New Roman"/>
        </w:rPr>
      </w:pPr>
      <w:r w:rsidRPr="0039217B">
        <w:rPr>
          <w:rFonts w:eastAsia="Times New Roman"/>
        </w:rPr>
        <w:lastRenderedPageBreak/>
        <w:t>${</w:t>
      </w:r>
      <w:r w:rsidR="00DF2A65" w:rsidRPr="0039217B">
        <w:rPr>
          <w:rFonts w:eastAsia="Times New Roman"/>
        </w:rPr>
        <w:t>/</w:t>
      </w:r>
      <w:r w:rsidRPr="0039217B">
        <w:rPr>
          <w:rFonts w:eastAsia="Times New Roman"/>
        </w:rPr>
        <w:t>academic}</w:t>
      </w:r>
    </w:p>
    <w:p w14:paraId="49E3DB11" w14:textId="347FF1B7" w:rsidR="004D3C25" w:rsidRPr="0039217B" w:rsidRDefault="009D6FEF" w:rsidP="0039217B">
      <w:pPr>
        <w:pStyle w:val="Heading1"/>
        <w:rPr>
          <w:rFonts w:eastAsia="Times New Roman"/>
        </w:rPr>
      </w:pPr>
      <w:r w:rsidRPr="0039217B">
        <w:t>${finals}</w:t>
      </w:r>
    </w:p>
    <w:p w14:paraId="4557F11E" w14:textId="05FDB9D3" w:rsidR="004D3C25" w:rsidRPr="0039217B" w:rsidRDefault="004D3C25" w:rsidP="0039217B">
      <w:pPr>
        <w:pStyle w:val="Heading1"/>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39217B">
      <w:pPr>
        <w:pStyle w:val="Heading1"/>
      </w:pPr>
      <w:r w:rsidRPr="0039217B">
        <w:t>${/final</w:t>
      </w:r>
      <w:r w:rsidR="002106EF" w:rsidRPr="0039217B">
        <w:t>s</w:t>
      </w:r>
      <w:r w:rsidRPr="0039217B">
        <w:t>}</w:t>
      </w:r>
    </w:p>
    <w:p w14:paraId="6BF40EBA" w14:textId="2A92EE24" w:rsidR="006D0BC0" w:rsidRPr="0039217B" w:rsidRDefault="00875F33" w:rsidP="0039217B">
      <w:pPr>
        <w:pStyle w:val="Heading1"/>
        <w:rPr>
          <w:rFonts w:eastAsia="Times New Roman"/>
        </w:rPr>
      </w:pPr>
      <w:r w:rsidRPr="0039217B">
        <w:rPr>
          <w:rFonts w:eastAsia="Times New Roman"/>
        </w:rPr>
        <w:t>${grading}</w:t>
      </w:r>
    </w:p>
    <w:p w14:paraId="7C90C7EE" w14:textId="593DF1F4" w:rsidR="00055C12" w:rsidRPr="0039217B" w:rsidRDefault="002106EF" w:rsidP="0039217B">
      <w:pPr>
        <w:pStyle w:val="Heading1"/>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 xml:space="preserve">Faculties, departments, and schools reserve the right to scale grades in order to maintain equity among sections and conformity to </w:t>
      </w:r>
      <w:proofErr w:type="gramStart"/>
      <w:r w:rsidRPr="0039217B">
        <w:rPr>
          <w:rFonts w:ascii="Calibri" w:hAnsi="Calibri" w:cs="Times"/>
          <w:sz w:val="24"/>
          <w:szCs w:val="24"/>
        </w:rPr>
        <w:t>University</w:t>
      </w:r>
      <w:proofErr w:type="gramEnd"/>
      <w:r w:rsidRPr="0039217B">
        <w:rPr>
          <w:rFonts w:ascii="Calibri" w:hAnsi="Calibri" w:cs="Times"/>
          <w:sz w:val="24"/>
          <w:szCs w:val="24"/>
        </w:rPr>
        <w:t>,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39217B">
      <w:pPr>
        <w:pStyle w:val="Heading1"/>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B42C5B" w:rsidRDefault="00B339E8" w:rsidP="00B42C5B">
      <w:pPr>
        <w:pStyle w:val="Heading4"/>
        <w:rPr>
          <w:sz w:val="24"/>
          <w:szCs w:val="24"/>
        </w:rPr>
      </w:pPr>
      <w:r w:rsidRPr="00B42C5B">
        <w:rPr>
          <w:sz w:val="24"/>
          <w:szCs w:val="24"/>
        </w:rPr>
        <w:t>Resources to Support Student Success</w:t>
      </w:r>
      <w:r w:rsidR="00686ACA" w:rsidRPr="00B42C5B">
        <w:rPr>
          <w:sz w:val="24"/>
          <w:szCs w:val="24"/>
        </w:rPr>
        <w:t>:</w:t>
      </w:r>
    </w:p>
    <w:p w14:paraId="78B0F49D"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39217B">
      <w:pPr>
        <w:pStyle w:val="Heading1"/>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 xml:space="preserve">If you require academic accommodations to achieve the objectives of a </w:t>
      </w:r>
      <w:proofErr w:type="gramStart"/>
      <w:r w:rsidR="00714D4E" w:rsidRPr="0039217B">
        <w:rPr>
          <w:rFonts w:ascii="Calibri" w:hAnsi="Calibri" w:cs="Times"/>
        </w:rPr>
        <w:t>course</w:t>
      </w:r>
      <w:proofErr w:type="gramEnd"/>
      <w:r w:rsidR="00714D4E" w:rsidRPr="0039217B">
        <w:rPr>
          <w:rFonts w:ascii="Calibri" w:hAnsi="Calibri" w:cs="Times"/>
        </w:rPr>
        <w:t xml:space="preserv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lastRenderedPageBreak/>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39217B">
      <w:pPr>
        <w:pStyle w:val="Heading1"/>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39217B">
      <w:pPr>
        <w:pStyle w:val="Heading1"/>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39217B">
      <w:pPr>
        <w:pStyle w:val="Heading1"/>
      </w:pPr>
      <w:r w:rsidRPr="0039217B">
        <w:lastRenderedPageBreak/>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39217B">
      <w:pPr>
        <w:pStyle w:val="Heading1"/>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39217B">
      <w:pPr>
        <w:pStyle w:val="Heading1"/>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 xml:space="preserve">The Global Engagement Office provides advising and resources to assist </w:t>
      </w:r>
      <w:proofErr w:type="gramStart"/>
      <w:r w:rsidRPr="0039217B">
        <w:rPr>
          <w:rFonts w:ascii="Calibri" w:hAnsi="Calibri" w:cs="Times"/>
        </w:rPr>
        <w:t>International</w:t>
      </w:r>
      <w:proofErr w:type="gramEnd"/>
      <w:r w:rsidRPr="0039217B">
        <w:rPr>
          <w:rFonts w:ascii="Calibri" w:hAnsi="Calibri" w:cs="Times"/>
        </w:rPr>
        <w:t xml:space="preserve">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lastRenderedPageBreak/>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39217B">
      <w:pPr>
        <w:pStyle w:val="Heading1"/>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39217B">
      <w:pPr>
        <w:pStyle w:val="Heading1"/>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2B67B79D" w:rsidR="00EE5892" w:rsidRPr="00CA57B8" w:rsidRDefault="00EE5892" w:rsidP="0039217B">
      <w:pPr>
        <w:pStyle w:val="Heading1"/>
        <w:rPr>
          <w:rFonts w:eastAsia="Times New Roman"/>
        </w:rPr>
      </w:pPr>
      <w:r w:rsidRPr="00CA57B8">
        <w:rPr>
          <w:rFonts w:eastAsia="Times New Roman"/>
        </w:rPr>
        <w:t>Creative Commons</w:t>
      </w:r>
      <w:r w:rsidR="0056121F" w:rsidRPr="00CA57B8">
        <w:rPr>
          <w:rFonts w:eastAsia="Times New Roman"/>
        </w:rPr>
        <w:t xml:space="preserve"> Open Copyright License</w:t>
      </w:r>
    </w:p>
    <w:p w14:paraId="28AE1724" w14:textId="0BCB4D50"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B0F8" w14:textId="77777777" w:rsidR="00A5287D" w:rsidRDefault="00A5287D" w:rsidP="0031550F">
      <w:pPr>
        <w:spacing w:after="0"/>
      </w:pPr>
      <w:r>
        <w:separator/>
      </w:r>
    </w:p>
  </w:endnote>
  <w:endnote w:type="continuationSeparator" w:id="0">
    <w:p w14:paraId="150EB176" w14:textId="77777777" w:rsidR="00A5287D" w:rsidRDefault="00A5287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E59B" w14:textId="77777777" w:rsidR="00A5287D" w:rsidRDefault="00A5287D" w:rsidP="0031550F">
      <w:pPr>
        <w:spacing w:after="0"/>
      </w:pPr>
      <w:r>
        <w:separator/>
      </w:r>
    </w:p>
  </w:footnote>
  <w:footnote w:type="continuationSeparator" w:id="0">
    <w:p w14:paraId="0EBF1638" w14:textId="77777777" w:rsidR="00A5287D" w:rsidRDefault="00A5287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FE"/>
  </w:style>
  <w:style w:type="paragraph" w:styleId="Heading1">
    <w:name w:val="heading 1"/>
    <w:basedOn w:val="Normal"/>
    <w:next w:val="Normal"/>
    <w:link w:val="Heading1Char"/>
    <w:autoRedefine/>
    <w:uiPriority w:val="9"/>
    <w:qFormat/>
    <w:rsid w:val="0039217B"/>
    <w:pPr>
      <w:keepNext/>
      <w:keepLines/>
      <w:spacing w:before="240" w:after="0"/>
      <w:outlineLvl w:val="0"/>
    </w:pPr>
    <w:rPr>
      <w:rFonts w:asciiTheme="majorHAnsi" w:eastAsiaTheme="majorEastAsia" w:hAnsiTheme="majorHAnsi" w:cstheme="majorBidi"/>
      <w:color w:val="002060"/>
      <w:sz w:val="24"/>
      <w:szCs w:val="24"/>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21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217B"/>
    <w:rPr>
      <w:rFonts w:asciiTheme="majorHAnsi" w:eastAsiaTheme="majorEastAsia" w:hAnsiTheme="majorHAnsi" w:cstheme="majorBidi"/>
      <w:color w:val="002060"/>
      <w:sz w:val="24"/>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caps/>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3921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11</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907</cp:revision>
  <dcterms:created xsi:type="dcterms:W3CDTF">2021-04-09T17:39:00Z</dcterms:created>
  <dcterms:modified xsi:type="dcterms:W3CDTF">2023-08-24T17:20:00Z</dcterms:modified>
</cp:coreProperties>
</file>