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r w:rsidRPr="00D97AA8">
        <w:rPr>
          <w:rFonts w:cstheme="minorHAnsi"/>
        </w:rPr>
        <w:t>unceded territory of the Musqueam.</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pPr>
              <w:pStyle w:val="NoSpacing"/>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pPr>
              <w:pStyle w:val="NoSpacing"/>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pPr>
              <w:pStyle w:val="NoSpacing"/>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pPr>
              <w:pStyle w:val="NoSpacing"/>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pPr>
              <w:pStyle w:val="NoSpacing"/>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67DF2023" w14:textId="77777777" w:rsidR="00C43125" w:rsidRDefault="00C43125" w:rsidP="00C43125">
      <w:pPr>
        <w:rPr>
          <w:rFonts w:ascii="Calibri" w:hAnsi="Calibri" w:cs="Times"/>
          <w:b/>
        </w:rPr>
      </w:pPr>
    </w:p>
    <w:p w14:paraId="12424173" w14:textId="6288A470" w:rsidR="00310919" w:rsidRDefault="00310919" w:rsidP="00310919">
      <w:pPr>
        <w:rPr>
          <w:rFonts w:cstheme="minorHAnsi"/>
        </w:rPr>
      </w:pPr>
      <w:r>
        <w:rPr>
          <w:rFonts w:cstheme="minorHAnsi"/>
        </w:rPr>
        <w:t>${</w:t>
      </w:r>
      <w:proofErr w:type="spellStart"/>
      <w:r>
        <w:rPr>
          <w:rFonts w:cstheme="minorHAnsi"/>
        </w:rPr>
        <w:t>No</w:t>
      </w:r>
      <w:r>
        <w:rPr>
          <w:rFonts w:cstheme="minorHAnsi"/>
        </w:rPr>
        <w:t>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w:t>
      </w:r>
      <w:r>
        <w:rPr>
          <w:rFonts w:cstheme="minorHAnsi"/>
        </w:rPr>
        <w:t>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bookmarkStart w:id="2" w:name="_GoBack"/>
      <w:bookmarkEnd w:id="2"/>
      <w:proofErr w:type="spellEnd"/>
      <w:r w:rsidRPr="009420D2">
        <w:rPr>
          <w:rFonts w:cstheme="minorHAnsi"/>
        </w:rPr>
        <w:t>}</w:t>
      </w:r>
    </w:p>
    <w:p w14:paraId="4FBB7822" w14:textId="5F4B7560" w:rsidR="001C38F7" w:rsidRDefault="001C38F7" w:rsidP="005A47E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6D85D1D9" w14:textId="77777777" w:rsidR="00E15D9D" w:rsidRDefault="00E15D9D" w:rsidP="00E15D9D">
      <w:pPr>
        <w:rPr>
          <w:rFonts w:cstheme="minorHAnsi"/>
        </w:rPr>
      </w:pPr>
      <w:r>
        <w:rPr>
          <w:rFonts w:cstheme="minorHAnsi"/>
        </w:rPr>
        <w:t>${</w:t>
      </w:r>
      <w:proofErr w:type="spellStart"/>
      <w:r>
        <w:rPr>
          <w:rFonts w:cstheme="minorHAnsi"/>
        </w:rPr>
        <w:t>NoOfficeLocation</w:t>
      </w:r>
      <w:proofErr w:type="spellEnd"/>
      <w:r>
        <w:rPr>
          <w:rFonts w:cstheme="minorHAnsi"/>
        </w:rPr>
        <w:t>}</w:t>
      </w:r>
    </w:p>
    <w:p w14:paraId="41D05DE1" w14:textId="77777777"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554C5C82" w14:textId="14A30097" w:rsidR="00E15D9D" w:rsidRDefault="00E15D9D" w:rsidP="00E15D9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lastRenderedPageBreak/>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7197AF4E"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0"/>
      <w:r w:rsidRPr="00EE188E">
        <w:rPr>
          <w:rFonts w:eastAsia="Times New Roman" w:cstheme="minorHAnsi"/>
          <w:caps/>
          <w:color w:val="823B0B"/>
          <w:sz w:val="24"/>
          <w:szCs w:val="24"/>
        </w:rPr>
        <w:t>Prerequisites</w:t>
      </w:r>
    </w:p>
    <w:bookmarkEnd w:id="3"/>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1"/>
      <w:r w:rsidRPr="00EE188E">
        <w:rPr>
          <w:rFonts w:eastAsia="Times New Roman" w:cstheme="minorHAnsi"/>
          <w:caps/>
          <w:color w:val="823B0B"/>
          <w:sz w:val="24"/>
          <w:szCs w:val="24"/>
        </w:rPr>
        <w:t>Corequisites</w:t>
      </w:r>
      <w:bookmarkEnd w:id="4"/>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5" w:name="_Toc2236262"/>
      <w:r w:rsidRPr="00EE188E">
        <w:rPr>
          <w:rFonts w:asciiTheme="minorHAnsi" w:eastAsia="Times New Roman" w:hAnsiTheme="minorHAnsi" w:cstheme="minorHAnsi"/>
        </w:rPr>
        <w:t>Contacts</w:t>
      </w:r>
      <w:bookmarkEnd w:id="5"/>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7D047F">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7D047F">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7D047F">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7D047F">
            <w:pPr>
              <w:pStyle w:val="NoSpacing"/>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7D047F">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 xml:space="preserve">Include any and all contact information you are willing to have students use. If you have a preferred mode, state it. For example, do you accept email inquiries? </w:t>
            </w:r>
            <w:r w:rsidRPr="008651FD">
              <w:rPr>
                <w:rFonts w:asciiTheme="minorHAnsi" w:eastAsia="Times New Roman" w:hAnsiTheme="minorHAnsi" w:cstheme="minorHAnsi"/>
                <w:color w:val="1F4E79" w:themeColor="accent5" w:themeShade="80"/>
              </w:rPr>
              <w:lastRenderedPageBreak/>
              <w:t>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lastRenderedPageBreak/>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7D047F">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7D43F2C7" w14:textId="3D963648"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7E1A78B4" w14:textId="77777777"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76711D3C" w14:textId="1B3AED02" w:rsidR="00A12451" w:rsidRDefault="00A12451" w:rsidP="00A12451">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1" w:name="_Toc2236268"/>
      <w:r w:rsidRPr="00EE188E">
        <w:rPr>
          <w:rFonts w:asciiTheme="minorHAnsi" w:hAnsiTheme="minorHAnsi" w:cstheme="minorHAnsi"/>
        </w:rPr>
        <w:t>Learning Activities</w:t>
      </w:r>
      <w:bookmarkEnd w:id="11"/>
    </w:p>
    <w:p w14:paraId="048555C0" w14:textId="1E46C555" w:rsidR="00983AB4" w:rsidRDefault="00983AB4" w:rsidP="00983AB4">
      <w:pPr>
        <w:rPr>
          <w:rFonts w:cstheme="minorHAnsi"/>
        </w:rPr>
      </w:pPr>
      <w:r>
        <w:rPr>
          <w:rFonts w:cstheme="minorHAnsi"/>
        </w:rPr>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2" w:name="_Toc2236269"/>
      <w:r w:rsidRPr="00EE188E">
        <w:rPr>
          <w:rFonts w:asciiTheme="minorHAnsi" w:hAnsiTheme="minorHAnsi" w:cstheme="minorHAnsi"/>
        </w:rPr>
        <w:t>Learning Materials</w:t>
      </w:r>
      <w:bookmarkEnd w:id="12"/>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lastRenderedPageBreak/>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w:t>
      </w:r>
      <w:proofErr w:type="gramStart"/>
      <w:r w:rsidRPr="008651FD">
        <w:rPr>
          <w:rFonts w:eastAsia="Times New Roman" w:cstheme="minorHAnsi"/>
          <w:color w:val="1F4E79" w:themeColor="accent5" w:themeShade="80"/>
          <w:szCs w:val="20"/>
        </w:rPr>
        <w:t>https://shop.bookstore.ubc.ca/courselistbuilder.aspx )</w:t>
      </w:r>
      <w:proofErr w:type="gramEnd"/>
      <w:r w:rsidRPr="008651FD">
        <w:rPr>
          <w:rFonts w:eastAsia="Times New Roman" w:cstheme="minorHAnsi"/>
          <w:color w:val="1F4E79" w:themeColor="accent5" w:themeShade="80"/>
          <w:szCs w:val="20"/>
        </w:rPr>
        <w:t xml:space="preserve"> if that is a source, knowing that they may provide alternative formats for some materials such as e-texts, used texts, etc.</w:t>
      </w:r>
    </w:p>
    <w:p w14:paraId="269CF4FA" w14:textId="4BE18C71"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6F16D2AD" w14:textId="7830E430"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06AF045F" w14:textId="631EC63D" w:rsidR="00983AB4" w:rsidRPr="00A43088"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3" w:name="_Toc2236270"/>
      <w:r w:rsidRPr="00EE188E">
        <w:rPr>
          <w:rFonts w:asciiTheme="minorHAnsi" w:hAnsiTheme="minorHAnsi" w:cstheme="minorHAnsi"/>
        </w:rPr>
        <w:t>Assessments of Learning</w:t>
      </w:r>
      <w:bookmarkEnd w:id="13"/>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6C9A9409" w:rsidR="00D662BE" w:rsidRDefault="00D662BE" w:rsidP="00647687">
      <w:pPr>
        <w:rPr>
          <w:rStyle w:val="normaltextrun"/>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41DC6F6"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w:t>
      </w:r>
      <w:r w:rsidR="00EE18CD">
        <w:rPr>
          <w:rFonts w:asciiTheme="minorHAnsi" w:hAnsiTheme="minorHAnsi" w:cstheme="minorHAnsi"/>
        </w:rPr>
        <w:t>/GRADING</w:t>
      </w:r>
      <w:r w:rsidRPr="00EE188E">
        <w:rPr>
          <w:rFonts w:asciiTheme="minorHAnsi" w:hAnsiTheme="minorHAnsi" w:cstheme="minorHAnsi"/>
        </w:rPr>
        <w:t xml:space="preserve">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0745BBA6" w14:textId="77777777" w:rsidR="00EA6250" w:rsidRDefault="00EA6250" w:rsidP="00F0786C">
      <w:pPr>
        <w:rPr>
          <w:rStyle w:val="normaltextrun"/>
          <w:rFonts w:cstheme="minorHAnsi"/>
          <w:bCs/>
          <w:color w:val="000000"/>
          <w:bdr w:val="none" w:sz="0" w:space="0" w:color="auto" w:frame="1"/>
        </w:rPr>
      </w:pPr>
    </w:p>
    <w:p w14:paraId="46B12043" w14:textId="1F29A422" w:rsidR="00647687" w:rsidRDefault="00EA6250" w:rsidP="00EA6250">
      <w:pPr>
        <w:pStyle w:val="Heading2"/>
        <w:spacing w:before="120" w:after="120"/>
        <w:jc w:val="left"/>
        <w:rPr>
          <w:rFonts w:asciiTheme="minorHAnsi" w:eastAsia="Times New Roman" w:hAnsiTheme="minorHAnsi" w:cstheme="majorHAnsi"/>
        </w:rPr>
      </w:pPr>
      <w:bookmarkStart w:id="15"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5"/>
    </w:p>
    <w:p w14:paraId="647C4B62" w14:textId="77777777" w:rsidR="00EA6250" w:rsidRDefault="00EA6250" w:rsidP="00EA6250">
      <w:r>
        <w:t>${academic}</w:t>
      </w:r>
    </w:p>
    <w:p w14:paraId="0F64D914" w14:textId="77777777" w:rsidR="00EA6250" w:rsidRPr="00352795" w:rsidRDefault="00EA6250" w:rsidP="00EA6250"/>
    <w:p w14:paraId="2AE88C04" w14:textId="77777777" w:rsidR="00EA6250" w:rsidRPr="00EE188E" w:rsidRDefault="00EA6250" w:rsidP="00EA6250">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36502E53" w14:textId="77777777" w:rsidR="00EA6250" w:rsidRDefault="00EA6250" w:rsidP="00EA6250">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w:t>
      </w:r>
      <w:r w:rsidRPr="00D97AA8">
        <w:rPr>
          <w:rFonts w:asciiTheme="minorHAnsi" w:hAnsiTheme="minorHAnsi" w:cstheme="minorHAnsi"/>
          <w:sz w:val="22"/>
          <w:szCs w:val="22"/>
        </w:rPr>
        <w:lastRenderedPageBreak/>
        <w:t>kept in order to monitor and prevent recurrences. A more detailed description of academic integrity, including the University’s policies and procedures, may be found in the Academic Calendar.</w:t>
      </w:r>
    </w:p>
    <w:p w14:paraId="4E88D44A" w14:textId="59460737" w:rsidR="00E31D6C" w:rsidRDefault="00EA6250" w:rsidP="00CF64A9">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965CCF2" w14:textId="676CA5AF" w:rsidR="0007217A" w:rsidRDefault="0007217A" w:rsidP="0007217A">
      <w:r>
        <w:t>${concession}</w:t>
      </w:r>
    </w:p>
    <w:p w14:paraId="71740E4B" w14:textId="77777777" w:rsidR="0007217A" w:rsidRPr="00352795" w:rsidRDefault="0007217A" w:rsidP="0007217A"/>
    <w:p w14:paraId="0C553DCC" w14:textId="0AA0F98A" w:rsidR="0007217A" w:rsidRPr="00EE188E" w:rsidRDefault="0007217A" w:rsidP="0007217A">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w:t>
      </w:r>
      <w:r w:rsidR="00E1755B">
        <w:rPr>
          <w:rFonts w:eastAsia="Times New Roman" w:cstheme="minorHAnsi"/>
          <w:color w:val="823B0B"/>
          <w:sz w:val="24"/>
          <w:szCs w:val="24"/>
        </w:rPr>
        <w:t>concession</w:t>
      </w:r>
      <w:r>
        <w:rPr>
          <w:rFonts w:eastAsia="Times New Roman" w:cstheme="minorHAnsi"/>
          <w:color w:val="823B0B"/>
          <w:sz w:val="24"/>
          <w:szCs w:val="24"/>
        </w:rPr>
        <w:t>-title}</w:t>
      </w:r>
    </w:p>
    <w:p w14:paraId="312C9D62" w14:textId="5543231B" w:rsidR="00E1755B" w:rsidRPr="00E1755B" w:rsidRDefault="00E1755B" w:rsidP="00E1755B">
      <w:pPr>
        <w:pStyle w:val="NormalWeb"/>
        <w:shd w:val="clear" w:color="auto" w:fill="FFFFFF"/>
        <w:spacing w:before="0" w:beforeAutospacing="0" w:after="12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1"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academic concessions are generally granted when students are facing an unexpected situation or circumstance that prevents them from completing graded work or exams. Students may request an academic concession for unanticipated changes in personal responsibilities that create a conflict, medical circumstances, or compassionate grounds.</w:t>
      </w:r>
    </w:p>
    <w:p w14:paraId="179E7CA4" w14:textId="39414C26" w:rsidR="00E1755B" w:rsidRPr="00E1755B" w:rsidRDefault="00E1755B" w:rsidP="00E1755B">
      <w:pPr>
        <w:pStyle w:val="NormalWeb"/>
        <w:shd w:val="clear" w:color="auto" w:fill="FFFFFF"/>
        <w:spacing w:before="0" w:beforeAutospacing="0" w:after="0" w:afterAutospacing="0"/>
        <w:rPr>
          <w:rFonts w:asciiTheme="minorHAnsi" w:hAnsiTheme="minorHAnsi" w:cstheme="minorHAnsi"/>
          <w:sz w:val="22"/>
          <w:szCs w:val="22"/>
        </w:rPr>
      </w:pPr>
      <w:r w:rsidRPr="00E1755B">
        <w:rPr>
          <w:rFonts w:asciiTheme="minorHAnsi" w:hAnsiTheme="minorHAnsi" w:cstheme="minorHAnsi"/>
          <w:sz w:val="22"/>
          <w:szCs w:val="22"/>
        </w:rPr>
        <w:t xml:space="preserve">In accordance with </w:t>
      </w:r>
      <w:hyperlink r:id="rId12" w:history="1">
        <w:r w:rsidRPr="00E1755B">
          <w:rPr>
            <w:rStyle w:val="Hyperlink"/>
            <w:rFonts w:asciiTheme="minorHAnsi" w:hAnsiTheme="minorHAnsi" w:cstheme="minorHAnsi"/>
            <w:sz w:val="22"/>
            <w:szCs w:val="22"/>
          </w:rPr>
          <w:t>UBC Policy V135</w:t>
        </w:r>
      </w:hyperlink>
      <w:r w:rsidRPr="00E1755B">
        <w:rPr>
          <w:rFonts w:asciiTheme="minorHAnsi" w:hAnsiTheme="minorHAnsi" w:cstheme="minorHAnsi"/>
          <w:sz w:val="22"/>
          <w:szCs w:val="22"/>
        </w:rPr>
        <w:t xml:space="preserve">, Section 10, students’ requests for academic concession should be made as early as reasonably possible, in writing to their instructor or academic advising office or equivalent in accordance with the procedures for </w:t>
      </w:r>
      <w:hyperlink r:id="rId13" w:history="1">
        <w:r w:rsidRPr="00E1755B">
          <w:rPr>
            <w:rStyle w:val="Hyperlink"/>
            <w:rFonts w:asciiTheme="minorHAnsi" w:hAnsiTheme="minorHAnsi" w:cstheme="minorHAnsi"/>
            <w:sz w:val="22"/>
            <w:szCs w:val="22"/>
          </w:rPr>
          <w:t>Policy V135</w:t>
        </w:r>
      </w:hyperlink>
      <w:r w:rsidRPr="00E1755B">
        <w:rPr>
          <w:rFonts w:asciiTheme="minorHAnsi" w:hAnsiTheme="minorHAnsi" w:cstheme="minorHAnsi"/>
          <w:sz w:val="22"/>
          <w:szCs w:val="22"/>
        </w:rPr>
        <w:t xml:space="preserve"> and those set out by the student’s faculty/school. The requests should clearly state the grounds for the concession and the anticipated duration of the conflict and or hindrance to academic work. In some situations, this self-declaration is sufficient, but the submission of supporting documentation may be required along with, or following, the self-declaration.</w:t>
      </w:r>
    </w:p>
    <w:p w14:paraId="07C42E83" w14:textId="0A6EA170" w:rsidR="0007217A" w:rsidRPr="00CF64A9" w:rsidRDefault="0007217A" w:rsidP="0007217A">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t>
      </w:r>
      <w:r w:rsidR="00AA4315">
        <w:rPr>
          <w:rFonts w:asciiTheme="minorHAnsi" w:hAnsiTheme="minorHAnsi" w:cstheme="minorHAnsi"/>
          <w:sz w:val="22"/>
          <w:szCs w:val="22"/>
        </w:rPr>
        <w:t>concession</w:t>
      </w:r>
      <w:r>
        <w:rPr>
          <w:rFonts w:asciiTheme="minorHAnsi" w:hAnsiTheme="minorHAnsi" w:cstheme="minorHAnsi"/>
          <w:sz w:val="22"/>
          <w:szCs w:val="22"/>
        </w:rPr>
        <w:t>}</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FC40CD" w:rsidP="005C7E45">
      <w:pPr>
        <w:pStyle w:val="paragraph"/>
        <w:spacing w:before="0" w:beforeAutospacing="0" w:after="0" w:afterAutospacing="0"/>
        <w:textAlignment w:val="baseline"/>
        <w:rPr>
          <w:rFonts w:asciiTheme="minorHAnsi" w:hAnsiTheme="minorHAnsi" w:cstheme="minorHAnsi"/>
          <w:sz w:val="22"/>
          <w:szCs w:val="22"/>
        </w:rPr>
      </w:pPr>
      <w:hyperlink r:id="rId14" w:history="1">
        <w:r w:rsidR="00D97AA8" w:rsidRPr="000A386E">
          <w:rPr>
            <w:rStyle w:val="Hyperlink"/>
            <w:rFonts w:asciiTheme="minorHAnsi" w:hAnsiTheme="minorHAnsi" w:cstheme="minorHAnsi"/>
            <w:sz w:val="22"/>
            <w:szCs w:val="22"/>
          </w:rPr>
          <w:t>https://students.ubc.ca/about-student-services/centre-for-accessibility</w:t>
        </w:r>
      </w:hyperlink>
    </w:p>
    <w:p w14:paraId="1A113054" w14:textId="5A5C0907"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150921CD" w:rsidR="009E08AC" w:rsidRPr="009E08AC" w:rsidRDefault="009E08AC" w:rsidP="009E08AC">
      <w:pPr>
        <w:rPr>
          <w:rFonts w:eastAsia="Times New Roman"/>
        </w:rPr>
      </w:pPr>
      <w:r w:rsidRPr="009E08AC">
        <w:rPr>
          <w:rFonts w:eastAsia="Times New Roman"/>
        </w:rPr>
        <w:t>${</w:t>
      </w:r>
      <w:proofErr w:type="spellStart"/>
      <w:r w:rsidRPr="009E08AC">
        <w:rPr>
          <w:rFonts w:eastAsia="Times New Roman"/>
        </w:rPr>
        <w:t>learningAnalytics</w:t>
      </w:r>
      <w:proofErr w:type="spellEnd"/>
      <w:r w:rsidRPr="009E08AC">
        <w:rPr>
          <w:rFonts w:eastAsia="Times New Roman"/>
        </w:rPr>
        <w:t>}</w:t>
      </w:r>
    </w:p>
    <w:p w14:paraId="3F3D68CC" w14:textId="73AD6351" w:rsidR="009E08AC" w:rsidRPr="00CF64A9" w:rsidRDefault="009E08AC" w:rsidP="00CF64A9">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C26A7AB" w14:textId="77777777" w:rsidR="00EA6250" w:rsidRPr="00EA6250" w:rsidRDefault="00EA6250"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21FB35BF" w14:textId="77777777" w:rsidR="00EA6250" w:rsidRPr="00EA6250" w:rsidRDefault="00EA6250" w:rsidP="00EA6250"/>
    <w:p w14:paraId="3D49A625" w14:textId="77777777" w:rsidR="00EA6250" w:rsidRPr="00EA6250" w:rsidRDefault="00EA6250" w:rsidP="00EA6250">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EA6250">
        <w:rPr>
          <w:rFonts w:ascii="Calibri" w:eastAsia="Times New Roman" w:hAnsi="Calibri" w:cs="Times New Roman"/>
          <w:caps/>
          <w:color w:val="823B0B"/>
          <w:sz w:val="24"/>
          <w:szCs w:val="24"/>
        </w:rPr>
        <w:t>Learning Resources</w:t>
      </w:r>
    </w:p>
    <w:p w14:paraId="4D77B767" w14:textId="77777777" w:rsidR="00EA6250" w:rsidRDefault="00EA6250" w:rsidP="00EA6250">
      <w:r>
        <w:t>${</w:t>
      </w:r>
      <w:proofErr w:type="spellStart"/>
      <w:r>
        <w:t>courseLearningResources</w:t>
      </w:r>
      <w:proofErr w:type="spellEnd"/>
      <w:r>
        <w:t>}</w:t>
      </w:r>
    </w:p>
    <w:p w14:paraId="7EF084E1" w14:textId="64053864" w:rsidR="00EA6250" w:rsidRPr="00EA6250" w:rsidRDefault="00EA6250" w:rsidP="00EA6250">
      <w:r>
        <w:t>${/</w:t>
      </w:r>
      <w:proofErr w:type="spellStart"/>
      <w:r>
        <w:t>NoCourseLearningResources</w:t>
      </w:r>
      <w:proofErr w:type="spellEnd"/>
      <w: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lastRenderedPageBreak/>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3FB88741" w:rsidR="00F6570F"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C692B" w14:textId="77777777" w:rsidR="00FC40CD" w:rsidRDefault="00FC40CD" w:rsidP="0031550F">
      <w:pPr>
        <w:spacing w:after="0"/>
      </w:pPr>
      <w:r>
        <w:separator/>
      </w:r>
    </w:p>
  </w:endnote>
  <w:endnote w:type="continuationSeparator" w:id="0">
    <w:p w14:paraId="4C07234C" w14:textId="77777777" w:rsidR="00FC40CD" w:rsidRDefault="00FC40CD"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84033" w14:textId="77777777" w:rsidR="00FC40CD" w:rsidRDefault="00FC40CD" w:rsidP="0031550F">
      <w:pPr>
        <w:spacing w:after="0"/>
      </w:pPr>
      <w:r>
        <w:separator/>
      </w:r>
    </w:p>
  </w:footnote>
  <w:footnote w:type="continuationSeparator" w:id="0">
    <w:p w14:paraId="791BFD48" w14:textId="77777777" w:rsidR="00FC40CD" w:rsidRDefault="00FC40CD"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92CAC"/>
    <w:rsid w:val="001A0763"/>
    <w:rsid w:val="001A1871"/>
    <w:rsid w:val="001A1903"/>
    <w:rsid w:val="001A269A"/>
    <w:rsid w:val="001A398A"/>
    <w:rsid w:val="001A6396"/>
    <w:rsid w:val="001B019E"/>
    <w:rsid w:val="001B5DCD"/>
    <w:rsid w:val="001C38F7"/>
    <w:rsid w:val="001C397D"/>
    <w:rsid w:val="001C693F"/>
    <w:rsid w:val="001D04C3"/>
    <w:rsid w:val="001D3756"/>
    <w:rsid w:val="001E337E"/>
    <w:rsid w:val="00214312"/>
    <w:rsid w:val="00214E29"/>
    <w:rsid w:val="00216281"/>
    <w:rsid w:val="00217F93"/>
    <w:rsid w:val="00221545"/>
    <w:rsid w:val="00237351"/>
    <w:rsid w:val="002522B9"/>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176AB"/>
    <w:rsid w:val="0043021C"/>
    <w:rsid w:val="0043571A"/>
    <w:rsid w:val="00436861"/>
    <w:rsid w:val="00436A27"/>
    <w:rsid w:val="00453715"/>
    <w:rsid w:val="0046057A"/>
    <w:rsid w:val="0046326A"/>
    <w:rsid w:val="00464B23"/>
    <w:rsid w:val="004705B0"/>
    <w:rsid w:val="0048058B"/>
    <w:rsid w:val="00485D66"/>
    <w:rsid w:val="00486EDE"/>
    <w:rsid w:val="0049263F"/>
    <w:rsid w:val="00496CB7"/>
    <w:rsid w:val="004A36E2"/>
    <w:rsid w:val="004B36B3"/>
    <w:rsid w:val="004B578A"/>
    <w:rsid w:val="004B5F67"/>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86942"/>
    <w:rsid w:val="0059762F"/>
    <w:rsid w:val="005A16AB"/>
    <w:rsid w:val="005A47ED"/>
    <w:rsid w:val="005B2EF3"/>
    <w:rsid w:val="005C73C5"/>
    <w:rsid w:val="005C7E45"/>
    <w:rsid w:val="005D2B47"/>
    <w:rsid w:val="005E2735"/>
    <w:rsid w:val="005E2A5F"/>
    <w:rsid w:val="005E2D28"/>
    <w:rsid w:val="005E4693"/>
    <w:rsid w:val="005E4694"/>
    <w:rsid w:val="005F5F4D"/>
    <w:rsid w:val="00600BF5"/>
    <w:rsid w:val="006122BD"/>
    <w:rsid w:val="00612B70"/>
    <w:rsid w:val="00625610"/>
    <w:rsid w:val="006257B9"/>
    <w:rsid w:val="0063170D"/>
    <w:rsid w:val="006345D3"/>
    <w:rsid w:val="00647687"/>
    <w:rsid w:val="00661C28"/>
    <w:rsid w:val="00665023"/>
    <w:rsid w:val="00673CFE"/>
    <w:rsid w:val="00682918"/>
    <w:rsid w:val="006907F6"/>
    <w:rsid w:val="00691646"/>
    <w:rsid w:val="006A0BC9"/>
    <w:rsid w:val="006A1DA9"/>
    <w:rsid w:val="006A59C1"/>
    <w:rsid w:val="006A6905"/>
    <w:rsid w:val="006B149A"/>
    <w:rsid w:val="006B5CA5"/>
    <w:rsid w:val="006D4775"/>
    <w:rsid w:val="006E34AD"/>
    <w:rsid w:val="006E4A66"/>
    <w:rsid w:val="006E6C3D"/>
    <w:rsid w:val="0070145E"/>
    <w:rsid w:val="00711030"/>
    <w:rsid w:val="0072739F"/>
    <w:rsid w:val="007333AE"/>
    <w:rsid w:val="0073368A"/>
    <w:rsid w:val="0073748C"/>
    <w:rsid w:val="00743019"/>
    <w:rsid w:val="007569AA"/>
    <w:rsid w:val="00760AD0"/>
    <w:rsid w:val="00760DF9"/>
    <w:rsid w:val="00766F8F"/>
    <w:rsid w:val="00773ECE"/>
    <w:rsid w:val="007752F6"/>
    <w:rsid w:val="00775929"/>
    <w:rsid w:val="00781844"/>
    <w:rsid w:val="00794118"/>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3B7A"/>
    <w:rsid w:val="008D2B09"/>
    <w:rsid w:val="008E1ECD"/>
    <w:rsid w:val="008E58B9"/>
    <w:rsid w:val="008F0AB3"/>
    <w:rsid w:val="008F2243"/>
    <w:rsid w:val="00905EC4"/>
    <w:rsid w:val="00906988"/>
    <w:rsid w:val="009100CB"/>
    <w:rsid w:val="009169C6"/>
    <w:rsid w:val="00920857"/>
    <w:rsid w:val="009232F9"/>
    <w:rsid w:val="009412B8"/>
    <w:rsid w:val="00941B91"/>
    <w:rsid w:val="009420D2"/>
    <w:rsid w:val="009610C5"/>
    <w:rsid w:val="00964430"/>
    <w:rsid w:val="0096786D"/>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828DC"/>
    <w:rsid w:val="00A844C2"/>
    <w:rsid w:val="00A8538F"/>
    <w:rsid w:val="00A85558"/>
    <w:rsid w:val="00A867B1"/>
    <w:rsid w:val="00A92378"/>
    <w:rsid w:val="00A94004"/>
    <w:rsid w:val="00A9663C"/>
    <w:rsid w:val="00AA4315"/>
    <w:rsid w:val="00AB4144"/>
    <w:rsid w:val="00AC3917"/>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C68B3"/>
    <w:rsid w:val="00BD09C0"/>
    <w:rsid w:val="00BD35B0"/>
    <w:rsid w:val="00BE6F16"/>
    <w:rsid w:val="00BF1A49"/>
    <w:rsid w:val="00BF2198"/>
    <w:rsid w:val="00C030AF"/>
    <w:rsid w:val="00C06235"/>
    <w:rsid w:val="00C0649E"/>
    <w:rsid w:val="00C07D43"/>
    <w:rsid w:val="00C11E04"/>
    <w:rsid w:val="00C20CE7"/>
    <w:rsid w:val="00C30D9C"/>
    <w:rsid w:val="00C36820"/>
    <w:rsid w:val="00C43125"/>
    <w:rsid w:val="00C46AAE"/>
    <w:rsid w:val="00C50878"/>
    <w:rsid w:val="00C53DFA"/>
    <w:rsid w:val="00C54B5B"/>
    <w:rsid w:val="00C6439F"/>
    <w:rsid w:val="00C83099"/>
    <w:rsid w:val="00C94A90"/>
    <w:rsid w:val="00CA51EE"/>
    <w:rsid w:val="00CB1DDC"/>
    <w:rsid w:val="00CB4114"/>
    <w:rsid w:val="00CD5965"/>
    <w:rsid w:val="00CD79CC"/>
    <w:rsid w:val="00CE0430"/>
    <w:rsid w:val="00CF23CA"/>
    <w:rsid w:val="00CF3AEA"/>
    <w:rsid w:val="00CF64A9"/>
    <w:rsid w:val="00CF7E7C"/>
    <w:rsid w:val="00D07D2E"/>
    <w:rsid w:val="00D229FA"/>
    <w:rsid w:val="00D24A1B"/>
    <w:rsid w:val="00D302B0"/>
    <w:rsid w:val="00D311A3"/>
    <w:rsid w:val="00D43890"/>
    <w:rsid w:val="00D50514"/>
    <w:rsid w:val="00D52A1A"/>
    <w:rsid w:val="00D65807"/>
    <w:rsid w:val="00D65BF2"/>
    <w:rsid w:val="00D662BE"/>
    <w:rsid w:val="00D705CA"/>
    <w:rsid w:val="00D70AA0"/>
    <w:rsid w:val="00D81E7B"/>
    <w:rsid w:val="00D91469"/>
    <w:rsid w:val="00D946DF"/>
    <w:rsid w:val="00D97AA8"/>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67C4"/>
    <w:rsid w:val="00E00A6D"/>
    <w:rsid w:val="00E07B4F"/>
    <w:rsid w:val="00E11A67"/>
    <w:rsid w:val="00E11CF7"/>
    <w:rsid w:val="00E14E94"/>
    <w:rsid w:val="00E15D9D"/>
    <w:rsid w:val="00E1755B"/>
    <w:rsid w:val="00E2264C"/>
    <w:rsid w:val="00E23C4B"/>
    <w:rsid w:val="00E30A2C"/>
    <w:rsid w:val="00E31D6C"/>
    <w:rsid w:val="00E36AAB"/>
    <w:rsid w:val="00E45FFC"/>
    <w:rsid w:val="00E464F2"/>
    <w:rsid w:val="00E46EEB"/>
    <w:rsid w:val="00E65A18"/>
    <w:rsid w:val="00E803C5"/>
    <w:rsid w:val="00E80819"/>
    <w:rsid w:val="00E85A4E"/>
    <w:rsid w:val="00E92363"/>
    <w:rsid w:val="00E93287"/>
    <w:rsid w:val="00EA5B8D"/>
    <w:rsid w:val="00EA6250"/>
    <w:rsid w:val="00EB4EE9"/>
    <w:rsid w:val="00EB72E2"/>
    <w:rsid w:val="00EC059D"/>
    <w:rsid w:val="00ED0D27"/>
    <w:rsid w:val="00ED1241"/>
    <w:rsid w:val="00EE188E"/>
    <w:rsid w:val="00EE18CD"/>
    <w:rsid w:val="00EE34E9"/>
    <w:rsid w:val="00EE3901"/>
    <w:rsid w:val="00EE6D25"/>
    <w:rsid w:val="00EF0422"/>
    <w:rsid w:val="00F0786C"/>
    <w:rsid w:val="00F1076A"/>
    <w:rsid w:val="00F12C71"/>
    <w:rsid w:val="00F23B02"/>
    <w:rsid w:val="00F313B1"/>
    <w:rsid w:val="00F41105"/>
    <w:rsid w:val="00F415AD"/>
    <w:rsid w:val="00F42544"/>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0CD"/>
    <w:rsid w:val="00FC4293"/>
    <w:rsid w:val="00FD0EBA"/>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nate.ubc.ca/sites/senate.ubc.ca/files/downloads/va_V-135.1_Academic-Concession_20200415.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nate.ubc.ca/sites/senate.ubc.ca/files/downloads/va_V-135.1_Academic-Concession_2020041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nate.ubc.ca/sites/senate.ubc.ca/files/downloads/va_V-135.1_Academic-Concession_20200415.pdf"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25773-34AF-4B85-ABA9-9415751A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8</Pages>
  <Words>1749</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401</cp:revision>
  <dcterms:created xsi:type="dcterms:W3CDTF">2021-04-09T17:39:00Z</dcterms:created>
  <dcterms:modified xsi:type="dcterms:W3CDTF">2022-07-04T07:05:00Z</dcterms:modified>
</cp:coreProperties>
</file>