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Agente Supervisor de Consentimientos</w:t>
      </w:r>
    </w:p>
    <w:p>
      <w:pPr>
        <w:spacing w:after="60"/>
        <w:jc w:val="center"/>
      </w:pPr>
      <w:r>
        <w:rPr>
          <w:color w:val="404040"/>
          <w:sz w:val="26"/>
          <w:szCs w:val="26"/>
        </w:rPr>
        <w:t xml:space="preserve">AGT-CONSENT-01 — Resumen técnico y de funcionamiento</w:t>
      </w:r>
    </w:p>
    <w:p>
      <w:pPr>
        <w:spacing w:after="300"/>
        <w:jc w:val="center"/>
      </w:pPr>
      <w:r>
        <w:rPr>
          <w:color w:val="606060"/>
          <w:sz w:val="22"/>
          <w:szCs w:val="22"/>
        </w:rPr>
        <w:t xml:space="preserve">Auditoría de Sistemas · Grupo C · UNSA · Octubre 2026</w:t>
      </w:r>
    </w:p>
    <w:p>
      <w:pPr>
        <w:pStyle w:val="Heading1"/>
      </w:pPr>
      <w:r>
        <w:t xml:space="preserve">1. ¿Qué es el agente?</w:t>
      </w:r>
    </w:p>
    <w:p>
      <w:pPr>
        <w:spacing w:after="120"/>
      </w:pPr>
      <w:r>
        <w:t xml:space="preserve">El </w:t>
      </w:r>
      <w:r>
        <w:rPr>
          <w:b/>
          <w:bCs/>
        </w:rPr>
        <w:t xml:space="preserve">Agente Supervisor de Consentimientos (AGT-CONSENT-01)</w:t>
      </w:r>
      <w:r>
        <w:t xml:space="preserve"> es un agente de Inteligencia Artificial que audita automáticamente si una organización gestiona correctamente el </w:t>
      </w:r>
      <w:r>
        <w:rPr>
          <w:b/>
          <w:bCs/>
        </w:rPr>
        <w:t xml:space="preserve">consentimiento</w:t>
      </w:r>
      <w:r>
        <w:t xml:space="preserve"> de las personas sobre sus datos personales: cómo lo obtiene, cómo lo registra y cómo permite modificarlo o retirarlo.</w:t>
      </w:r>
    </w:p>
    <w:p>
      <w:pPr>
        <w:spacing w:after="120"/>
      </w:pPr>
      <w:r>
        <w:t xml:space="preserve">Evalúa evidencias documentales (formularios web, políticas o avisos de privacidad y registros operativos) frente a dos marcos normativos: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ISO/IEC 27701:2025</w:t>
      </w:r>
      <w:r>
        <w:t xml:space="preserve"> (sistema de gestión de la privacidad): controles A.1.2.2, A.1.2.4, A.1.2.5, A.1.3.3, A.1.3.4 y A.1.3.5.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Ley N.° 29733</w:t>
      </w:r>
      <w:r>
        <w:t xml:space="preserve">, Ley de Protección de Datos Personales del Perú: Artículos 5, 13.5, 14 y 18.</w:t>
      </w:r>
    </w:p>
    <w:p>
      <w:pPr>
        <w:spacing w:after="120"/>
      </w:pPr>
      <w:r>
        <w:t xml:space="preserve">Su resultado es un </w:t>
      </w:r>
      <w:r>
        <w:rPr>
          <w:b/>
          <w:bCs/>
        </w:rPr>
        <w:t xml:space="preserve">informe de auditoría</w:t>
      </w:r>
      <w:r>
        <w:t xml:space="preserve"> con un dictamen por dominio (Conforme, No Conforme o No Aplica), la norma aplicada, la cita textual de la evidencia, el hallazgo técnico y las medidas correctivas priorizadas.</w:t>
      </w:r>
    </w:p>
    <w:p>
      <w:pPr>
        <w:pStyle w:val="Heading2"/>
      </w:pPr>
      <w:r>
        <w:t xml:space="preserve">1.1 Problema que resuelve</w:t>
      </w:r>
    </w:p>
    <w:p>
      <w:pPr>
        <w:spacing w:after="120"/>
      </w:pPr>
      <w:r>
        <w:t xml:space="preserve">Verificar manualmente políticas, formularios y registros frente a la ISO y a la ley es lento y propenso a errores y omisiones. Un modelo de lenguaje por sí solo tampoco sirve, porque puede </w:t>
      </w:r>
      <w:r>
        <w:rPr>
          <w:b/>
          <w:bCs/>
        </w:rPr>
        <w:t xml:space="preserve">alucinar</w:t>
      </w:r>
      <w:r>
        <w:t xml:space="preserve"> normas o hechos. El agente combina recuperación de la norma exacta (RAG), reglas verificables y un modelo de lenguaje local, y deja la última palabra a un auditor humano cuando hay dudas.</w:t>
      </w:r>
    </w:p>
    <w:p>
      <w:pPr>
        <w:pStyle w:val="Heading1"/>
      </w:pPr>
      <w:r>
        <w:t xml:space="preserve">2. Cómo funciona, paso a paso</w:t>
      </w:r>
    </w:p>
    <w:p>
      <w:pPr>
        <w:spacing w:after="120"/>
      </w:pPr>
      <w:r>
        <w:t xml:space="preserve">Cada evidencia recorre el siguiente flujo: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Ingesta de la evidencia.</w:t>
      </w:r>
      <w:r>
        <w:t xml:space="preserve"> Se lee el archivo de texto, se calcula su huella SHA-256 (integridad) y se identifica la empresa y el alcance.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Paso Fail-Fast (Art. 14, Ley N.° 29733).</w:t>
      </w:r>
      <w:r>
        <w:t xml:space="preserve"> Antes de evaluar cualquier control, el agente verifica si el caso encaja en una excepción legal donde </w:t>
      </w:r>
      <w:r>
        <w:rPr>
          <w:b/>
          <w:bCs/>
        </w:rPr>
        <w:t xml:space="preserve">no se requiere consentimiento</w:t>
      </w:r>
      <w:r>
        <w:t xml:space="preserve"> (por ejemplo, la ejecución de un contrato o la prevención de lavado de activos). Si aplica, los dominios de obtención y revocación del consentimiento se dictaminan «No Aplica». Una excepción nunca ampara publicidad, marketing ni perfilamiento. Esto evita no conformidades falsas.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Recuperación híbrida de la norma (RAG).</w:t>
      </w:r>
      <w:r>
        <w:t xml:space="preserve"> Para cada dominio se buscan los controles y artículos pertinentes combinando búsqueda por significado y por palabras exactas (detalle en la sección 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Análisis de la evidencia con reglas.</w:t>
      </w:r>
      <w:r>
        <w:t xml:space="preserve"> Un motor determinista detecta casillas premarcadas, consentimientos agrupados, finalidades genéricas, falta de registro con fecha y hora, revocación solo por teléfono, entre otros. Reconoce negaciones («No se indican destinatarios…»).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Razonamiento del LLM local</w:t>
      </w:r>
      <w:r>
        <w:t xml:space="preserve"> (llama3 vía Ollama, temperatura 0.0). Sigue la Cadena de Pensamiento del TIF: (1) exigencia normativa, (2) cita textual de la evidencia, (3) brecha, (4) veredicto. Responde en JSON con esquema fijo.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Guardas anti-alucinación.</w:t>
      </w:r>
      <w:r>
        <w:t xml:space="preserve"> Se verifica que cada cita exista en la evidencia y que cada norma citada haya sido realmente recuperada. Si el LLM contradice a las reglas, se mantiene el dictamen de las reglas y se adjunta la opinión del LLM.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Revisión humana (HITL).</w:t>
      </w:r>
      <w:r>
        <w:t xml:space="preserve"> Si hay observaciones, el informe queda «PENDIENTE_REVISION_AUDITOR»; si no, se emite y se registra en la bitácora de gobernanza.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Generación de entregables.</w:t>
      </w:r>
      <w:r>
        <w:t xml:space="preserve"> Informe Markdown con la tabla del TIF, JSON estandarizado, CSV, Excel y matriz de evidencias.</w:t>
      </w:r>
    </w:p>
    <w:p>
      <w:pPr>
        <w:pStyle w:val="Heading2"/>
      </w:pPr>
      <w:r>
        <w:t xml:space="preserve">2.1 Dominios evaluados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Dominio</w:t>
            </w:r>
          </w:p>
        </w:tc>
        <w:tc>
          <w:tcPr>
            <w:tcW w:type="dxa" w:w="4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Qué verifica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Norma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Deber de información y propósito</w:t>
            </w:r>
          </w:p>
        </w:tc>
        <w:tc>
          <w:tcPr>
            <w:tcW w:type="dxa" w:w="4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Finalidad específica (no genérica), destinatarios, plazo de conservación, identidad del responsable y canal para ejercer derechos.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 A.1.2.2, A.1.3.3, A.1.3.4 · Ley Art. 18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Obtención y registro del consentimiento</w:t>
            </w:r>
          </w:p>
        </w:tc>
        <w:tc>
          <w:tcPr>
            <w:tcW w:type="dxa" w:w="4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Consentimiento expreso, casilla no premarcada, no agrupado con términos, registro con fecha, hora y titular.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 A.1.2.4, A.1.2.5 · Ley Arts. 5 y 13.5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Modificación y revocación</w:t>
            </w:r>
          </w:p>
        </w:tc>
        <w:tc>
          <w:tcPr>
            <w:tcW w:type="dxa" w:w="4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Mecanismo para retirar el consentimiento, por el mismo canal en que se obtuvo, con plazo de respuesta.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 A.1.3.5 · Ley Art. 5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Excepciones legales</w:t>
            </w:r>
          </w:p>
        </w:tc>
        <w:tc>
          <w:tcPr>
            <w:tcW w:type="dxa" w:w="4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Resultado del paso Fail-Fast.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Ley Art. 14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Corpus normativo y fragmentación</w:t>
      </w:r>
    </w:p>
    <w:p>
      <w:pPr>
        <w:spacing w:after="120"/>
      </w:pPr>
      <w:r>
        <w:t xml:space="preserve">La base de conocimiento está fragmentada con </w:t>
      </w:r>
      <w:r>
        <w:rPr>
          <w:b/>
          <w:bCs/>
        </w:rPr>
        <w:t xml:space="preserve">chunking estructural</w:t>
      </w:r>
      <w:r>
        <w:t xml:space="preserve">, tal como propone el TIF: la unidad mínima es el </w:t>
      </w:r>
      <w:r>
        <w:rPr>
          <w:b/>
          <w:bCs/>
        </w:rPr>
        <w:t xml:space="preserve">artículo</w:t>
      </w:r>
      <w:r>
        <w:t xml:space="preserve"> de la ley (el Art. 14 se divide numeral por numeral, anteponiendo la cabecera del artículo) y el </w:t>
      </w:r>
      <w:r>
        <w:rPr>
          <w:b/>
          <w:bCs/>
        </w:rPr>
        <w:t xml:space="preserve">control</w:t>
      </w:r>
      <w:r>
        <w:t xml:space="preserve"> de la ISO (Anexo A = requisito; Anexo B = guía). Cada fragmento lleva metadatos que permiten filtrar y citar: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Ejemplo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</w:t>
            </w:r>
          </w:p>
        </w:tc>
        <w:tc>
          <w:tcPr>
            <w:tcW w:type="dxa" w:w="3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Instrumento de origen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ISO/IEC 27701:2025; Ley N.° 29733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 / articulo / numeral</w:t>
            </w:r>
          </w:p>
        </w:tc>
        <w:tc>
          <w:tcPr>
            <w:tcW w:type="dxa" w:w="3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Identificador exacto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A.1.2.5 · Art. 14, numeral 5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seccion_jerarquica</w:t>
            </w:r>
          </w:p>
        </w:tc>
        <w:tc>
          <w:tcPr>
            <w:tcW w:type="dxa" w:w="3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Ruta dentro del documento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Anexo A &gt; Tabla A.1 &gt; A.1.2.5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naturaleza</w:t>
            </w:r>
          </w:p>
        </w:tc>
        <w:tc>
          <w:tcPr>
            <w:tcW w:type="dxa" w:w="3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 en el razonamiento (habilita el Fail-Fast)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requisito_normativo; guia; excepcion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tipo_texto</w:t>
            </w:r>
          </w:p>
        </w:tc>
        <w:tc>
          <w:tcPr>
            <w:tcW w:type="dxa" w:w="3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es literal o resumen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resumen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Por derechos de autor de la ISO, el corpus base (config/corpus_normativo.json) contiene </w:t>
      </w:r>
      <w:r>
        <w:rPr>
          <w:b/>
          <w:bCs/>
        </w:rPr>
        <w:t xml:space="preserve">resúmenes redactados por el equipo</w:t>
      </w:r>
      <w:r>
        <w:t xml:space="preserve">. Si se agregan los PDF oficiales con texto en la carpeta documentos_normativos/, el agente los fragmenta y los incorpora con texto literal.</w:t>
      </w:r>
    </w:p>
    <w:p>
      <w:pPr>
        <w:pStyle w:val="Heading1"/>
      </w:pPr>
      <w:r>
        <w:t xml:space="preserve">4. Búsqueda híbrida (RAG)</w:t>
      </w:r>
    </w:p>
    <w:p>
      <w:pPr>
        <w:spacing w:after="120"/>
      </w:pPr>
      <w:r>
        <w:t xml:space="preserve">La recuperación tiene tres etapas, como en el TIF (sección 3.5):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Búsqueda densa:</w:t>
      </w:r>
      <w:r>
        <w:t xml:space="preserve"> embeddings multilingües (paraphrase-multilingual-MiniLM-L12-v2) que encuentran fragmentos parecidos en significado aunque no compartan palabras.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Búsqueda dispersa (BM25):</w:t>
      </w:r>
      <w:r>
        <w:t xml:space="preserve"> coincidencias exactas de términos jurídicos («Art. 14», «A.1.3.5», «revocar»).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Fusión RRF + Cross-Encoder:</w:t>
      </w:r>
      <w:r>
        <w:t xml:space="preserve"> las dos listas se combinan con Reciprocal Rank Fusion y un Cross-Encoder multilingüe (bge-reranker-v2-m3) reordena los candidatos; solo los mejores llegan al LLM.</w:t>
      </w:r>
    </w:p>
    <w:p>
      <w:pPr>
        <w:spacing w:after="120"/>
      </w:pPr>
      <w:r>
        <w:t xml:space="preserve">Además se aplican </w:t>
      </w:r>
      <w:r>
        <w:rPr>
          <w:b/>
          <w:bCs/>
        </w:rPr>
        <w:t xml:space="preserve">filtros de metadatos</w:t>
      </w:r>
      <w:r>
        <w:t xml:space="preserve"> según el paso: el Fail-Fast solo consulta fragmentos con artículo 14 y naturaleza «excepción»; cada dominio filtra por sus controles y artículos. La base vectorial es </w:t>
      </w:r>
      <w:r>
        <w:rPr>
          <w:b/>
          <w:bCs/>
        </w:rPr>
        <w:t xml:space="preserve">Qdrant</w:t>
      </w:r>
      <w:r>
        <w:t xml:space="preserve">, que funciona embebida en una carpeta del proyecto (sin Docker). Existe también un modo «local» (BM25 en Python puro) que funciona sin ninguna instalación adicional.</w:t>
      </w:r>
    </w:p>
    <w:p>
      <w:pPr>
        <w:pStyle w:val="Heading1"/>
      </w:pPr>
      <w:r>
        <w:t xml:space="preserve">5. Controles de calidad y revisión humana</w:t>
      </w:r>
    </w:p>
    <w:p>
      <w:pPr>
        <w:spacing w:after="120"/>
      </w:pPr>
      <w:r>
        <w:t xml:space="preserve">El informe </w:t>
      </w:r>
      <w:r>
        <w:rPr>
          <w:b/>
          <w:bCs/>
        </w:rPr>
        <w:t xml:space="preserve">no se emite automáticamente</w:t>
      </w:r>
      <w:r>
        <w:t xml:space="preserve"> y pasa a la cola del auditor cuando: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aplicó una excepción del Art. 14 (dictamen de inaplicabilidad);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detectan instrucciones maliciosas escondidas en la evidencia (prompt injection);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LLM cita texto que no está en la evidencia o normas que no se recuperaron;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LLM discrepa del dictamen de las reglas o reporta una confianza muy baja.</w:t>
      </w:r>
    </w:p>
    <w:p>
      <w:pPr>
        <w:spacing w:after="120"/>
      </w:pPr>
      <w:r>
        <w:t xml:space="preserve">El auditor aprueba o rechaza cada ticket; los informes aprobados se consolidan en informes_finales.json y en la bitácora de gobernanza.</w:t>
      </w:r>
    </w:p>
    <w:p>
      <w:pPr>
        <w:pStyle w:val="Heading1"/>
      </w:pPr>
      <w:r>
        <w:t xml:space="preserve">6. Estructura del proyecto</w:t>
      </w:r>
    </w:p>
    <w:p>
      <w:pPr>
        <w:spacing w:after="120"/>
      </w:pPr>
      <w:r>
        <w:t xml:space="preserve">Se organizó con la misma estructura que el agente Data Bridge (AGT-DATA-INV-01) del grupo: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Función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agente/agent.py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Orquestador: Fail-Fast, dominios, guardas e informe estandarizado.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agente/corpus.py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Chunking estructural y metadatos.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agente/retrieval.py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Búsqueda local (BM25) y Qdrant híbrido (densa + BM25 → RRF → Cross-Encoder).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agente/evidence.py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Reglas sobre la evidencia, negaciones, inyección y catálogo del Art. 14.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agente/reasoner.py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Cliente de Ollama con salida JSON (4 pasos de la Cadena de Pensamiento).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agente/hitl.py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Cola de revisión del auditor y bitácora de gobernanza.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agente/exporters.py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Informe Markdown, JSON, CSV, Excel y matriz de evidencias.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config/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corpus_normativo.json, consent_rules.json, excepciones_art14.json.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mcp_server.py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Servidor MCP con 5 herramientas (recuperar normas, Fail-Fast, analizar evidencia, emitir informe, auditoría completa).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.opencode/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Definición del agente y del skill para opencode.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run_demo.py / rag_auditor.py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Demo de todos los casos / auditoría de un caso.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tests/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 pruebas automáticas con pytest.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Resultados de la demostración</w:t>
      </w:r>
    </w:p>
    <w:p>
      <w:pPr>
        <w:spacing w:after="120"/>
      </w:pPr>
      <w:r>
        <w:t xml:space="preserve">Ejecutado en el equipo del grupo con Qdrant embebido, Cross-Encoder y llama3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26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</w:t>
            </w:r>
          </w:p>
        </w:tc>
        <w:tc>
          <w:tcPr>
            <w:tcW w:type="dxa" w:w="31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Qué demuestra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Dictamen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TiendaAndina (caso del TIF)</w:t>
            </w:r>
          </w:p>
        </w:tc>
        <w:tc>
          <w:tcPr>
            <w:tcW w:type="dxa" w:w="31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Casilla premarcada, finalidad genérica, baja solo por teléfono, sin registro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Conforme en los 3 dominios (coincide con la tabla 3.7 del TIF)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Emitido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Banco Andino</w:t>
            </w:r>
          </w:p>
        </w:tc>
        <w:tc>
          <w:tcPr>
            <w:tcW w:type="dxa" w:w="31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Excepción contractual (Art. 14, numeral 5)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Dominios 2 y 3 No Aplica; dominio 1 No Conforme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Revisión del auditor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LibreríaSur</w:t>
            </w:r>
          </w:p>
        </w:tc>
        <w:tc>
          <w:tcPr>
            <w:tcW w:type="dxa" w:w="31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Formulario bien diseñado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Conforme en los 3 dominios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Revisión (el LLM opinó distinto)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ClubFit</w:t>
            </w:r>
          </w:p>
        </w:tc>
        <w:tc>
          <w:tcPr>
            <w:tcW w:type="dxa" w:w="31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Instrucción maliciosa oculta en el formulario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Conforme; ataque detectado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Revisión del auditor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Evaluación del LLM</w:t>
      </w:r>
      <w:r>
        <w:t xml:space="preserve"> (4 decisiones de Fail-Fast + 6 dictámenes por dominio): llama3 acertó </w:t>
      </w:r>
      <w:r>
        <w:rPr>
          <w:b/>
          <w:bCs/>
        </w:rPr>
        <w:t xml:space="preserve">8 de 10</w:t>
      </w:r>
      <w:r>
        <w:t xml:space="preserve"> y llama3.1 </w:t>
      </w:r>
      <w:r>
        <w:rPr>
          <w:b/>
          <w:bCs/>
        </w:rPr>
        <w:t xml:space="preserve">6 de 10</w:t>
      </w:r>
      <w:r>
        <w:t xml:space="preserve">. Los modelos de 8B tienden a dictaminar «No Conforme» en casos que cumplen; por ello el LLM actúa como segunda opinión y las reglas verificables, junto con el auditor, tienen la última palabra.</w:t>
      </w:r>
    </w:p>
    <w:p>
      <w:pPr>
        <w:pStyle w:val="Heading1"/>
      </w:pPr>
      <w:r>
        <w:t xml:space="preserve">8. Cómo ejecutarlo</w:t>
      </w:r>
    </w:p>
    <w:p>
      <w:pPr>
        <w:spacing w:after="120"/>
      </w:pPr>
      <w:r>
        <w:t xml:space="preserve">En PowerShell, desde la carpeta del proyecto (Ollama debe estar abierto):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C:\Users\User\Desktop\Auditoria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.\.venv\Scripts\Activate.ps1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run_demo.py --modo qdrant     # demo completa con LLM (~7 min)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run_demo.py                   # demo rápida sin LLM (~2 s)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rag_auditor.py --evidencia evidencias\caso_banco.txt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pytest -q                            # pruebas automáticas</w:t>
      </w:r>
    </w:p>
    <w:p>
      <w:pPr>
        <w:spacing w:after="120"/>
      </w:pPr>
    </w:p>
    <w:p>
      <w:pPr>
        <w:spacing w:after="120"/>
      </w:pPr>
      <w:r>
        <w:t xml:space="preserve">Los resultados quedan en la carpeta out/: un informe Markdown por caso (informe_&lt;caso&gt;.md), informes_draft.xlsx/.csv/.json, matriz_evidencias.json y la cola de revisión pending_reviews.json. Para auditar un caso nuevo basta con crear un archivo .txt en evidencias/.</w:t>
      </w:r>
    </w:p>
    <w:p>
      <w:pPr>
        <w:pStyle w:val="Heading1"/>
      </w:pPr>
      <w:r>
        <w:t xml:space="preserve">9. Relación con el 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Propuesta del TIF</w:t>
            </w:r>
          </w:p>
        </w:tc>
        <w:tc>
          <w:tcPr>
            <w:tcW w:type="dxa" w:w="4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Estado en el agente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Corpus ISO 27701 + Ley 29733 (3.1)</w:t>
            </w:r>
          </w:p>
        </w:tc>
        <w:tc>
          <w:tcPr>
            <w:tcW w:type="dxa" w:w="4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Implementado (resúmenes; PDF literales opcionales)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Fail-Fast sobre el Art. 14 (3.2)</w:t>
            </w:r>
          </w:p>
        </w:tc>
        <w:tc>
          <w:tcPr>
            <w:tcW w:type="dxa" w:w="4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Implementado como paso real con filtro de metadatos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 Prompt restrictivo, temperatura 0.0, CoT de 4 pasos (3.3)</w:t>
            </w:r>
          </w:p>
        </w:tc>
        <w:tc>
          <w:tcPr>
            <w:tcW w:type="dxa" w:w="4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Implementado; los 4 pasos son campos obligatorios del JSON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Chunking estructural y metadatos (3.4)</w:t>
            </w:r>
          </w:p>
        </w:tc>
        <w:tc>
          <w:tcPr>
            <w:tcW w:type="dxa" w:w="4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Implementado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Densa + BM25 → RRF → Cross-Encoder (3.5)</w:t>
            </w:r>
          </w:p>
        </w:tc>
        <w:tc>
          <w:tcPr>
            <w:tcW w:type="dxa" w:w="4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Implementado (modo qdrant)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Reporte en 4 dominios (3.7)</w:t>
            </w:r>
          </w:p>
        </w:tc>
        <w:tc>
          <w:tcPr>
            <w:tcW w:type="dxa" w:w="4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Implementado; reproduce el caso TiendaAndina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Robustez ante instrucciones maliciosas (4.2.4)</w:t>
            </w:r>
          </w:p>
        </w:tc>
        <w:tc>
          <w:tcPr>
            <w:tcW w:type="dxa" w:w="4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Implementado (detección + HITL)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API, interfaz web (4.2.2, 4.2.3)</w:t>
            </w:r>
          </w:p>
        </w:tc>
        <w:tc>
          <w:tcPr>
            <w:tcW w:type="dxa" w:w="4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Parcial: servidor MCP; falta interfaz web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Limitaciones y trabajo pendiente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textos de la ISO en el corpus son resúmenes; el PDF disponible de la ISO es escaneado y requiere OCR para usar su texto literal.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numerales del Art. 14 y la redacción de la ley deben verificarse contra el texto oficial consolidado vigente.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LLM locales de 8B no son jueces fiables por sí solos; se recomienda probar modelos mayores (por ejemplo qwen2.5:7b, ya descargado) y ampliar el conjunto de casos etiquetados.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Pendiente: interfaz web y evaluación con casos reales etiquetados por un experto.</w:t>
      </w:r>
    </w:p>
    <w:sectPr>
      <w:footerReference w:type="default" r:id="rId6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AGT-CONSENT-01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2026-10-27T22:12:59.459Z</dcterms:created>
  <dcterms:modified xsi:type="dcterms:W3CDTF">2026-10-27T22:12:59.460Z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