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Plan - Investment Case</w:t>
      </w:r>
    </w:p>
    <w:p>
      <w:pPr>
        <w:jc w:val="center"/>
      </w:pPr>
      <w:r>
        <w:rPr>
          <w:i/>
          <w:sz w:val="22"/>
        </w:rPr>
        <w:t>UK-first adaptive vocational learning platform | Market-rate development model</w:t>
      </w:r>
    </w:p>
    <w:p>
      <w:pPr>
        <w:jc w:val="center"/>
      </w:pPr>
      <w:r>
        <w:t>Prepared: 13 August 2026</w:t>
      </w:r>
    </w:p>
    <w:p>
      <w:r>
        <w:br w:type="page"/>
      </w:r>
    </w:p>
    <w:p>
      <w:pPr>
        <w:pStyle w:val="Heading1"/>
      </w:pPr>
      <w:r>
        <w:t>1. Executive summary</w:t>
      </w:r>
    </w:p>
    <w:p>
      <w:r>
        <w:t>The company will build a secure, knowledge-driven vocational learning platform for the UK market. Its core differentiation is not question volume: it is the ability to maintain a governed model of what a learner knows, identify probable underlying causes of failure, remediate the correct prerequisite, and verify transfer back into the vocational context.</w:t>
      </w:r>
    </w:p>
    <w:p>
      <w:r>
        <w:t>The first commercial cluster is Foundational Maths + Foundational Physics + Electrical. Electrical is the first full vocational vertical; Engineering is the provisional second vertical, selected more precisely after the first proving slice measures actual reuse economics.</w:t>
      </w:r>
    </w:p>
    <w:p>
      <w:r>
        <w:t>The investment case assumes software development, content engineering, design, security, legal and operating work are paid at market rates. Capital is used to accelerate a programme that can alternatively be bootstrapped, thereby reducing fundamental technical-risk exposure.</w:t>
      </w:r>
    </w:p>
    <w:p>
      <w:pPr>
        <w:pStyle w:val="Heading1"/>
      </w:pPr>
      <w:r>
        <w:t>2. Problem</w:t>
      </w:r>
    </w:p>
    <w:p>
      <w:pPr>
        <w:pStyle w:val="ListBullet"/>
      </w:pPr>
      <w:r>
        <w:t>Vocational learners face fragmented resources: qualification specifications, professional references, textbooks, videos, question banks and generic AI.</w:t>
      </w:r>
    </w:p>
    <w:p>
      <w:pPr>
        <w:pStyle w:val="ListBullet"/>
      </w:pPr>
      <w:r>
        <w:t>Many revision products report that an answer is wrong without reliably identifying why it is wrong.</w:t>
      </w:r>
    </w:p>
    <w:p>
      <w:pPr>
        <w:pStyle w:val="ListBullet"/>
      </w:pPr>
      <w:r>
        <w:t>A learner who appears weak in Electrical may actually have a Maths, units, formula-handling or foundational Physics weakness.</w:t>
      </w:r>
    </w:p>
    <w:p>
      <w:pPr>
        <w:pStyle w:val="ListBullet"/>
      </w:pPr>
      <w:r>
        <w:t>Generic AI can explain topics but does not inherently provide governed curriculum coverage, persistent evidence, source/version control or defensible readiness tracking.</w:t>
      </w:r>
    </w:p>
    <w:p>
      <w:pPr>
        <w:pStyle w:val="ListBullet"/>
      </w:pPr>
      <w:r>
        <w:t>Training providers need better visibility of learner weaknesses without replacing practical assessment or the institution's LMS.</w:t>
      </w:r>
    </w:p>
    <w:p>
      <w:pPr>
        <w:pStyle w:val="Heading1"/>
      </w:pPr>
      <w:r>
        <w:t>3. Solution</w:t>
      </w:r>
    </w:p>
    <w:p>
      <w:r>
        <w:t>The platform's core learning loop is:</w:t>
      </w:r>
    </w:p>
    <w:p>
      <w:r>
        <w:t>Assess -&gt; capture evidence -&gt; infer probable root cause -&gt; targeted remediation -&gt; foundational retest -&gt; vocational transfer retest -&gt; update mastery -&gt; next best activity.</w:t>
      </w:r>
    </w:p>
    <w:p>
      <w:r>
        <w:t>The durable content asset is a governed assertion system:</w:t>
      </w:r>
    </w:p>
    <w:p>
      <w:r>
        <w:t>Source -&gt; exact version/amendment -&gt; precise locator -&gt; independently expressed knowledge assertion -&gt; prerequisites/misconceptions -&gt; curriculum mappings -&gt; questions/remediation.</w:t>
      </w:r>
    </w:p>
    <w:p>
      <w:r>
        <w:t>Routine marking, question selection, mastery updates, spaced retrieval and many recommendations are deterministic. AI is reserved for work where it adds value, helping preserve low marginal delivery cost.</w:t>
      </w:r>
    </w:p>
    <w:p>
      <w:pPr>
        <w:pStyle w:val="Heading1"/>
      </w:pPr>
      <w:r>
        <w:t>4. Initial product and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Stage</w:t>
            </w:r>
          </w:p>
        </w:tc>
        <w:tc>
          <w:tcPr>
            <w:tcW w:type="dxa" w:w="3360"/>
            <w:vAlign w:val="center"/>
            <w:shd w:fill="D9E2F3"/>
          </w:tcPr>
          <w:p>
            <w:r/>
            <w:r>
              <w:rPr>
                <w:b/>
                <w:sz w:val="18"/>
              </w:rPr>
              <w:t>Scope</w:t>
            </w:r>
          </w:p>
        </w:tc>
        <w:tc>
          <w:tcPr>
            <w:tcW w:type="dxa" w:w="3360"/>
            <w:vAlign w:val="center"/>
            <w:shd w:fill="D9E2F3"/>
          </w:tcPr>
          <w:p>
            <w:r/>
            <w:r>
              <w:rPr>
                <w:b/>
                <w:sz w:val="18"/>
              </w:rPr>
              <w:t>Purpose</w:t>
            </w:r>
          </w:p>
        </w:tc>
      </w:tr>
      <w:tr>
        <w:tc>
          <w:tcPr>
            <w:tcW w:type="dxa" w:w="3360"/>
            <w:vAlign w:val="center"/>
          </w:tcPr>
          <w:p>
            <w:r/>
            <w:r>
              <w:rPr>
                <w:b w:val="0"/>
                <w:sz w:val="18"/>
              </w:rPr>
              <w:t>Phase 1</w:t>
            </w:r>
          </w:p>
        </w:tc>
        <w:tc>
          <w:tcPr>
            <w:tcW w:type="dxa" w:w="3360"/>
            <w:vAlign w:val="center"/>
          </w:tcPr>
          <w:p>
            <w:r/>
            <w:r>
              <w:rPr>
                <w:b w:val="0"/>
                <w:sz w:val="18"/>
              </w:rPr>
              <w:t>20-50 tightly related Maths/Physics/Electrical assertions in a real mobile-first application</w:t>
            </w:r>
          </w:p>
        </w:tc>
        <w:tc>
          <w:tcPr>
            <w:tcW w:type="dxa" w:w="3360"/>
            <w:vAlign w:val="center"/>
          </w:tcPr>
          <w:p>
            <w:r/>
            <w:r>
              <w:rPr>
                <w:b w:val="0"/>
                <w:sz w:val="18"/>
              </w:rPr>
              <w:t>Prove the complete architecture and diagnostic learning loop</w:t>
            </w:r>
          </w:p>
        </w:tc>
      </w:tr>
      <w:tr>
        <w:tc>
          <w:tcPr>
            <w:tcW w:type="dxa" w:w="3360"/>
            <w:vAlign w:val="center"/>
          </w:tcPr>
          <w:p>
            <w:r/>
            <w:r>
              <w:rPr>
                <w:b w:val="0"/>
                <w:sz w:val="18"/>
              </w:rPr>
              <w:t>Electrical beta</w:t>
            </w:r>
          </w:p>
        </w:tc>
        <w:tc>
          <w:tcPr>
            <w:tcW w:type="dxa" w:w="3360"/>
            <w:vAlign w:val="center"/>
          </w:tcPr>
          <w:p>
            <w:r/>
            <w:r>
              <w:rPr>
                <w:b w:val="0"/>
                <w:sz w:val="18"/>
              </w:rPr>
              <w:t>Expand agreed Electrical scope; real learners; closed alpha/beta</w:t>
            </w:r>
          </w:p>
        </w:tc>
        <w:tc>
          <w:tcPr>
            <w:tcW w:type="dxa" w:w="3360"/>
            <w:vAlign w:val="center"/>
          </w:tcPr>
          <w:p>
            <w:r/>
            <w:r>
              <w:rPr>
                <w:b w:val="0"/>
                <w:sz w:val="18"/>
              </w:rPr>
              <w:t>Measure product usefulness, content throughput, retention and runtime economics</w:t>
            </w:r>
          </w:p>
        </w:tc>
      </w:tr>
      <w:tr>
        <w:tc>
          <w:tcPr>
            <w:tcW w:type="dxa" w:w="3360"/>
            <w:vAlign w:val="center"/>
          </w:tcPr>
          <w:p>
            <w:r/>
            <w:r>
              <w:rPr>
                <w:b w:val="0"/>
                <w:sz w:val="18"/>
              </w:rPr>
              <w:t>Paid early access</w:t>
            </w:r>
          </w:p>
        </w:tc>
        <w:tc>
          <w:tcPr>
            <w:tcW w:type="dxa" w:w="3360"/>
            <w:vAlign w:val="center"/>
          </w:tcPr>
          <w:p>
            <w:r/>
            <w:r>
              <w:rPr>
                <w:b w:val="0"/>
                <w:sz w:val="18"/>
              </w:rPr>
              <w:t>Electrical learners pay before full portfolio launch</w:t>
            </w:r>
          </w:p>
        </w:tc>
        <w:tc>
          <w:tcPr>
            <w:tcW w:type="dxa" w:w="3360"/>
            <w:vAlign w:val="center"/>
          </w:tcPr>
          <w:p>
            <w:r/>
            <w:r>
              <w:rPr>
                <w:b w:val="0"/>
                <w:sz w:val="18"/>
              </w:rPr>
              <w:t>Prove willingness to pay and acquisition channels</w:t>
            </w:r>
          </w:p>
        </w:tc>
      </w:tr>
      <w:tr>
        <w:tc>
          <w:tcPr>
            <w:tcW w:type="dxa" w:w="3360"/>
            <w:vAlign w:val="center"/>
          </w:tcPr>
          <w:p>
            <w:r/>
            <w:r>
              <w:rPr>
                <w:b w:val="0"/>
                <w:sz w:val="18"/>
              </w:rPr>
              <w:t>Second vertical</w:t>
            </w:r>
          </w:p>
        </w:tc>
        <w:tc>
          <w:tcPr>
            <w:tcW w:type="dxa" w:w="3360"/>
            <w:vAlign w:val="center"/>
          </w:tcPr>
          <w:p>
            <w:r/>
            <w:r>
              <w:rPr>
                <w:b w:val="0"/>
                <w:sz w:val="18"/>
              </w:rPr>
              <w:t>Specific Engineering family provisionally preferred</w:t>
            </w:r>
          </w:p>
        </w:tc>
        <w:tc>
          <w:tcPr>
            <w:tcW w:type="dxa" w:w="3360"/>
            <w:vAlign w:val="center"/>
          </w:tcPr>
          <w:p>
            <w:r/>
            <w:r>
              <w:rPr>
                <w:b w:val="0"/>
                <w:sz w:val="18"/>
              </w:rPr>
              <w:t>Measure cross-domain reuse and marginal vertical cost</w:t>
            </w:r>
          </w:p>
        </w:tc>
      </w:tr>
      <w:tr>
        <w:tc>
          <w:tcPr>
            <w:tcW w:type="dxa" w:w="3360"/>
            <w:vAlign w:val="center"/>
          </w:tcPr>
          <w:p>
            <w:r/>
            <w:r>
              <w:rPr>
                <w:b w:val="0"/>
                <w:sz w:val="18"/>
              </w:rPr>
              <w:t>UK launch</w:t>
            </w:r>
          </w:p>
        </w:tc>
        <w:tc>
          <w:tcPr>
            <w:tcW w:type="dxa" w:w="3360"/>
            <w:vAlign w:val="center"/>
          </w:tcPr>
          <w:p>
            <w:r/>
            <w:r>
              <w:rPr>
                <w:b w:val="0"/>
                <w:sz w:val="18"/>
              </w:rPr>
              <w:t>Electrical + reusable foundations + independently useful second vertical</w:t>
            </w:r>
          </w:p>
        </w:tc>
        <w:tc>
          <w:tcPr>
            <w:tcW w:type="dxa" w:w="3360"/>
            <w:vAlign w:val="center"/>
          </w:tcPr>
          <w:p>
            <w:r/>
            <w:r>
              <w:rPr>
                <w:b w:val="0"/>
                <w:sz w:val="18"/>
              </w:rPr>
              <w:t>Launch as a platform rather than a single question bank</w:t>
            </w:r>
          </w:p>
        </w:tc>
      </w:tr>
      <w:tr>
        <w:tc>
          <w:tcPr>
            <w:tcW w:type="dxa" w:w="3360"/>
            <w:vAlign w:val="center"/>
          </w:tcPr>
          <w:p>
            <w:r/>
            <w:r>
              <w:rPr>
                <w:b w:val="0"/>
                <w:sz w:val="18"/>
              </w:rPr>
              <w:t>Expansion</w:t>
            </w:r>
          </w:p>
        </w:tc>
        <w:tc>
          <w:tcPr>
            <w:tcW w:type="dxa" w:w="3360"/>
            <w:vAlign w:val="center"/>
          </w:tcPr>
          <w:p>
            <w:r/>
            <w:r>
              <w:rPr>
                <w:b w:val="0"/>
                <w:sz w:val="18"/>
              </w:rPr>
              <w:t>HVAC/Plumbing/Automotive; later non-technical verticals and international markets</w:t>
            </w:r>
          </w:p>
        </w:tc>
        <w:tc>
          <w:tcPr>
            <w:tcW w:type="dxa" w:w="3360"/>
            <w:vAlign w:val="center"/>
          </w:tcPr>
          <w:p>
            <w:r/>
            <w:r>
              <w:rPr>
                <w:b w:val="0"/>
                <w:sz w:val="18"/>
              </w:rPr>
              <w:t>Compound knowledge/platform reuse</w:t>
            </w:r>
          </w:p>
        </w:tc>
      </w:tr>
    </w:tbl>
    <w:p>
      <w:pPr>
        <w:pStyle w:val="Heading1"/>
      </w:pPr>
      <w:r>
        <w:t>5. Market and customer</w:t>
      </w:r>
    </w:p>
    <w:p>
      <w:r>
        <w:t>The initial market is UK vocational and technical education. Phase 0 identified substantial learner populations in Functional Skills Maths, Construction/Built Environment, Engineering/Manufacturing, Electrical qualification pathways, apprenticeships, adult retraining and post-qualification electrical learning.</w:t>
      </w:r>
    </w:p>
    <w:p>
      <w:r>
        <w:t>Initial customer groups:</w:t>
      </w:r>
    </w:p>
    <w:p>
      <w:pPr>
        <w:pStyle w:val="ListBullet"/>
      </w:pPr>
      <w:r>
        <w:t>Individual Electrical learners: 2365/technical learning, NVQ/competence routes, AM2-family preparation and later specialist/update qualifications.</w:t>
      </w:r>
    </w:p>
    <w:p>
      <w:pPr>
        <w:pStyle w:val="ListBullet"/>
      </w:pPr>
      <w:r>
        <w:t>Adult career changers and non-apprentice learners seeking flexible routes.</w:t>
      </w:r>
    </w:p>
    <w:p>
      <w:pPr>
        <w:pStyle w:val="ListBullet"/>
      </w:pPr>
      <w:r>
        <w:t>Engineering learners consuming shared Maths/Physics and, where relevant, Electrical foundations.</w:t>
      </w:r>
    </w:p>
    <w:p>
      <w:pPr>
        <w:pStyle w:val="ListBullet"/>
      </w:pPr>
      <w:r>
        <w:t>Training providers/colleges as a later B2B channel for cohort access and analytics.</w:t>
      </w:r>
    </w:p>
    <w:p>
      <w:pPr>
        <w:pStyle w:val="Heading1"/>
      </w:pPr>
      <w:r>
        <w:t>6. Competitive position</w:t>
      </w:r>
    </w:p>
    <w:p>
      <w:r>
        <w:t>Competition includes free electrical question resources, low-cost exam simulators, training-course providers, adaptive Maths platforms and generic AI. The company should not compete on raw question count. Its moat is the combination of governed knowledge, precise provenance, prerequisite structure, misconception mappings, persistent learner evidence and cross-domain diagnosis.</w:t>
      </w:r>
    </w:p>
    <w:p>
      <w:r>
        <w:t>Defensibility compounds as more assertions, mappings, validated questions, misconceptions and learner evidence are added.</w:t>
      </w:r>
    </w:p>
    <w:p>
      <w:pPr>
        <w:pStyle w:val="Heading1"/>
      </w:pPr>
      <w:r>
        <w:t>7. Business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Revenue stream</w:t>
            </w:r>
          </w:p>
        </w:tc>
        <w:tc>
          <w:tcPr>
            <w:tcW w:type="dxa" w:w="5040"/>
            <w:vAlign w:val="center"/>
            <w:shd w:fill="D9E2F3"/>
          </w:tcPr>
          <w:p>
            <w:r/>
            <w:r>
              <w:rPr>
                <w:b/>
                <w:sz w:val="18"/>
              </w:rPr>
              <w:t>Initial hypothesis</w:t>
            </w:r>
          </w:p>
        </w:tc>
      </w:tr>
      <w:tr>
        <w:tc>
          <w:tcPr>
            <w:tcW w:type="dxa" w:w="5040"/>
            <w:vAlign w:val="center"/>
          </w:tcPr>
          <w:p>
            <w:r/>
            <w:r>
              <w:rPr>
                <w:b w:val="0"/>
                <w:sz w:val="18"/>
              </w:rPr>
              <w:t>B2C monthly</w:t>
            </w:r>
          </w:p>
        </w:tc>
        <w:tc>
          <w:tcPr>
            <w:tcW w:type="dxa" w:w="5040"/>
            <w:vAlign w:val="center"/>
          </w:tcPr>
          <w:p>
            <w:r/>
            <w:r>
              <w:rPr>
                <w:b w:val="0"/>
                <w:sz w:val="18"/>
              </w:rPr>
              <w:t>£9.99/month VAT-inclusive</w:t>
            </w:r>
          </w:p>
        </w:tc>
      </w:tr>
      <w:tr>
        <w:tc>
          <w:tcPr>
            <w:tcW w:type="dxa" w:w="5040"/>
            <w:vAlign w:val="center"/>
          </w:tcPr>
          <w:p>
            <w:r/>
            <w:r>
              <w:rPr>
                <w:b w:val="0"/>
                <w:sz w:val="18"/>
              </w:rPr>
              <w:t>B2C annual</w:t>
            </w:r>
          </w:p>
        </w:tc>
        <w:tc>
          <w:tcPr>
            <w:tcW w:type="dxa" w:w="5040"/>
            <w:vAlign w:val="center"/>
          </w:tcPr>
          <w:p>
            <w:r/>
            <w:r>
              <w:rPr>
                <w:b w:val="0"/>
                <w:sz w:val="18"/>
              </w:rPr>
              <w:t>£79.99/year VAT-inclusive</w:t>
            </w:r>
          </w:p>
        </w:tc>
      </w:tr>
      <w:tr>
        <w:tc>
          <w:tcPr>
            <w:tcW w:type="dxa" w:w="5040"/>
            <w:vAlign w:val="center"/>
          </w:tcPr>
          <w:p>
            <w:r/>
            <w:r>
              <w:rPr>
                <w:b w:val="0"/>
                <w:sz w:val="18"/>
              </w:rPr>
              <w:t>B2B provider seats</w:t>
            </w:r>
          </w:p>
        </w:tc>
        <w:tc>
          <w:tcPr>
            <w:tcW w:type="dxa" w:w="5040"/>
            <w:vAlign w:val="center"/>
          </w:tcPr>
          <w:p>
            <w:r/>
            <w:r>
              <w:rPr>
                <w:b w:val="0"/>
                <w:sz w:val="18"/>
              </w:rPr>
              <w:t>Planning assumption ~£45/learner/year ex VAT, subject to validation</w:t>
            </w:r>
          </w:p>
        </w:tc>
      </w:tr>
      <w:tr>
        <w:tc>
          <w:tcPr>
            <w:tcW w:type="dxa" w:w="5040"/>
            <w:vAlign w:val="center"/>
          </w:tcPr>
          <w:p>
            <w:r/>
            <w:r>
              <w:rPr>
                <w:b w:val="0"/>
                <w:sz w:val="18"/>
              </w:rPr>
              <w:t>Premium/specialist modules</w:t>
            </w:r>
          </w:p>
        </w:tc>
        <w:tc>
          <w:tcPr>
            <w:tcW w:type="dxa" w:w="5040"/>
            <w:vAlign w:val="center"/>
          </w:tcPr>
          <w:p>
            <w:r/>
            <w:r>
              <w:rPr>
                <w:b w:val="0"/>
                <w:sz w:val="18"/>
              </w:rPr>
              <w:t>Later opportunity; not required for launch case</w:t>
            </w:r>
          </w:p>
        </w:tc>
      </w:tr>
    </w:tbl>
    <w:p>
      <w:r>
        <w:t>At the Phase 0 blended billing assumption, average consumer billings are approximately £75.97 per paid learner-year, or about £63.31 net revenue after 20% VAT. Direct variable cost is modelled at roughly £10.16, leaving approximately £53.15 contribution before acquisition and fixed costs.</w:t>
      </w:r>
    </w:p>
    <w:p>
      <w:pPr>
        <w:pStyle w:val="Heading1"/>
      </w:pPr>
      <w:r>
        <w:t>8. Market-rate operating model and funding need</w:t>
      </w:r>
    </w:p>
    <w:p>
      <w:r>
        <w:t>Unlike the founder-bootstrap plan, this investment case pays for work that the founder would otherwise perform personally with AI. The figures below are planning ranges, not supplier quotes. A staged seed budget is preferable to hiring a large team before the proving slice succeeds.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Cost area</w:t>
            </w:r>
          </w:p>
        </w:tc>
        <w:tc>
          <w:tcPr>
            <w:tcW w:type="dxa" w:w="3360"/>
            <w:vAlign w:val="center"/>
            <w:shd w:fill="D9E2F3"/>
          </w:tcPr>
          <w:p>
            <w:r/>
            <w:r>
              <w:rPr>
                <w:b/>
                <w:sz w:val="18"/>
              </w:rPr>
              <w:t>12-18 month planning range</w:t>
            </w:r>
          </w:p>
        </w:tc>
        <w:tc>
          <w:tcPr>
            <w:tcW w:type="dxa" w:w="3360"/>
            <w:vAlign w:val="center"/>
            <w:shd w:fill="D9E2F3"/>
          </w:tcPr>
          <w:p>
            <w:r/>
            <w:r>
              <w:rPr>
                <w:b/>
                <w:sz w:val="18"/>
              </w:rPr>
              <w:t>Rationale</w:t>
            </w:r>
          </w:p>
        </w:tc>
      </w:tr>
      <w:tr>
        <w:tc>
          <w:tcPr>
            <w:tcW w:type="dxa" w:w="3360"/>
            <w:vAlign w:val="center"/>
          </w:tcPr>
          <w:p>
            <w:r/>
            <w:r>
              <w:rPr>
                <w:b w:val="0"/>
                <w:sz w:val="18"/>
              </w:rPr>
              <w:t>Technical lead/full-stack engineering</w:t>
            </w:r>
          </w:p>
        </w:tc>
        <w:tc>
          <w:tcPr>
            <w:tcW w:type="dxa" w:w="3360"/>
            <w:vAlign w:val="center"/>
          </w:tcPr>
          <w:p>
            <w:r/>
            <w:r>
              <w:rPr>
                <w:b w:val="0"/>
                <w:sz w:val="18"/>
              </w:rPr>
              <w:t>£90k-£140k</w:t>
            </w:r>
          </w:p>
        </w:tc>
        <w:tc>
          <w:tcPr>
            <w:tcW w:type="dxa" w:w="3360"/>
            <w:vAlign w:val="center"/>
          </w:tcPr>
          <w:p>
            <w:r/>
            <w:r>
              <w:rPr>
                <w:b w:val="0"/>
                <w:sz w:val="18"/>
              </w:rPr>
              <w:t>Production architecture, application, tests, deployment and security implementation</w:t>
            </w:r>
          </w:p>
        </w:tc>
      </w:tr>
      <w:tr>
        <w:tc>
          <w:tcPr>
            <w:tcW w:type="dxa" w:w="3360"/>
            <w:vAlign w:val="center"/>
          </w:tcPr>
          <w:p>
            <w:r/>
            <w:r>
              <w:rPr>
                <w:b w:val="0"/>
                <w:sz w:val="18"/>
              </w:rPr>
              <w:t>Additional engineering/AI-content tooling</w:t>
            </w:r>
          </w:p>
        </w:tc>
        <w:tc>
          <w:tcPr>
            <w:tcW w:type="dxa" w:w="3360"/>
            <w:vAlign w:val="center"/>
          </w:tcPr>
          <w:p>
            <w:r/>
            <w:r>
              <w:rPr>
                <w:b w:val="0"/>
                <w:sz w:val="18"/>
              </w:rPr>
              <w:t>£60k-£110k</w:t>
            </w:r>
          </w:p>
        </w:tc>
        <w:tc>
          <w:tcPr>
            <w:tcW w:type="dxa" w:w="3360"/>
            <w:vAlign w:val="center"/>
          </w:tcPr>
          <w:p>
            <w:r/>
            <w:r>
              <w:rPr>
                <w:b w:val="0"/>
                <w:sz w:val="18"/>
              </w:rPr>
              <w:t>Accelerate learner engine, admin/content tooling and product iteration</w:t>
            </w:r>
          </w:p>
        </w:tc>
      </w:tr>
      <w:tr>
        <w:tc>
          <w:tcPr>
            <w:tcW w:type="dxa" w:w="3360"/>
            <w:vAlign w:val="center"/>
          </w:tcPr>
          <w:p>
            <w:r/>
            <w:r>
              <w:rPr>
                <w:b w:val="0"/>
                <w:sz w:val="18"/>
              </w:rPr>
              <w:t>Product/UX design</w:t>
            </w:r>
          </w:p>
        </w:tc>
        <w:tc>
          <w:tcPr>
            <w:tcW w:type="dxa" w:w="3360"/>
            <w:vAlign w:val="center"/>
          </w:tcPr>
          <w:p>
            <w:r/>
            <w:r>
              <w:rPr>
                <w:b w:val="0"/>
                <w:sz w:val="18"/>
              </w:rPr>
              <w:t>£30k-£60k</w:t>
            </w:r>
          </w:p>
        </w:tc>
        <w:tc>
          <w:tcPr>
            <w:tcW w:type="dxa" w:w="3360"/>
            <w:vAlign w:val="center"/>
          </w:tcPr>
          <w:p>
            <w:r/>
            <w:r>
              <w:rPr>
                <w:b w:val="0"/>
                <w:sz w:val="18"/>
              </w:rPr>
              <w:t>Class-leading mobile learner experience</w:t>
            </w:r>
          </w:p>
        </w:tc>
      </w:tr>
      <w:tr>
        <w:tc>
          <w:tcPr>
            <w:tcW w:type="dxa" w:w="3360"/>
            <w:vAlign w:val="center"/>
          </w:tcPr>
          <w:p>
            <w:r/>
            <w:r>
              <w:rPr>
                <w:b w:val="0"/>
                <w:sz w:val="18"/>
              </w:rPr>
              <w:t>Content engineering / SME review</w:t>
            </w:r>
          </w:p>
        </w:tc>
        <w:tc>
          <w:tcPr>
            <w:tcW w:type="dxa" w:w="3360"/>
            <w:vAlign w:val="center"/>
          </w:tcPr>
          <w:p>
            <w:r/>
            <w:r>
              <w:rPr>
                <w:b w:val="0"/>
                <w:sz w:val="18"/>
              </w:rPr>
              <w:t>£50k-£100k</w:t>
            </w:r>
          </w:p>
        </w:tc>
        <w:tc>
          <w:tcPr>
            <w:tcW w:type="dxa" w:w="3360"/>
            <w:vAlign w:val="center"/>
          </w:tcPr>
          <w:p>
            <w:r/>
            <w:r>
              <w:rPr>
                <w:b w:val="0"/>
                <w:sz w:val="18"/>
              </w:rPr>
              <w:t>Governed assertions, questions, remediation and verification</w:t>
            </w:r>
          </w:p>
        </w:tc>
      </w:tr>
      <w:tr>
        <w:tc>
          <w:tcPr>
            <w:tcW w:type="dxa" w:w="3360"/>
            <w:vAlign w:val="center"/>
          </w:tcPr>
          <w:p>
            <w:r/>
            <w:r>
              <w:rPr>
                <w:b w:val="0"/>
                <w:sz w:val="18"/>
              </w:rPr>
              <w:t>Security, privacy, legal/IP</w:t>
            </w:r>
          </w:p>
        </w:tc>
        <w:tc>
          <w:tcPr>
            <w:tcW w:type="dxa" w:w="3360"/>
            <w:vAlign w:val="center"/>
          </w:tcPr>
          <w:p>
            <w:r/>
            <w:r>
              <w:rPr>
                <w:b w:val="0"/>
                <w:sz w:val="18"/>
              </w:rPr>
              <w:t>£20k-£45k</w:t>
            </w:r>
          </w:p>
        </w:tc>
        <w:tc>
          <w:tcPr>
            <w:tcW w:type="dxa" w:w="3360"/>
            <w:vAlign w:val="center"/>
          </w:tcPr>
          <w:p>
            <w:r/>
            <w:r>
              <w:rPr>
                <w:b w:val="0"/>
                <w:sz w:val="18"/>
              </w:rPr>
              <w:t>Focused advice, privacy work and independent assurance</w:t>
            </w:r>
          </w:p>
        </w:tc>
      </w:tr>
      <w:tr>
        <w:tc>
          <w:tcPr>
            <w:tcW w:type="dxa" w:w="3360"/>
            <w:vAlign w:val="center"/>
          </w:tcPr>
          <w:p>
            <w:r/>
            <w:r>
              <w:rPr>
                <w:b w:val="0"/>
                <w:sz w:val="18"/>
              </w:rPr>
              <w:t>Cloud/SaaS/tooling</w:t>
            </w:r>
          </w:p>
        </w:tc>
        <w:tc>
          <w:tcPr>
            <w:tcW w:type="dxa" w:w="3360"/>
            <w:vAlign w:val="center"/>
          </w:tcPr>
          <w:p>
            <w:r/>
            <w:r>
              <w:rPr>
                <w:b w:val="0"/>
                <w:sz w:val="18"/>
              </w:rPr>
              <w:t>£10k-£25k</w:t>
            </w:r>
          </w:p>
        </w:tc>
        <w:tc>
          <w:tcPr>
            <w:tcW w:type="dxa" w:w="3360"/>
            <w:vAlign w:val="center"/>
          </w:tcPr>
          <w:p>
            <w:r/>
            <w:r>
              <w:rPr>
                <w:b w:val="0"/>
                <w:sz w:val="18"/>
              </w:rPr>
              <w:t>Production environments, observability, email, analytics, AI and developer tooling</w:t>
            </w:r>
          </w:p>
        </w:tc>
      </w:tr>
      <w:tr>
        <w:tc>
          <w:tcPr>
            <w:tcW w:type="dxa" w:w="3360"/>
            <w:vAlign w:val="center"/>
          </w:tcPr>
          <w:p>
            <w:r/>
            <w:r>
              <w:rPr>
                <w:b w:val="0"/>
                <w:sz w:val="18"/>
              </w:rPr>
              <w:t>Launch/customer development</w:t>
            </w:r>
          </w:p>
        </w:tc>
        <w:tc>
          <w:tcPr>
            <w:tcW w:type="dxa" w:w="3360"/>
            <w:vAlign w:val="center"/>
          </w:tcPr>
          <w:p>
            <w:r/>
            <w:r>
              <w:rPr>
                <w:b w:val="0"/>
                <w:sz w:val="18"/>
              </w:rPr>
              <w:t>£25k-£60k</w:t>
            </w:r>
          </w:p>
        </w:tc>
        <w:tc>
          <w:tcPr>
            <w:tcW w:type="dxa" w:w="3360"/>
            <w:vAlign w:val="center"/>
          </w:tcPr>
          <w:p>
            <w:r/>
            <w:r>
              <w:rPr>
                <w:b w:val="0"/>
                <w:sz w:val="18"/>
              </w:rPr>
              <w:t>Creator/provider outreach, content marketing, controlled acquisition experiments</w:t>
            </w:r>
          </w:p>
        </w:tc>
      </w:tr>
      <w:tr>
        <w:tc>
          <w:tcPr>
            <w:tcW w:type="dxa" w:w="3360"/>
            <w:vAlign w:val="center"/>
          </w:tcPr>
          <w:p>
            <w:r/>
            <w:r>
              <w:rPr>
                <w:b w:val="0"/>
                <w:sz w:val="18"/>
              </w:rPr>
              <w:t>Contingency/operations</w:t>
            </w:r>
          </w:p>
        </w:tc>
        <w:tc>
          <w:tcPr>
            <w:tcW w:type="dxa" w:w="3360"/>
            <w:vAlign w:val="center"/>
          </w:tcPr>
          <w:p>
            <w:r/>
            <w:r>
              <w:rPr>
                <w:b w:val="0"/>
                <w:sz w:val="18"/>
              </w:rPr>
              <w:t>£25k-£50k</w:t>
            </w:r>
          </w:p>
        </w:tc>
        <w:tc>
          <w:tcPr>
            <w:tcW w:type="dxa" w:w="3360"/>
            <w:vAlign w:val="center"/>
          </w:tcPr>
          <w:p>
            <w:r/>
            <w:r>
              <w:rPr>
                <w:b w:val="0"/>
                <w:sz w:val="18"/>
              </w:rPr>
              <w:t>Insurance, accounting, unexpected specialist work</w:t>
            </w:r>
          </w:p>
        </w:tc>
      </w:tr>
      <w:tr>
        <w:tc>
          <w:tcPr>
            <w:tcW w:type="dxa" w:w="3360"/>
            <w:vAlign w:val="center"/>
          </w:tcPr>
          <w:p>
            <w:r/>
            <w:r>
              <w:rPr>
                <w:b w:val="0"/>
                <w:sz w:val="18"/>
              </w:rPr>
              <w:t>Indicative total</w:t>
            </w:r>
          </w:p>
        </w:tc>
        <w:tc>
          <w:tcPr>
            <w:tcW w:type="dxa" w:w="3360"/>
            <w:vAlign w:val="center"/>
          </w:tcPr>
          <w:p>
            <w:r/>
            <w:r>
              <w:rPr>
                <w:b w:val="0"/>
                <w:sz w:val="18"/>
              </w:rPr>
              <w:t>£310k-£590k</w:t>
            </w:r>
          </w:p>
        </w:tc>
        <w:tc>
          <w:tcPr>
            <w:tcW w:type="dxa" w:w="3360"/>
            <w:vAlign w:val="center"/>
          </w:tcPr>
          <w:p>
            <w:r/>
            <w:r>
              <w:rPr>
                <w:b w:val="0"/>
                <w:sz w:val="18"/>
              </w:rPr>
              <w:t>Stage-gated rather than committed on day one</w:t>
            </w:r>
          </w:p>
        </w:tc>
      </w:tr>
    </w:tbl>
    <w:p>
      <w:r>
        <w:t>A sensible external raise would therefore be approximately £400k-£600k if the objective is to fund 12-18 months of market-rate execution through proving slice, Electrical beta/early access and second-vertical preparation. A smaller pre-seed could fund only Phase 1 and defer the larger raise until technical/product evidence exists.</w:t>
      </w:r>
    </w:p>
    <w:p>
      <w:pPr>
        <w:pStyle w:val="Heading1"/>
      </w:pPr>
      <w:r>
        <w:t>9. Use of funds and stage gates</w:t>
      </w:r>
    </w:p>
    <w:p>
      <w:pPr>
        <w:pStyle w:val="ListNumber"/>
      </w:pPr>
      <w:r>
        <w:t>Gate 1: Prove the end-to-end knowledge/diagnosis/remediation architecture before large corpus investment.</w:t>
      </w:r>
    </w:p>
    <w:p>
      <w:pPr>
        <w:pStyle w:val="ListNumber"/>
      </w:pPr>
      <w:r>
        <w:t>Gate 2: Demonstrate content-production economics and deterministic runtime economics.</w:t>
      </w:r>
    </w:p>
    <w:p>
      <w:pPr>
        <w:pStyle w:val="ListNumber"/>
      </w:pPr>
      <w:r>
        <w:t>Gate 3: Obtain strong learner evidence and first willingness-to-pay signals in Electrical.</w:t>
      </w:r>
    </w:p>
    <w:p>
      <w:pPr>
        <w:pStyle w:val="ListNumber"/>
      </w:pPr>
      <w:r>
        <w:t>Gate 4: Scale Electrical content only if the learner experience materially outperforms ordinary question banks.</w:t>
      </w:r>
    </w:p>
    <w:p>
      <w:pPr>
        <w:pStyle w:val="ListNumber"/>
      </w:pPr>
      <w:r>
        <w:t>Gate 5: Select and build the second vertical only after measuring real knowledge/platform reuse.</w:t>
      </w:r>
    </w:p>
    <w:p>
      <w:pPr>
        <w:pStyle w:val="Heading1"/>
      </w:pPr>
      <w:r>
        <w:t>10. Commercial scenarios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8"/>
              </w:rPr>
              <w:t>Scenario</w:t>
            </w:r>
          </w:p>
        </w:tc>
        <w:tc>
          <w:tcPr>
            <w:tcW w:type="dxa" w:w="2520"/>
            <w:vAlign w:val="center"/>
            <w:shd w:fill="D9E2F3"/>
          </w:tcPr>
          <w:p>
            <w:r/>
            <w:r>
              <w:rPr>
                <w:b/>
                <w:sz w:val="18"/>
              </w:rPr>
              <w:t>Paid learner-years</w:t>
            </w:r>
          </w:p>
        </w:tc>
        <w:tc>
          <w:tcPr>
            <w:tcW w:type="dxa" w:w="2520"/>
            <w:vAlign w:val="center"/>
            <w:shd w:fill="D9E2F3"/>
          </w:tcPr>
          <w:p>
            <w:r/>
            <w:r>
              <w:rPr>
                <w:b/>
                <w:sz w:val="18"/>
              </w:rPr>
              <w:t>Approx. net revenue after VAT</w:t>
            </w:r>
          </w:p>
        </w:tc>
        <w:tc>
          <w:tcPr>
            <w:tcW w:type="dxa" w:w="2520"/>
            <w:vAlign w:val="center"/>
            <w:shd w:fill="D9E2F3"/>
          </w:tcPr>
          <w:p>
            <w:r/>
            <w:r>
              <w:rPr>
                <w:b/>
                <w:sz w:val="18"/>
              </w:rPr>
              <w:t>Indicative interpretation</w:t>
            </w:r>
          </w:p>
        </w:tc>
      </w:tr>
      <w:tr>
        <w:tc>
          <w:tcPr>
            <w:tcW w:type="dxa" w:w="2520"/>
            <w:vAlign w:val="center"/>
          </w:tcPr>
          <w:p>
            <w:r/>
            <w:r>
              <w:rPr>
                <w:b w:val="0"/>
                <w:sz w:val="18"/>
              </w:rPr>
              <w:t>Early evidence</w:t>
            </w:r>
          </w:p>
        </w:tc>
        <w:tc>
          <w:tcPr>
            <w:tcW w:type="dxa" w:w="2520"/>
            <w:vAlign w:val="center"/>
          </w:tcPr>
          <w:p>
            <w:r/>
            <w:r>
              <w:rPr>
                <w:b w:val="0"/>
                <w:sz w:val="18"/>
              </w:rPr>
              <w:t>1,000</w:t>
            </w:r>
          </w:p>
        </w:tc>
        <w:tc>
          <w:tcPr>
            <w:tcW w:type="dxa" w:w="2520"/>
            <w:vAlign w:val="center"/>
          </w:tcPr>
          <w:p>
            <w:r/>
            <w:r>
              <w:rPr>
                <w:b w:val="0"/>
                <w:sz w:val="18"/>
              </w:rPr>
              <w:t>~£63k</w:t>
            </w:r>
          </w:p>
        </w:tc>
        <w:tc>
          <w:tcPr>
            <w:tcW w:type="dxa" w:w="2520"/>
            <w:vAlign w:val="center"/>
          </w:tcPr>
          <w:p>
            <w:r/>
            <w:r>
              <w:rPr>
                <w:b w:val="0"/>
                <w:sz w:val="18"/>
              </w:rPr>
              <w:t>Commercial signal, not sufficient for a staffed company</w:t>
            </w:r>
          </w:p>
        </w:tc>
      </w:tr>
      <w:tr>
        <w:tc>
          <w:tcPr>
            <w:tcW w:type="dxa" w:w="2520"/>
            <w:vAlign w:val="center"/>
          </w:tcPr>
          <w:p>
            <w:r/>
            <w:r>
              <w:rPr>
                <w:b w:val="0"/>
                <w:sz w:val="18"/>
              </w:rPr>
              <w:t>Emerging business</w:t>
            </w:r>
          </w:p>
        </w:tc>
        <w:tc>
          <w:tcPr>
            <w:tcW w:type="dxa" w:w="2520"/>
            <w:vAlign w:val="center"/>
          </w:tcPr>
          <w:p>
            <w:r/>
            <w:r>
              <w:rPr>
                <w:b w:val="0"/>
                <w:sz w:val="18"/>
              </w:rPr>
              <w:t>7,500</w:t>
            </w:r>
          </w:p>
        </w:tc>
        <w:tc>
          <w:tcPr>
            <w:tcW w:type="dxa" w:w="2520"/>
            <w:vAlign w:val="center"/>
          </w:tcPr>
          <w:p>
            <w:r/>
            <w:r>
              <w:rPr>
                <w:b w:val="0"/>
                <w:sz w:val="18"/>
              </w:rPr>
              <w:t>~£475k</w:t>
            </w:r>
          </w:p>
        </w:tc>
        <w:tc>
          <w:tcPr>
            <w:tcW w:type="dxa" w:w="2520"/>
            <w:vAlign w:val="center"/>
          </w:tcPr>
          <w:p>
            <w:r/>
            <w:r>
              <w:rPr>
                <w:b w:val="0"/>
                <w:sz w:val="18"/>
              </w:rPr>
              <w:t>Can support a lean professional operation if CAC is controlled</w:t>
            </w:r>
          </w:p>
        </w:tc>
      </w:tr>
      <w:tr>
        <w:tc>
          <w:tcPr>
            <w:tcW w:type="dxa" w:w="2520"/>
            <w:vAlign w:val="center"/>
          </w:tcPr>
          <w:p>
            <w:r/>
            <w:r>
              <w:rPr>
                <w:b w:val="0"/>
                <w:sz w:val="18"/>
              </w:rPr>
              <w:t>Meaningful UK scale</w:t>
            </w:r>
          </w:p>
        </w:tc>
        <w:tc>
          <w:tcPr>
            <w:tcW w:type="dxa" w:w="2520"/>
            <w:vAlign w:val="center"/>
          </w:tcPr>
          <w:p>
            <w:r/>
            <w:r>
              <w:rPr>
                <w:b w:val="0"/>
                <w:sz w:val="18"/>
              </w:rPr>
              <w:t>20,000</w:t>
            </w:r>
          </w:p>
        </w:tc>
        <w:tc>
          <w:tcPr>
            <w:tcW w:type="dxa" w:w="2520"/>
            <w:vAlign w:val="center"/>
          </w:tcPr>
          <w:p>
            <w:r/>
            <w:r>
              <w:rPr>
                <w:b w:val="0"/>
                <w:sz w:val="18"/>
              </w:rPr>
              <w:t>~£1.27m</w:t>
            </w:r>
          </w:p>
        </w:tc>
        <w:tc>
          <w:tcPr>
            <w:tcW w:type="dxa" w:w="2520"/>
            <w:vAlign w:val="center"/>
          </w:tcPr>
          <w:p>
            <w:r/>
            <w:r>
              <w:rPr>
                <w:b w:val="0"/>
                <w:sz w:val="18"/>
              </w:rPr>
              <w:t>Supports substantial reinvestment and operating profit under Phase 0 assumptions</w:t>
            </w:r>
          </w:p>
        </w:tc>
      </w:tr>
      <w:tr>
        <w:tc>
          <w:tcPr>
            <w:tcW w:type="dxa" w:w="2520"/>
            <w:vAlign w:val="center"/>
          </w:tcPr>
          <w:p>
            <w:r/>
            <w:r>
              <w:rPr>
                <w:b w:val="0"/>
                <w:sz w:val="18"/>
              </w:rPr>
              <w:t>Larger UK platform</w:t>
            </w:r>
          </w:p>
        </w:tc>
        <w:tc>
          <w:tcPr>
            <w:tcW w:type="dxa" w:w="2520"/>
            <w:vAlign w:val="center"/>
          </w:tcPr>
          <w:p>
            <w:r/>
            <w:r>
              <w:rPr>
                <w:b w:val="0"/>
                <w:sz w:val="18"/>
              </w:rPr>
              <w:t>50,000</w:t>
            </w:r>
          </w:p>
        </w:tc>
        <w:tc>
          <w:tcPr>
            <w:tcW w:type="dxa" w:w="2520"/>
            <w:vAlign w:val="center"/>
          </w:tcPr>
          <w:p>
            <w:r/>
            <w:r>
              <w:rPr>
                <w:b w:val="0"/>
                <w:sz w:val="18"/>
              </w:rPr>
              <w:t>~£3.17m</w:t>
            </w:r>
          </w:p>
        </w:tc>
        <w:tc>
          <w:tcPr>
            <w:tcW w:type="dxa" w:w="2520"/>
            <w:vAlign w:val="center"/>
          </w:tcPr>
          <w:p>
            <w:r/>
            <w:r>
              <w:rPr>
                <w:b w:val="0"/>
                <w:sz w:val="18"/>
              </w:rPr>
              <w:t>Material SaaS business before international expansion</w:t>
            </w:r>
          </w:p>
        </w:tc>
      </w:tr>
    </w:tbl>
    <w:p>
      <w:r>
        <w:t>Phase 0 sensitivity modelling showed customer acquisition cost is more dangerous than infrastructure cost. The product should favour organic search, referrals, creators/trainers and provider distribution, with paid acquisition scaled only when lifetime contribution supports it.</w:t>
      </w:r>
    </w:p>
    <w:p>
      <w:pPr>
        <w:pStyle w:val="Heading1"/>
      </w:pPr>
      <w:r>
        <w:t>11. Key metrics</w:t>
      </w:r>
    </w:p>
    <w:p>
      <w:pPr>
        <w:pStyle w:val="ListBullet"/>
      </w:pPr>
      <w:r>
        <w:t>Paid conversion and cohort retention.</w:t>
      </w:r>
    </w:p>
    <w:p>
      <w:pPr>
        <w:pStyle w:val="ListBullet"/>
      </w:pPr>
      <w:r>
        <w:t>Contribution per paid learner-year; target &gt;= £50 before paid acquisition.</w:t>
      </w:r>
    </w:p>
    <w:p>
      <w:pPr>
        <w:pStyle w:val="ListBullet"/>
      </w:pPr>
      <w:r>
        <w:t>AI inference cost; target &lt;= £3 per paid learner-year.</w:t>
      </w:r>
    </w:p>
    <w:p>
      <w:pPr>
        <w:pStyle w:val="ListBullet"/>
      </w:pPr>
      <w:r>
        <w:t>Content throughput: approved assertions/hour and validated questions/hour.</w:t>
      </w:r>
    </w:p>
    <w:p>
      <w:pPr>
        <w:pStyle w:val="ListBullet"/>
      </w:pPr>
      <w:r>
        <w:t>Diagnostic accuracy/confidence and transfer-retest outcomes.</w:t>
      </w:r>
    </w:p>
    <w:p>
      <w:pPr>
        <w:pStyle w:val="ListBullet"/>
      </w:pPr>
      <w:r>
        <w:t>Organic/referral share and CAC by channel.</w:t>
      </w:r>
    </w:p>
    <w:p>
      <w:pPr>
        <w:pStyle w:val="ListBullet"/>
      </w:pPr>
      <w:r>
        <w:t>Marginal Vertical Cost Ratio when Engineering is added.</w:t>
      </w:r>
    </w:p>
    <w:p>
      <w:pPr>
        <w:pStyle w:val="ListBullet"/>
      </w:pPr>
      <w:r>
        <w:t>Security/reliability indicators and learner-facing error rates.</w:t>
      </w:r>
    </w:p>
    <w:p>
      <w:pPr>
        <w:pStyle w:val="Heading1"/>
      </w:pPr>
      <w:r>
        <w:t>12. Principal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Risk</w:t>
            </w:r>
          </w:p>
        </w:tc>
        <w:tc>
          <w:tcPr>
            <w:tcW w:type="dxa" w:w="3360"/>
            <w:vAlign w:val="center"/>
            <w:shd w:fill="D9E2F3"/>
          </w:tcPr>
          <w:p>
            <w:r/>
            <w:r>
              <w:rPr>
                <w:b/>
                <w:sz w:val="18"/>
              </w:rPr>
              <w:t>Impact</w:t>
            </w:r>
          </w:p>
        </w:tc>
        <w:tc>
          <w:tcPr>
            <w:tcW w:type="dxa" w:w="3360"/>
            <w:vAlign w:val="center"/>
            <w:shd w:fill="D9E2F3"/>
          </w:tcPr>
          <w:p>
            <w:r/>
            <w:r>
              <w:rPr>
                <w:b/>
                <w:sz w:val="18"/>
              </w:rPr>
              <w:t>Mitigation</w:t>
            </w:r>
          </w:p>
        </w:tc>
      </w:tr>
      <w:tr>
        <w:tc>
          <w:tcPr>
            <w:tcW w:type="dxa" w:w="3360"/>
            <w:vAlign w:val="center"/>
          </w:tcPr>
          <w:p>
            <w:r/>
            <w:r>
              <w:rPr>
                <w:b w:val="0"/>
                <w:sz w:val="18"/>
              </w:rPr>
              <w:t>Differentiation is not valued</w:t>
            </w:r>
          </w:p>
        </w:tc>
        <w:tc>
          <w:tcPr>
            <w:tcW w:type="dxa" w:w="3360"/>
            <w:vAlign w:val="center"/>
          </w:tcPr>
          <w:p>
            <w:r/>
            <w:r>
              <w:rPr>
                <w:b w:val="0"/>
                <w:sz w:val="18"/>
              </w:rPr>
              <w:t>Critical</w:t>
            </w:r>
          </w:p>
        </w:tc>
        <w:tc>
          <w:tcPr>
            <w:tcW w:type="dxa" w:w="3360"/>
            <w:vAlign w:val="center"/>
          </w:tcPr>
          <w:p>
            <w:r/>
            <w:r>
              <w:rPr>
                <w:b w:val="0"/>
                <w:sz w:val="18"/>
              </w:rPr>
              <w:t>Prove with real learners before corpus scale</w:t>
            </w:r>
          </w:p>
        </w:tc>
      </w:tr>
      <w:tr>
        <w:tc>
          <w:tcPr>
            <w:tcW w:type="dxa" w:w="3360"/>
            <w:vAlign w:val="center"/>
          </w:tcPr>
          <w:p>
            <w:r/>
            <w:r>
              <w:rPr>
                <w:b w:val="0"/>
                <w:sz w:val="18"/>
              </w:rPr>
              <w:t>Diagnostic accuracy weak</w:t>
            </w:r>
          </w:p>
        </w:tc>
        <w:tc>
          <w:tcPr>
            <w:tcW w:type="dxa" w:w="3360"/>
            <w:vAlign w:val="center"/>
          </w:tcPr>
          <w:p>
            <w:r/>
            <w:r>
              <w:rPr>
                <w:b w:val="0"/>
                <w:sz w:val="18"/>
              </w:rPr>
              <w:t>Critical</w:t>
            </w:r>
          </w:p>
        </w:tc>
        <w:tc>
          <w:tcPr>
            <w:tcW w:type="dxa" w:w="3360"/>
            <w:vAlign w:val="center"/>
          </w:tcPr>
          <w:p>
            <w:r/>
            <w:r>
              <w:rPr>
                <w:b w:val="0"/>
                <w:sz w:val="18"/>
              </w:rPr>
              <w:t>Evidence thresholds, uncertainty, diagnostic probes and transfer tests</w:t>
            </w:r>
          </w:p>
        </w:tc>
      </w:tr>
      <w:tr>
        <w:tc>
          <w:tcPr>
            <w:tcW w:type="dxa" w:w="3360"/>
            <w:vAlign w:val="center"/>
          </w:tcPr>
          <w:p>
            <w:r/>
            <w:r>
              <w:rPr>
                <w:b w:val="0"/>
                <w:sz w:val="18"/>
              </w:rPr>
              <w:t>Content too expensive</w:t>
            </w:r>
          </w:p>
        </w:tc>
        <w:tc>
          <w:tcPr>
            <w:tcW w:type="dxa" w:w="3360"/>
            <w:vAlign w:val="center"/>
          </w:tcPr>
          <w:p>
            <w:r/>
            <w:r>
              <w:rPr>
                <w:b w:val="0"/>
                <w:sz w:val="18"/>
              </w:rPr>
              <w:t>Critical</w:t>
            </w:r>
          </w:p>
        </w:tc>
        <w:tc>
          <w:tcPr>
            <w:tcW w:type="dxa" w:w="3360"/>
            <w:vAlign w:val="center"/>
          </w:tcPr>
          <w:p>
            <w:r/>
            <w:r>
              <w:rPr>
                <w:b w:val="0"/>
                <w:sz w:val="18"/>
              </w:rPr>
              <w:t>AI-assisted governed pipeline; measure throughput from Phase 1</w:t>
            </w:r>
          </w:p>
        </w:tc>
      </w:tr>
      <w:tr>
        <w:tc>
          <w:tcPr>
            <w:tcW w:type="dxa" w:w="3360"/>
            <w:vAlign w:val="center"/>
          </w:tcPr>
          <w:p>
            <w:r/>
            <w:r>
              <w:rPr>
                <w:b w:val="0"/>
                <w:sz w:val="18"/>
              </w:rPr>
              <w:t>IP/reference constraints</w:t>
            </w:r>
          </w:p>
        </w:tc>
        <w:tc>
          <w:tcPr>
            <w:tcW w:type="dxa" w:w="3360"/>
            <w:vAlign w:val="center"/>
          </w:tcPr>
          <w:p>
            <w:r/>
            <w:r>
              <w:rPr>
                <w:b w:val="0"/>
                <w:sz w:val="18"/>
              </w:rPr>
              <w:t>Critical</w:t>
            </w:r>
          </w:p>
        </w:tc>
        <w:tc>
          <w:tcPr>
            <w:tcW w:type="dxa" w:w="3360"/>
            <w:vAlign w:val="center"/>
          </w:tcPr>
          <w:p>
            <w:r/>
            <w:r>
              <w:rPr>
                <w:b w:val="0"/>
                <w:sz w:val="18"/>
              </w:rPr>
              <w:t>Independent assertions, no proprietary corpus in production, focused legal review</w:t>
            </w:r>
          </w:p>
        </w:tc>
      </w:tr>
      <w:tr>
        <w:tc>
          <w:tcPr>
            <w:tcW w:type="dxa" w:w="3360"/>
            <w:vAlign w:val="center"/>
          </w:tcPr>
          <w:p>
            <w:r/>
            <w:r>
              <w:rPr>
                <w:b w:val="0"/>
                <w:sz w:val="18"/>
              </w:rPr>
              <w:t>Paid acquisition too expensive</w:t>
            </w:r>
          </w:p>
        </w:tc>
        <w:tc>
          <w:tcPr>
            <w:tcW w:type="dxa" w:w="3360"/>
            <w:vAlign w:val="center"/>
          </w:tcPr>
          <w:p>
            <w:r/>
            <w:r>
              <w:rPr>
                <w:b w:val="0"/>
                <w:sz w:val="18"/>
              </w:rPr>
              <w:t>High</w:t>
            </w:r>
          </w:p>
        </w:tc>
        <w:tc>
          <w:tcPr>
            <w:tcW w:type="dxa" w:w="3360"/>
            <w:vAlign w:val="center"/>
          </w:tcPr>
          <w:p>
            <w:r/>
            <w:r>
              <w:rPr>
                <w:b w:val="0"/>
                <w:sz w:val="18"/>
              </w:rPr>
              <w:t>Organic/referral/provider channels; channel-level CAC/LTV discipline</w:t>
            </w:r>
          </w:p>
        </w:tc>
      </w:tr>
      <w:tr>
        <w:tc>
          <w:tcPr>
            <w:tcW w:type="dxa" w:w="3360"/>
            <w:vAlign w:val="center"/>
          </w:tcPr>
          <w:p>
            <w:r/>
            <w:r>
              <w:rPr>
                <w:b w:val="0"/>
                <w:sz w:val="18"/>
              </w:rPr>
              <w:t>Retention short</w:t>
            </w:r>
          </w:p>
        </w:tc>
        <w:tc>
          <w:tcPr>
            <w:tcW w:type="dxa" w:w="3360"/>
            <w:vAlign w:val="center"/>
          </w:tcPr>
          <w:p>
            <w:r/>
            <w:r>
              <w:rPr>
                <w:b w:val="0"/>
                <w:sz w:val="18"/>
              </w:rPr>
              <w:t>High</w:t>
            </w:r>
          </w:p>
        </w:tc>
        <w:tc>
          <w:tcPr>
            <w:tcW w:type="dxa" w:w="3360"/>
            <w:vAlign w:val="center"/>
          </w:tcPr>
          <w:p>
            <w:r/>
            <w:r>
              <w:rPr>
                <w:b w:val="0"/>
                <w:sz w:val="18"/>
              </w:rPr>
              <w:t>Qualification journey and persistent mastery across related learning</w:t>
            </w:r>
          </w:p>
        </w:tc>
      </w:tr>
      <w:tr>
        <w:tc>
          <w:tcPr>
            <w:tcW w:type="dxa" w:w="3360"/>
            <w:vAlign w:val="center"/>
          </w:tcPr>
          <w:p>
            <w:r/>
            <w:r>
              <w:rPr>
                <w:b w:val="0"/>
                <w:sz w:val="18"/>
              </w:rPr>
              <w:t>Security failure</w:t>
            </w:r>
          </w:p>
        </w:tc>
        <w:tc>
          <w:tcPr>
            <w:tcW w:type="dxa" w:w="3360"/>
            <w:vAlign w:val="center"/>
          </w:tcPr>
          <w:p>
            <w:r/>
            <w:r>
              <w:rPr>
                <w:b w:val="0"/>
                <w:sz w:val="18"/>
              </w:rPr>
              <w:t>Critical</w:t>
            </w:r>
          </w:p>
        </w:tc>
        <w:tc>
          <w:tcPr>
            <w:tcW w:type="dxa" w:w="3360"/>
            <w:vAlign w:val="center"/>
          </w:tcPr>
          <w:p>
            <w:r/>
            <w:r>
              <w:rPr>
                <w:b w:val="0"/>
                <w:sz w:val="18"/>
              </w:rPr>
              <w:t>RLS, least privilege, rate limiting, logging, safe secrets/errors and independent assurance</w:t>
            </w:r>
          </w:p>
        </w:tc>
      </w:tr>
      <w:tr>
        <w:tc>
          <w:tcPr>
            <w:tcW w:type="dxa" w:w="3360"/>
            <w:vAlign w:val="center"/>
          </w:tcPr>
          <w:p>
            <w:r/>
            <w:r>
              <w:rPr>
                <w:b w:val="0"/>
                <w:sz w:val="18"/>
              </w:rPr>
              <w:t>Second vertical fails to reuse</w:t>
            </w:r>
          </w:p>
        </w:tc>
        <w:tc>
          <w:tcPr>
            <w:tcW w:type="dxa" w:w="3360"/>
            <w:vAlign w:val="center"/>
          </w:tcPr>
          <w:p>
            <w:r/>
            <w:r>
              <w:rPr>
                <w:b w:val="0"/>
                <w:sz w:val="18"/>
              </w:rPr>
              <w:t>High</w:t>
            </w:r>
          </w:p>
        </w:tc>
        <w:tc>
          <w:tcPr>
            <w:tcW w:type="dxa" w:w="3360"/>
            <w:vAlign w:val="center"/>
          </w:tcPr>
          <w:p>
            <w:r/>
            <w:r>
              <w:rPr>
                <w:b w:val="0"/>
                <w:sz w:val="18"/>
              </w:rPr>
              <w:t>Measure actual marginal vertical cost before expansion</w:t>
            </w:r>
          </w:p>
        </w:tc>
      </w:tr>
    </w:tbl>
    <w:p>
      <w:pPr>
        <w:pStyle w:val="Heading1"/>
      </w:pPr>
      <w:r>
        <w:t>13. Investment proposition</w:t>
      </w:r>
    </w:p>
    <w:p>
      <w:r>
        <w:t>The opportunity is to finance acceleration rather than rescue an inherently capital-intensive model. The product can be tested at tiny scale; capital primarily buys speed, professional labour, content throughput and assurance. A disciplined investor case should therefore release capital against evidence rather than fund a large team against a speculative TAM.</w:t>
      </w:r>
    </w:p>
    <w:p>
      <w:r>
        <w:t>Investment thesis: if the Phase 1 learning loop works and Electrical learners pay, the same governed foundations and learner engine can be reused across adjacent technical qualifications, creating falling marginal vertical cost and a compounding knowledge asset.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