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eastAsia="Times New Roman"/>
          <w:b/>
          <w:sz w:val="36"/>
        </w:rPr>
        <w:t>CHAPTER 8</w:t>
      </w:r>
    </w:p>
    <w:p/>
    <w:p>
      <w:pPr>
        <w:pStyle w:val="Heading1"/>
        <w:jc w:val="left"/>
      </w:pPr>
      <w:r>
        <w:rPr>
          <w:rFonts w:ascii="Times New Roman" w:hAnsi="Times New Roman" w:eastAsia="Times New Roman"/>
          <w:b/>
          <w:sz w:val="32"/>
        </w:rPr>
        <w:t>CONCLUSION AND FUTURE WORK</w:t>
      </w:r>
    </w:p>
    <w:p/>
    <w:p>
      <w:pPr>
        <w:pStyle w:val="Heading2"/>
        <w:jc w:val="left"/>
      </w:pPr>
      <w:r>
        <w:rPr>
          <w:rFonts w:ascii="Times New Roman" w:hAnsi="Times New Roman" w:eastAsia="Times New Roman"/>
          <w:b/>
          <w:sz w:val="28"/>
        </w:rPr>
        <w:t>8.1 CONCLUSION</w:t>
      </w:r>
    </w:p>
    <w:p/>
    <w:p>
      <w:pPr>
        <w:jc w:val="both"/>
      </w:pPr>
      <w:r>
        <w:rPr>
          <w:rFonts w:ascii="Times New Roman" w:hAnsi="Times New Roman" w:eastAsia="Times New Roman"/>
          <w:b w:val="0"/>
          <w:sz w:val="28"/>
        </w:rPr>
        <w:t>The Skin Disease Classification System presented in this study introduces a robust, real-time, and efficient solution to the growing need for accessible dermatological screening. By integrating state-of-the-art deep learning architecture—EfficientNetB0 for efficient deep feature extraction with automated contour extraction for precise lesion isolation—the system demonstrates an effective approach to identifying skin diseases across 34 different categories spanning infections, inflammatory conditions, benign tumors, and malignancies.</w:t>
        <w:br/>
        <w:br/>
        <w:t>The system is designed for practical deployment, featuring a FastAPI-based backend for high-performance API services, a React-driven frontend for intuitive user interaction, and SQLite database for reliable prediction history and user management. The use of confidence scores, top-3 predictions, and visual preprocessing transparency ensures interpretability and trust, both of which are essential in medical applications such as preliminary screening, telemedicine triage, and patient education.</w:t>
        <w:br/>
        <w:br/>
        <w:t>Experimental results validate the system's efficacy in accurately classifying skin diseases with 98.7% accuracy, outperforming traditional architectures including VGG16, ResNet50, and InceptionV3 by significant margins while maintaining computational efficiency. The integration of contour extraction preprocessing contributes measurable improvements, isolating diagnostically relevant lesion features and eliminating background noise. User testing through the web interface confirms the system's potential for real-world deployment in clinical and personal health monitoring scenarios.</w:t>
        <w:br/>
        <w:br/>
        <w:t>The platform's ability to process images in real-time with 0.35-second average inference time, generate detailed classification results with confidence metrics, maintain prediction history for longitudinal tracking, and provide a seamless user experience makes it a valuable tool in democratizing access to dermatological expertise. The CE-EEN-B0 architecture's compact size (22MB, 5.3M parameters) enables deployment on resource-constrained devices and integration into telemedicine platforms without requiring specialized hardware.</w:t>
        <w:br/>
        <w:br/>
        <w:t>This work demonstrates that combining domain-specific preprocessing with efficient deep learning architectures can achieve both high accuracy and practical deployability in medical image classification. The system addresses critical healthcare challenges including limited specialist access, long wait times for dermatological consultations, and the need for preliminary screening tools in underserved populations.</w:t>
      </w:r>
    </w:p>
    <w:p/>
    <w:p>
      <w:r>
        <w:br w:type="page"/>
      </w:r>
    </w:p>
    <w:p>
      <w:pPr>
        <w:pStyle w:val="Heading2"/>
        <w:jc w:val="left"/>
      </w:pPr>
      <w:r>
        <w:rPr>
          <w:rFonts w:ascii="Times New Roman" w:hAnsi="Times New Roman" w:eastAsia="Times New Roman"/>
          <w:b/>
          <w:sz w:val="28"/>
        </w:rPr>
        <w:t>8.2 FUTURE WORK</w:t>
      </w:r>
    </w:p>
    <w:p/>
    <w:p>
      <w:pPr>
        <w:jc w:val="both"/>
      </w:pPr>
      <w:r>
        <w:rPr>
          <w:rFonts w:ascii="Times New Roman" w:hAnsi="Times New Roman" w:eastAsia="Times New Roman"/>
          <w:b w:val="0"/>
          <w:sz w:val="28"/>
        </w:rPr>
        <w:t>Future work will focus on expanding the dataset size and diversity by incorporating region-specific dermatological conditions, rare disease presentations, and images from diverse skin types (Fitzpatrick types I-VI) to enhance the model's generalization across global populations and ensure equitable performance. Additionally, the system can be adapted into a lightweight mobile application for iOS and Android platforms, capable of detecting skin diseases directly through smartphone cameras with offline inference capabilities, improving accessibility for users in areas with limited internet connectivity and enabling on-device health monitoring.</w:t>
        <w:br/>
        <w:br/>
        <w:t>Integration with telemedicine platforms such as AmWell, Teladoc, and MDLive through APIs or plugins could further enable real-time screening and automatic triage of dermatological cases, routing urgent conditions like suspected melanoma to specialists for immediate review while directing routine cases to appropriate care pathways. This integration would streamline clinical workflows and reduce the burden on dermatology departments.</w:t>
        <w:br/>
        <w:br/>
        <w:t>Implementation of explainable AI techniques such as Grad-CAM (Gradient-weighted Class Activation Mapping) and LIME (Local Interpretable Model-agnostic Explanations) would visualize which image regions influence predictions, providing dermatologists with interpretable decision support and increasing clinical trust in AI-assisted diagnosis. These visualization tools would highlight lesion boundaries, color variations, and texture patterns that drive classification decisions.</w:t>
        <w:br/>
        <w:br/>
        <w:t>Development of multi-modal diagnostic models incorporating patient-reported symptoms (itching, pain, duration), medical history (previous skin conditions, family history), demographic information (age, gender, ethnicity), and metadata (lesion location, size) alongside images could improve diagnostic accuracy by mirroring clinical decision-making processes that consider both visual and contextual information.</w:t>
        <w:br/>
        <w:br/>
        <w:t>Longitudinal tracking features would enable comparison of current lesion images with historical images from the same patient, automatically detecting concerning temporal changes in size, shape, color, or texture that may indicate malignant transformation or disease progression. This capability would support early intervention for evolving conditions.</w:t>
        <w:br/>
        <w:br/>
        <w:t>Conducting prospective clinical trials comparing the system's diagnostic performance to board-certified dermatologists in real-world clinical settings would validate clinical utility, identify edge cases requiring improvement, and support regulatory approval processes (FDA 510(k) clearance, CE marking in Europe) necessary for clinical deployment in healthcare facilities.</w:t>
        <w:br/>
        <w:br/>
        <w:t>Implementation of federated learning approaches would enable collaborative model training across multiple healthcare institutions without centralizing sensitive patient data, addressing privacy concerns while improving model generalization through exposure to diverse clinical populations and imaging equipment variations.</w:t>
        <w:br/>
        <w:br/>
        <w:t>Expansion to additional disease categories including pediatric dermatology conditions, sexually transmitted infections with skin manifestations, dermatological emergencies (Stevens-Johnson syndrome, toxic epidermal necrolysis), and occupational skin diseases would increase the system's comprehensiveness and clinical utility across different medical specialties.</w:t>
        <w:br/>
        <w:br/>
        <w:t>Development of preventive health features including personalized skin care recommendations based on detected conditions and user profiles, UV exposure tracking and melanoma risk assessment, and educational content tailored to individual diagnoses would transform the system from a diagnostic tool into a comprehensive skin health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