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Demo: superpowers, gstack y mattpocock</w:t>
      </w:r>
    </w:p>
    <w:p>
      <w:pPr>
        <w:spacing w:after="120"/>
      </w:pPr>
      <w:r>
        <w:rPr>
          <w:i/>
          <w:iCs/>
          <w:color w:val="555555"/>
        </w:rPr>
        <w:t xml:space="preserve">Capacidades, casos de uso y una prueba real sobre un repositorio propio</w:t>
      </w:r>
    </w:p>
    <w:p>
      <w:pPr>
        <w:spacing w:after="120"/>
      </w:pPr>
      <w:r>
        <w:rPr>
          <w:color w:val="777777"/>
          <w:sz w:val="20"/>
          <w:szCs w:val="20"/>
        </w:rPr>
        <w:t xml:space="preserve">Preparado para Daniel — a partir del correo de Egler y la sesión del lunes organizada por Silva.</w:t>
      </w:r>
    </w:p>
    <w:p>
      <w:pPr>
        <w:pStyle w:val="Heading1"/>
        <w:spacing w:after="150" w:before="300"/>
      </w:pPr>
      <w:r>
        <w:t xml:space="preserve">1. Contexto</w:t>
      </w:r>
    </w:p>
    <w:p>
      <w:pPr>
        <w:spacing w:after="120"/>
      </w:pPr>
      <w:r>
        <w:t xml:space="preserve">Egler pidió que el equipo entienda a profundidad tres herramientas — superpowers, gstack y mattpocock (mp-*) — y en qué casos conviene usar cada una, incluyendo a los pasantes en el aprendizaje. Ocanto está liderando el ejercicio de gstack; Silva organiza para el lunes una sesión donde cada uno comparte su experiencia usando las skills.</w:t>
      </w:r>
    </w:p>
    <w:p>
      <w:pPr>
        <w:spacing w:after="120"/>
      </w:pPr>
      <w:r>
        <w:t xml:space="preserve">Este documento resume qué es cada herramienta, cuándo usar cada una, y — la parte central — un demo real: se aplicaron 3 de estas skills sobre un repositorio de código real (no un ejemplo inventado) para mostrar exactamente qué tipo de valor entregan.</w:t>
      </w:r>
    </w:p>
    <w:p>
      <w:pPr>
        <w:pStyle w:val="Heading1"/>
        <w:spacing w:after="150" w:before="300"/>
      </w:pPr>
      <w:r>
        <w:t xml:space="preserve">2. Qué es cada herramienta</w:t>
      </w:r>
    </w:p>
    <w:p>
      <w:pPr>
        <w:pStyle w:val="Heading2"/>
        <w:spacing w:after="120" w:before="240"/>
      </w:pPr>
      <w:r>
        <w:t xml:space="preserve">superpowers (obra/superpowers)</w:t>
      </w:r>
    </w:p>
    <w:p>
      <w:pPr>
        <w:spacing w:after="120"/>
      </w:pPr>
      <w:r>
        <w:t xml:space="preserve">Colección de skills centradas en disciplina de desarrollo: pensar antes de codear (sp-brainstorming), TDD estricto (sp-test-driven-development), debugging sistemático con causa raíz antes de proponer arreglos (sp-systematic-debugging), y planes de implementación escritos y verificables (sp-writing-plans). Su fortaleza es el "cómo trabajar bien" independientemente del proyecto.</w:t>
      </w:r>
    </w:p>
    <w:p>
      <w:pPr>
        <w:pStyle w:val="Heading2"/>
        <w:spacing w:after="120" w:before="240"/>
      </w:pPr>
      <w:r>
        <w:t xml:space="preserve">gstack (garrytan/gstack)</w:t>
      </w:r>
    </w:p>
    <w:p>
      <w:pPr>
        <w:spacing w:after="120"/>
      </w:pPr>
      <w:r>
        <w:t xml:space="preserve">Pipeline completo de revisión al estilo de una startup: revisión de planes (gs-ceo-review, gs-plan-eng-review), revisión de código orientada a bugs de producción (gs-review), auditoría de seguridad (gs-cso), QA en navegador (gs-qa), benchmark de performance (gs-benchmark) y shipping final a PR (gs-ship). Su fortaleza es cubrir todo el ciclo de "¿esto está listo para producción?".</w:t>
      </w:r>
    </w:p>
    <w:p>
      <w:pPr>
        <w:pStyle w:val="Heading2"/>
        <w:spacing w:after="120" w:before="240"/>
      </w:pPr>
      <w:r>
        <w:t xml:space="preserve">mattpocock (mp-*)</w:t>
      </w:r>
    </w:p>
    <w:p>
      <w:pPr>
        <w:spacing w:after="120"/>
      </w:pPr>
      <w:r>
        <w:t xml:space="preserve">Skills que exigen contexto explícito antes de opinar: revisión en dos ejes contra specs y estándares del repo (mp-code-review), modelado de dominio con documentos vivos (mp-domain-modeling, CONTEXT.md, ADRs), diagnóstico de bugs difíciles (mp-diagnosing-bugs) e interrogatorios tipo "grill" para presionar un plan antes de implementarlo (mp-grill-me). Su fortaleza es la trazabilidad: cada decisión queda documentada y justificada.</w:t>
      </w:r>
    </w:p>
    <w:p>
      <w:pPr>
        <w:pStyle w:val="Heading1"/>
        <w:spacing w:after="150" w:before="300"/>
      </w:pPr>
      <w:r>
        <w:t xml:space="preserve">3. Cuándo usar cada una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7"/>
        <w:gridCol w:w="2827"/>
        <w:gridCol w:w="2826"/>
      </w:tblGrid>
      <w:tr>
        <w:tc>
          <w:tcPr>
            <w:tcW w:type="dxa" w:w="1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27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superpowers (obra)</w:t>
            </w:r>
          </w:p>
        </w:tc>
        <w:tc>
          <w:tcPr>
            <w:tcW w:type="dxa" w:w="2827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gstack (garrytan)</w:t>
            </w:r>
          </w:p>
        </w:tc>
        <w:tc>
          <w:tcPr>
            <w:tcW w:type="dxa" w:w="28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mattpocock (mp-*)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Enfoque central</w:t>
            </w:r>
          </w:p>
        </w:tc>
        <w:tc>
          <w:tcPr>
            <w:tcW w:type="dxa" w:w="28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Disciplina de desarrollo: TDD, brainstorming antes de codear, debugging sistemático, planes escritos.</w:t>
            </w:r>
          </w:p>
        </w:tc>
        <w:tc>
          <w:tcPr>
            <w:tcW w:type="dxa" w:w="28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Pipeline tipo startup: revisión de planes, seguridad, QA en navegador, benchmark, shipping a PR.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Ingeniería basada en contexto explícito: specs, estándares del repo, modelado de dominio, ADRs.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Mejor momento para usarla</w:t>
            </w:r>
          </w:p>
        </w:tc>
        <w:tc>
          <w:tcPr>
            <w:tcW w:type="dxa" w:w="28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 iniciar cualquier feature nueva, o cuando el bug es difícil y hay que ir paso a paso.</w:t>
            </w:r>
          </w:p>
        </w:tc>
        <w:tc>
          <w:tcPr>
            <w:tcW w:type="dxa" w:w="28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Antes de mergear/shippear: revisión de código, seguridad, QA visual, y para armar el PR final.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Cuando ya existe un issue/spec y hay estándares de repo documentados que validar.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Ejemplos de skills</w:t>
            </w:r>
          </w:p>
        </w:tc>
        <w:tc>
          <w:tcPr>
            <w:tcW w:type="dxa" w:w="28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sp-brainstorming, sp-tdd, sp-systematic-debugging, sp-writing-plans</w:t>
            </w:r>
          </w:p>
        </w:tc>
        <w:tc>
          <w:tcPr>
            <w:tcW w:type="dxa" w:w="28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gs-ceo-review, gs-review, gs-cso, gs-qa, gs-ship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mp-code-review, mp-diagnosing-bugs, mp-domain-modeling, mp-grill-me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Requisito previo</w:t>
            </w:r>
          </w:p>
        </w:tc>
        <w:tc>
          <w:tcPr>
            <w:tcW w:type="dxa" w:w="28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Ninguno especial — funciona incluso sin repo formal.</w:t>
            </w:r>
          </w:p>
        </w:tc>
        <w:tc>
          <w:tcPr>
            <w:tcW w:type="dxa" w:w="28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Ninguno especial, pero rinde más con tests y CI existentes.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Necesita specs/issues y, para revisión, estándares documentados — si no existen, rinde a media capacidad.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</w:rPr>
        <w:t xml:space="preserve">En la práctica no son excluyentes: un flujo típico de feature podría ser sp-brainstorming (superpowers) para explorar el diseño, mp-domain-modeling (mattpocock) para dejarlo documentado, y gs-review + gs-cso (gstack) antes de mergear.</w:t>
      </w:r>
    </w:p>
    <w:p>
      <w:pPr>
        <w:pStyle w:val="Heading1"/>
        <w:spacing w:after="150" w:before="300"/>
      </w:pPr>
      <w:r>
        <w:t xml:space="preserve">4. Demo en vivo: aplicadas a un repo real</w:t>
      </w:r>
    </w:p>
    <w:p>
      <w:pPr>
        <w:spacing w:after="120"/>
      </w:pPr>
      <w:r>
        <w:t xml:space="preserve">Para no quedarnos en la teoría, se tomó un repositorio real de Daniel — bolsa-valores-caracas-api (API en FastAPI que scrapea cotizaciones de la Bolsa de Valores de Caracas) — y se le aplicaron 3 skills tal cual las usaría el equipo: gs-review y gs-cso (gstack), y mp-code-review (mattpocock).</w:t>
      </w:r>
    </w:p>
    <w:p>
      <w:pPr>
        <w:spacing w:after="120"/>
      </w:pPr>
      <w:r>
        <w:t xml:space="preserve">Todos los hallazgos de abajo son reales, no simulados — vienen de leer el código del repo línea por línea siguiendo la metodología de cada skill.</w:t>
      </w:r>
    </w:p>
    <w:p>
      <w:pPr>
        <w:pStyle w:val="Heading2"/>
        <w:spacing w:after="120" w:before="240"/>
      </w:pPr>
      <w:r>
        <w:t xml:space="preserve">Resumen de hallazgos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80"/>
        <w:gridCol w:w="5600"/>
      </w:tblGrid>
      <w:tr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Severidad</w:t>
            </w:r>
          </w:p>
        </w:tc>
        <w:tc>
          <w:tcPr>
            <w:tcW w:type="dxa" w:w="308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Hallazgo</w:t>
            </w:r>
          </w:p>
        </w:tc>
        <w:tc>
          <w:tcPr>
            <w:tcW w:type="dxa" w:w="5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Detalle / impacto</w:t>
            </w:r>
          </w:p>
        </w:tc>
      </w:tr>
      <w:tr>
        <w:tc>
          <w:tcPr>
            <w:tcW w:type="dxa" w:w="1400"/>
            <w:shd w:fill="F8CBA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Crítico</w:t>
            </w:r>
          </w:p>
        </w:tc>
        <w:tc>
          <w:tcPr>
            <w:tcW w:type="dxa" w:w="3080"/>
            <w:shd w:fill="F8CBA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key de Gemini expuesta en texto plano (Analisis.py:6)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Cualquiera con acceso al repo puede usarla y generar cargos o agotar la cuota de la cuenta del dueño. Acción: rotar la key ya.</w:t>
            </w:r>
          </w:p>
        </w:tc>
      </w:tr>
      <w:tr>
        <w:tc>
          <w:tcPr>
            <w:tcW w:type="dxa" w:w="140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Alto</w:t>
            </w:r>
          </w:p>
        </w:tc>
        <w:tc>
          <w:tcPr>
            <w:tcW w:type="dxa" w:w="308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Bug real: falta un return (main.py:116)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endpoint devuelve None en vez del error 500 esperado; FastAPI lanza un error genérico en su lugar. Auto-fixable.</w:t>
            </w:r>
          </w:p>
        </w:tc>
      </w:tr>
      <w:tr>
        <w:tc>
          <w:tcPr>
            <w:tcW w:type="dxa" w:w="140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Alto</w:t>
            </w:r>
          </w:p>
        </w:tc>
        <w:tc>
          <w:tcPr>
            <w:tcW w:type="dxa" w:w="308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Silent failure en el scraper (scrapper.py)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 Selenium falla, setup_driver() retorna None sin que scrape_and_save() lo valide -&gt; crash silencioso y datos congelados.</w:t>
            </w:r>
          </w:p>
        </w:tc>
      </w:tr>
      <w:tr>
        <w:tc>
          <w:tcPr>
            <w:tcW w:type="dxa" w:w="14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Medio</w:t>
            </w:r>
          </w:p>
        </w:tc>
        <w:tc>
          <w:tcPr>
            <w:tcW w:type="dxa" w:w="308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os.chdir() como estado global (scrapper.py)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Funciona hoy porque no hay concurrencia; se vuelve un bug de carrera el día que la haya.</w:t>
            </w:r>
          </w:p>
        </w:tc>
      </w:tr>
      <w:tr>
        <w:tc>
          <w:tcPr>
            <w:tcW w:type="dxa" w:w="14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Medio</w:t>
            </w:r>
          </w:p>
        </w:tc>
        <w:tc>
          <w:tcPr>
            <w:tcW w:type="dxa" w:w="308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Parsing posicional frágil (get_stocks)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Asume múltiplos exactos de 6 columnas; una celda vacía desalinea los datos sin error visible.</w:t>
            </w:r>
          </w:p>
        </w:tc>
      </w:tr>
      <w:tr>
        <w:tc>
          <w:tcPr>
            <w:tcW w:type="dxa" w:w="14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Bajo</w:t>
            </w:r>
          </w:p>
        </w:tc>
        <w:tc>
          <w:tcPr>
            <w:tcW w:type="dxa" w:w="308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Cookie de sesión hardcodeada (Analisis.py:43)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Mala práctica de higiene, impacto no confirmado (depende de qué protege esa sesión).</w:t>
            </w:r>
          </w:p>
        </w:tc>
      </w:tr>
      <w:tr>
        <w:tc>
          <w:tcPr>
            <w:tcW w:type="dxa" w:w="14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Mejora</w:t>
            </w:r>
          </w:p>
        </w:tc>
        <w:tc>
          <w:tcPr>
            <w:tcW w:type="dxa" w:w="308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code smells de Fowler (mp-code-review)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Duplicación de try/except, primitive obsession en models.py, nombres poco claros, un archivo con 3 responsabilidades.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gs-review — bugs que pasarían CI pero rompen producción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Auto-fix: falta un return en main.py:116 — el endpoint devuelve None en vez del error 500 pensado.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Auto-fix: scrapper.py no valida que el WebDriver se haya inicializado antes de usarlo — puede crashear el job programado en silencio.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Ask: os.chdir() usado como manejo de rutas — funciona hoy, pero es una carrera esperando a que exista concurrencia.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Gaps: los 4 endpoints capturan cualquier excepción sin loggear cuál fue exactamente, dificultando debug futuro; el parser de la tabla de acciones asume siempre múltiplos de 6 columnas sin validarlo.</w:t>
      </w:r>
    </w:p>
    <w:p>
      <w:pPr>
        <w:pStyle w:val="Heading2"/>
        <w:spacing w:after="120" w:before="240"/>
      </w:pPr>
      <w:r>
        <w:t xml:space="preserve">gs-cso — auditoría de seguridad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Crítico (confirmado, con exploit concreto): una API key de Google Gemini está hardcodeada en texto plano en Analisis.py. Cualquiera con acceso al repo puede usarla y generar cargos a la cuenta del dueño, o agotar la cuota. Se recomienda rotarla de inmediato.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Higiene: una cookie de sesión (PHPSESSID) también está hardcodeada — impacto no confirmado, pero no debería viajar en el código fuente.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candidatos fueron revisados y descartados por no tener un exploit concreto (scraping sin input de usuario, endpoints de solo lectura sobre datos públicos, rutas de archivo fijas sin path traversal) — así se ve el "zero-noise policy" de la skill en la práctica.</w:t>
      </w:r>
    </w:p>
    <w:p>
      <w:pPr>
        <w:pStyle w:val="Heading2"/>
        <w:spacing w:after="120" w:before="240"/>
      </w:pPr>
      <w:r>
        <w:t xml:space="preserve">mp-code-review — estándares y spec</w:t>
      </w:r>
    </w:p>
    <w:p>
      <w:pPr>
        <w:spacing w:after="120"/>
      </w:pPr>
      <w:r>
        <w:t xml:space="preserve">Este repo no tiene PR abierto, ni issue de origen, ni CODING_STANDARDS.md — que es justo lo que mp-code-review necesita para su eje "Spec". Por eso el eje Spec se omitió (tal como indica la skill cuando no hay spec disponible) y solo se aplicó el eje Standards, usando el baseline de code smells de Fowler que la skill trae por defecto.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Duplicated Code: el mismo patrón try/except se repite en los 4 endpoints de main.py.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Primitive Obsession: todos los campos de models.py son str, incluyendo precios y montos — pierde validación de tipo en una API financiera.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Mysterious Name: trigger y trigger2 en main.py no dicen qué job dispara cada uno.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Divergent Change: Analisis.py mezcla credenciales, un cliente HTTP y un script de prueba en un mismo archivo.</w:t>
      </w:r>
    </w:p>
    <w:p>
      <w:pPr>
        <w:spacing w:after="120"/>
      </w:pPr>
      <w:r>
        <w:rPr>
          <w:i/>
          <w:iCs/>
        </w:rPr>
        <w:t xml:space="preserve">Esto ilustra la diferencia real entre gstack y mattpocock: gstack revisa directo buscando lo que rompe; mattpocock rinde su valor completo solo cuando hay specs y estándares documentados para validar contra ellos — sin eso, funciona pero a media capacidad, como en este demo.</w:t>
      </w:r>
    </w:p>
    <w:p>
      <w:pPr>
        <w:pStyle w:val="Heading1"/>
        <w:spacing w:after="150" w:before="300"/>
      </w:pPr>
      <w:r>
        <w:t xml:space="preserve">5. Recomendaciones para el equipo (incluyendo pasantes)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Acción inmediata, fuera del ejercicio de aprendizaje: rotar la API key de Gemini expuesta — es un hallazgo real, no parte de la demo.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la sesión del lunes con Silva: usar este mismo repo (o uno propio de cada quien) para que cada persona corra gs-review, gs-cso y mp-code-review sobre código real propio, no un ejemplo de juguete — así el feedback que pide Egler es verificable.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los pasantes: empezar por gs-review sobre su propio código antes de pedir revisión humana — entrena a detectar la categoría de bug que ningún linter atrapa.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que mp-code-review rinda su capacidad completa, el equipo necesita primero un CODING_STANDARDS.md mínimo y el hábito de referenciar issues en los commits — sin eso, la skill solo puede aplicar el baseline genérico de Fowler, como se vio en este demo.</w:t>
      </w:r>
    </w:p>
    <w:p>
      <w:pPr>
        <w:pStyle w:val="Heading1"/>
        <w:spacing w:after="150" w:before="300"/>
      </w:pPr>
      <w:r>
        <w:t xml:space="preserve">6.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Ocanto termina su ejercicio de gstack (y confirmar si también cubre superpowers).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Silva lidera la sesión del lunes: cada quien presenta su experiencia usando mattpocock sobre un caso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Reunión de grupo para discutir, con evidencia de cada quien, cuándo conviene cada herramienta — este documento sirve como punto de partida, no como conclusión final.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2026-08-18T01:45:56.395Z</dcterms:created>
  <dcterms:modified xsi:type="dcterms:W3CDTF">2026-08-18T01:45:56.395Z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