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888888"/>
          <w:sz w:val="20"/>
          <w:szCs w:val="20"/>
        </w:rPr>
        <w:t xml:space="preserve">ECE1755: Parallel Computer Architecture</w:t>
      </w:r>
    </w:p>
    <w:p>
      <w:pPr>
        <w:spacing w:after="0" w:before="0"/>
        <w:jc w:val="center"/>
      </w:pPr>
      <w:r>
        <w:rPr>
          <w:rFonts w:ascii="Arial" w:cs="Arial" w:eastAsia="Arial" w:hAnsi="Arial"/>
          <w:b/>
          <w:bCs/>
          <w:color w:val="2E5DA8"/>
          <w:sz w:val="40"/>
          <w:szCs w:val="40"/>
        </w:rPr>
        <w:t xml:space="preserve">Hardware-Accelerated Adaptive ODE Solving:</w:t>
      </w:r>
    </w:p>
    <w:p>
      <w:pPr>
        <w:spacing w:after="120" w:before="0"/>
        <w:jc w:val="center"/>
      </w:pPr>
      <w:r>
        <w:rPr>
          <w:rFonts w:ascii="Arial" w:cs="Arial" w:eastAsia="Arial" w:hAnsi="Arial"/>
          <w:b/>
          <w:bCs/>
          <w:color w:val="2E5DA8"/>
          <w:sz w:val="40"/>
          <w:szCs w:val="40"/>
        </w:rPr>
        <w:t xml:space="preserve">Dormand-Prince RK45 on FPGA</w:t>
      </w:r>
    </w:p>
    <w:p>
      <w:pPr>
        <w:spacing w:after="20"/>
        <w:jc w:val="center"/>
      </w:pPr>
      <w:r>
        <w:rPr>
          <w:rFonts w:ascii="Calibri" w:cs="Calibri" w:eastAsia="Calibri" w:hAnsi="Calibri"/>
          <w:i/>
          <w:iCs/>
          <w:color w:val="555555"/>
          <w:sz w:val="22"/>
          <w:szCs w:val="22"/>
        </w:rPr>
        <w:t xml:space="preserve">April 2026</w:t>
      </w:r>
    </w:p>
    <w:p>
      <w:pPr>
        <w:pBdr>
          <w:bottom w:val="single" w:color="AABCD4" w:sz="4" w:space="1"/>
        </w:pBdr>
        <w:spacing w:after="100"/>
      </w:pPr>
    </w:p>
    <w:p>
      <w:pPr>
        <w:spacing w:after="80"/>
      </w:pPr>
    </w:p>
    <w:p>
      <w:pPr>
        <w:pBdr>
          <w:bottom w:val="single" w:color="2E5DA8" w:sz="4" w:space="2"/>
        </w:pBdr>
        <w:spacing w:after="100" w:before="280"/>
      </w:pPr>
      <w:r>
        <w:rPr>
          <w:rFonts w:ascii="Arial" w:cs="Arial" w:eastAsia="Arial" w:hAnsi="Arial"/>
          <w:b/>
          <w:bCs/>
          <w:color w:val="2E5DA8"/>
          <w:sz w:val="26"/>
          <w:szCs w:val="26"/>
        </w:rPr>
        <w:t xml:space="preserve">Overview</w:t>
      </w:r>
    </w:p>
    <w:p>
      <w:pPr>
        <w:spacing w:after="140" w:line="276"/>
        <w:jc w:val="both"/>
      </w:pPr>
      <w:r>
        <w:rPr>
          <w:rFonts w:ascii="Calibri" w:cs="Calibri" w:eastAsia="Calibri" w:hAnsi="Calibri"/>
          <w:sz w:val="22"/>
          <w:szCs w:val="22"/>
        </w:rPr>
        <w:t xml:space="preserve">This project implements a hardware accelerator for adaptive numerical ODE integration using the Dormand-Prince RK45 method on an AMD/Xilinx FPGA. The Dormand-Prince method is a fundamental numerical technique widely used for real-time simulation and control, particularly in applications where a system's evolution must be tracked accurately from noisy or dynamic initial conditions.</w:t>
      </w:r>
    </w:p>
    <w:p>
      <w:pPr>
        <w:spacing w:after="140" w:line="276"/>
        <w:jc w:val="both"/>
      </w:pPr>
      <w:r>
        <w:rPr>
          <w:rFonts w:ascii="Calibri" w:cs="Calibri" w:eastAsia="Calibri" w:hAnsi="Calibri"/>
          <w:sz w:val="22"/>
          <w:szCs w:val="22"/>
        </w:rPr>
        <w:t xml:space="preserve">Our goal was to create an FPGA implementation that achieves lower latency than microcontroller or software-based ODE solvers typically used in embedded systems. Rather than running an adaptive integrator like MATLAB’s ode45 on a general-purpose processor, our design offloads the entire computation to a dedicated hardware datapath. This targets resource-constrained applications such as real-time plant simulation, closed-loop control, and edge inference where step-by-step numerical integration must keep pace with a live data stream.</w:t>
      </w:r>
    </w:p>
    <w:p>
      <w:pPr>
        <w:spacing w:after="140" w:line="276"/>
        <w:jc w:val="both"/>
      </w:pPr>
      <w:r>
        <w:rPr>
          <w:rFonts w:ascii="Calibri" w:cs="Calibri" w:eastAsia="Calibri" w:hAnsi="Calibri"/>
          <w:sz w:val="22"/>
          <w:szCs w:val="22"/>
        </w:rPr>
        <w:t xml:space="preserve">The design implements the full 5th-order Dormand-Prince embedded pair in VHDL, using AMD/Xilinx Floating-Point v7.1 AXI-Stream IP cores [7]. An autonomous finite-state machine drives the adaptive loop entirely in hardware, with no processor involvement once the solver is started. The step-size controller adjusts the integration step each cycle using only integer arithmetic on IEEE 754 exponent bits, avoiding additional floating-point resources.</w:t>
      </w:r>
    </w:p>
    <w:p>
      <w:pPr>
        <w:spacing w:after="40"/>
      </w:pPr>
    </w:p>
    <w:p>
      <w:pPr>
        <w:pBdr>
          <w:bottom w:val="single" w:color="2E5DA8" w:sz="4" w:space="2"/>
        </w:pBdr>
        <w:spacing w:after="100" w:before="280"/>
      </w:pPr>
      <w:r>
        <w:rPr>
          <w:rFonts w:ascii="Arial" w:cs="Arial" w:eastAsia="Arial" w:hAnsi="Arial"/>
          <w:b/>
          <w:bCs/>
          <w:color w:val="2E5DA8"/>
          <w:sz w:val="26"/>
          <w:szCs w:val="26"/>
        </w:rPr>
        <w:t xml:space="preserve">Specifications</w:t>
      </w:r>
    </w:p>
    <w:p>
      <w:pPr>
        <w:spacing w:after="140" w:line="276"/>
        <w:jc w:val="both"/>
      </w:pPr>
      <w:r>
        <w:rPr>
          <w:rFonts w:ascii="Calibri" w:cs="Calibri" w:eastAsia="Calibri" w:hAnsi="Calibri"/>
          <w:sz w:val="22"/>
          <w:szCs w:val="22"/>
        </w:rPr>
        <w:t xml:space="preserve">The design is clocked at 100 MHz and achieves a per-step latency of 5.14 μs (514 clock cycles). For a representative stiff test equation integrated over a range of 3.0 units from the initial condition, the solver completes in approximately 257 μs using an estimated 50 adaptive steps. This compares favorably against a software ode45 baseline on a microcontroller, which incurs additional interpreter and memory-access overhead on top of the same arithmetic. The design achieves a relative output error no greater than 0.0012 compared to the analytical solution of the test equation, confirming that the fixed IEEE 754 single-precision arithmetic is sufficient for the target application.</w:t>
      </w:r>
    </w:p>
    <w:p>
      <w:pPr>
        <w:spacing w:after="140" w:line="276"/>
        <w:jc w:val="both"/>
      </w:pPr>
      <w:r>
        <w:rPr>
          <w:rFonts w:ascii="Calibri" w:cs="Calibri" w:eastAsia="Calibri" w:hAnsi="Calibri"/>
          <w:sz w:val="22"/>
          <w:szCs w:val="22"/>
        </w:rPr>
        <w:t xml:space="preserve">The design uses single-precision (</w:t>
      </w:r>
      <w:r>
        <w:rPr>
          <w:rFonts w:ascii="Courier New" w:cs="Courier New" w:eastAsia="Courier New" w:hAnsi="Courier New"/>
          <w:sz w:val="20"/>
          <w:szCs w:val="20"/>
        </w:rPr>
        <w:t xml:space="preserve">float32</w:t>
      </w:r>
      <w:r>
        <w:rPr>
          <w:rFonts w:ascii="Calibri" w:cs="Calibri" w:eastAsia="Calibri" w:hAnsi="Calibri"/>
          <w:sz w:val="22"/>
          <w:szCs w:val="22"/>
        </w:rPr>
        <w:t xml:space="preserve">) arithmetic throughout, specifically because it provides a better area-power tradeoff than double precision at the cost of limiting accuracy to approximately 7 significant decimal digits. The instruction set uses a 32-bit RISC-V-inspired encoding [8] with a fixed opcode and a 3-bit </w:t>
      </w:r>
      <w:r>
        <w:rPr>
          <w:rFonts w:ascii="Courier New" w:cs="Courier New" w:eastAsia="Courier New" w:hAnsi="Courier New"/>
          <w:sz w:val="20"/>
          <w:szCs w:val="20"/>
        </w:rPr>
        <w:t xml:space="preserve">func3</w:t>
      </w:r>
      <w:r>
        <w:rPr>
          <w:rFonts w:ascii="Calibri" w:cs="Calibri" w:eastAsia="Calibri" w:hAnsi="Calibri"/>
          <w:sz w:val="22"/>
          <w:szCs w:val="22"/>
        </w:rPr>
        <w:t xml:space="preserve"> field, keeping the control logic minimal. The maximum iteration watchdog is set to 4096 steps, providing a hard bound of approximately 21 ms before the solver unconditionally terminates.</w:t>
      </w:r>
    </w:p>
    <w:p>
      <w:pPr>
        <w:spacing w:after="40"/>
      </w:pPr>
    </w:p>
    <w:p>
      <w:pPr>
        <w:pBdr>
          <w:bottom w:val="single" w:color="2E5DA8" w:sz="4" w:space="2"/>
        </w:pBdr>
        <w:spacing w:after="100" w:before="280"/>
      </w:pPr>
      <w:r>
        <w:rPr>
          <w:rFonts w:ascii="Arial" w:cs="Arial" w:eastAsia="Arial" w:hAnsi="Arial"/>
          <w:b/>
          <w:bCs/>
          <w:color w:val="2E5DA8"/>
          <w:sz w:val="26"/>
          <w:szCs w:val="26"/>
        </w:rPr>
        <w:t xml:space="preserve">System Architecture</w:t>
      </w:r>
    </w:p>
    <w:p>
      <w:pPr>
        <w:spacing w:after="140" w:line="276"/>
        <w:jc w:val="both"/>
      </w:pPr>
      <w:r>
        <w:rPr>
          <w:rFonts w:ascii="Calibri" w:cs="Calibri" w:eastAsia="Calibri" w:hAnsi="Calibri"/>
          <w:sz w:val="22"/>
          <w:szCs w:val="22"/>
        </w:rPr>
        <w:t xml:space="preserve">The chip takes initial conditions and solver parameters as input and passes them through a hardware pipeline that implements the full adaptive Dormand-Prince computation. As shown in Figure 1, there are three main blocks: the FPU datapath, the adaptive FSM and control unit, and memory.</w:t>
      </w:r>
    </w:p>
    <w:p>
      <w:pPr>
        <w:spacing w:after="140" w:line="276"/>
        <w:jc w:val="both"/>
      </w:pPr>
      <w:r>
        <w:rPr>
          <w:rFonts w:ascii="Calibri" w:cs="Calibri" w:eastAsia="Calibri" w:hAnsi="Calibri"/>
          <w:sz w:val="22"/>
          <w:szCs w:val="22"/>
        </w:rPr>
        <w:t xml:space="preserve">The FPU datapath is responsible for all floating-point arithmetic. It supports addition, subtraction, multiplication, and fused multiply-add (FMA) operations, all implemented using vendor Xilinx IP cores [7]. Addition, subtraction, and multiplication each complete with a fixed latency of a few clock cycles, while the full Dormand-Prince computation—which chains these operations through six stage evaluations—is given a conservative 512-cycle window to produce valid outputs. This window covers the worst-case pipeline depth of the entire k1-through-k6 calculation chain. The datapath uses IEEE 754 single-precision format throughout.</w:t>
      </w:r>
    </w:p>
    <w:p>
      <w:pPr>
        <w:spacing w:after="140" w:line="276"/>
        <w:jc w:val="both"/>
      </w:pPr>
      <w:r>
        <w:rPr>
          <w:rFonts w:ascii="Calibri" w:cs="Calibri" w:eastAsia="Calibri" w:hAnsi="Calibri"/>
          <w:sz w:val="22"/>
          <w:szCs w:val="22"/>
        </w:rPr>
        <w:t xml:space="preserve">The memory block stores the solver state. It is a 64-entry by 32-bit array addressed at the byte level, with fixed slots for the independent variable x, the dependent variable y, the current step size h, the error tolerance, and the integration endpoint. A 16-entry register file holds the startup values that are written into memory during initialization. Both are updated each accepted step as the solver advances.</w:t>
      </w:r>
    </w:p>
    <w:p>
      <w:pPr>
        <w:spacing w:after="140" w:line="276"/>
        <w:jc w:val="both"/>
      </w:pPr>
      <w:r>
        <w:rPr>
          <w:rFonts w:ascii="Calibri" w:cs="Calibri" w:eastAsia="Calibri" w:hAnsi="Calibri"/>
          <w:sz w:val="22"/>
          <w:szCs w:val="22"/>
        </w:rPr>
        <w:t xml:space="preserve">The adaptive FSM and control unit are responsible for coordinating the solver loop. The FSM has five states: idle, flush, compute, update, and done. After initialization, a single </w:t>
      </w:r>
      <w:r>
        <w:rPr>
          <w:rFonts w:ascii="Courier New" w:cs="Courier New" w:eastAsia="Courier New" w:hAnsi="Courier New"/>
          <w:sz w:val="20"/>
          <w:szCs w:val="20"/>
        </w:rPr>
        <w:t xml:space="preserve">RKS</w:t>
      </w:r>
      <w:r>
        <w:rPr>
          <w:rFonts w:ascii="Calibri" w:cs="Calibri" w:eastAsia="Calibri" w:hAnsi="Calibri"/>
          <w:sz w:val="22"/>
          <w:szCs w:val="22"/>
        </w:rPr>
        <w:t xml:space="preserve"> instruction launches the FSM autonomously. It loads solver inputs from memory (flush), waits for the FPU chain to produce valid outputs (compute), then reads the step-size controller verdict and conditionally writes results back to memory (update). If the estimated local truncation error exceeds the tolerance, the step is rejected, the step size is halved, and the computation is retried—all without any host-processor involvement. Once x reaches the endpoint, the FSM asserts </w:t>
      </w:r>
      <w:r>
        <w:rPr>
          <w:rFonts w:ascii="Courier New" w:cs="Courier New" w:eastAsia="Courier New" w:hAnsi="Courier New"/>
          <w:sz w:val="20"/>
          <w:szCs w:val="20"/>
        </w:rPr>
        <w:t xml:space="preserve">done</w:t>
      </w:r>
      <w:r>
        <w:rPr>
          <w:rFonts w:ascii="Calibri" w:cs="Calibri" w:eastAsia="Calibri" w:hAnsi="Calibri"/>
          <w:sz w:val="22"/>
          <w:szCs w:val="22"/>
        </w:rPr>
        <w:t xml:space="preserve">.</w:t>
      </w:r>
    </w:p>
    <w:p>
      <w:pPr>
        <w:spacing w:after="140" w:line="276"/>
        <w:jc w:val="both"/>
      </w:pPr>
      <w:r>
        <w:rPr>
          <w:rFonts w:ascii="Calibri" w:cs="Calibri" w:eastAsia="Calibri" w:hAnsi="Calibri"/>
          <w:sz w:val="22"/>
          <w:szCs w:val="22"/>
        </w:rPr>
        <w:t xml:space="preserve">The step-size controller decides whether each step is accepted or rejected and computes the next step size. Rather than using a floating-point divider, it manipulates the 8-bit exponent field of the IEEE 754 step-size word directly. Halving h decrements the exponent by 1, and doubling it increments by 1—a technique that requires only a single 8-bit integer adder. The termination check comparing x against the endpoint similarly uses unsigned integer comparison on the lower 31 bits of the IEEE 754 words, exploiting the magnitude-preserving ordering of positive floats.</w:t>
      </w:r>
    </w:p>
    <w:p>
      <w:pPr>
        <w:spacing w:after="140" w:line="276"/>
        <w:jc w:val="both"/>
      </w:pPr>
      <w:r>
        <w:rPr>
          <w:rFonts w:ascii="Calibri" w:cs="Calibri" w:eastAsia="Calibri" w:hAnsi="Calibri"/>
          <w:sz w:val="22"/>
          <w:szCs w:val="22"/>
        </w:rPr>
        <w:t xml:space="preserve">The instruction set uses a custom 32-bit encoding modeled on RISC-V I-type instructions. The opcode field is fixed and the 3-bit func3 field selects one of four operations, described in Table 1. Five sequential initialization instructions load the solver parameters, after which a single run instruction hands control entirely to the FSM.</w:t>
      </w:r>
    </w:p>
    <w:p>
      <w:pPr>
        <w:spacing w:after="60"/>
      </w:pPr>
    </w:p>
    <w:p>
      <w:pPr>
        <w:spacing w:after="80" w:before="40"/>
      </w:pPr>
      <w:r>
        <w:rPr>
          <w:rFonts w:ascii="Calibri" w:cs="Calibri" w:eastAsia="Calibri" w:hAnsi="Calibri"/>
          <w:i/>
          <w:iCs/>
          <w:color w:val="444444"/>
          <w:sz w:val="20"/>
          <w:szCs w:val="20"/>
        </w:rPr>
        <w:t xml:space="preserve">Table 1. Custom 32-bit instruction set (opcode = 0001100 for all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460"/>
        <w:gridCol w:w="4600"/>
      </w:tblGrid>
      <w:tr>
        <w:tc>
          <w:tcPr>
            <w:tcW w:type="dxa" w:w="1100"/>
            <w:tcBorders>
              <w:top w:val="single" w:color="2E5DA8" w:sz="4"/>
              <w:left w:val="single" w:color="2E5DA8" w:sz="4"/>
              <w:bottom w:val="single" w:color="2E5DA8" w:sz="4"/>
              <w:right w:val="single" w:color="2E5DA8" w:sz="4"/>
            </w:tcBorders>
            <w:shd w:fill="EEF3FB" w:val="clear"/>
            <w:tcMar>
              <w:top w:type="dxa" w:w="80"/>
              <w:left w:type="dxa" w:w="120"/>
              <w:bottom w:type="dxa" w:w="80"/>
              <w:right w:type="dxa" w:w="120"/>
            </w:tcMar>
          </w:tcPr>
          <w:p>
            <w:r>
              <w:rPr>
                <w:rFonts w:ascii="Arial" w:cs="Arial" w:eastAsia="Arial" w:hAnsi="Arial"/>
                <w:b/>
                <w:bCs/>
                <w:color w:val="2E5DA8"/>
                <w:sz w:val="19"/>
                <w:szCs w:val="19"/>
              </w:rPr>
              <w:t xml:space="preserve">func3</w:t>
            </w:r>
          </w:p>
        </w:tc>
        <w:tc>
          <w:tcPr>
            <w:tcW w:type="dxa" w:w="1200"/>
            <w:tcBorders>
              <w:top w:val="single" w:color="2E5DA8" w:sz="4"/>
              <w:left w:val="single" w:color="2E5DA8" w:sz="4"/>
              <w:bottom w:val="single" w:color="2E5DA8" w:sz="4"/>
              <w:right w:val="single" w:color="2E5DA8" w:sz="4"/>
            </w:tcBorders>
            <w:shd w:fill="EEF3FB" w:val="clear"/>
            <w:tcMar>
              <w:top w:type="dxa" w:w="80"/>
              <w:left w:type="dxa" w:w="120"/>
              <w:bottom w:type="dxa" w:w="80"/>
              <w:right w:type="dxa" w:w="120"/>
            </w:tcMar>
          </w:tcPr>
          <w:p>
            <w:r>
              <w:rPr>
                <w:rFonts w:ascii="Arial" w:cs="Arial" w:eastAsia="Arial" w:hAnsi="Arial"/>
                <w:b/>
                <w:bCs/>
                <w:color w:val="2E5DA8"/>
                <w:sz w:val="19"/>
                <w:szCs w:val="19"/>
              </w:rPr>
              <w:t xml:space="preserve">Mnemonic</w:t>
            </w:r>
          </w:p>
        </w:tc>
        <w:tc>
          <w:tcPr>
            <w:tcW w:type="dxa" w:w="2460"/>
            <w:tcBorders>
              <w:top w:val="single" w:color="2E5DA8" w:sz="4"/>
              <w:left w:val="single" w:color="2E5DA8" w:sz="4"/>
              <w:bottom w:val="single" w:color="2E5DA8" w:sz="4"/>
              <w:right w:val="single" w:color="2E5DA8" w:sz="4"/>
            </w:tcBorders>
            <w:shd w:fill="EEF3FB" w:val="clear"/>
            <w:tcMar>
              <w:top w:type="dxa" w:w="80"/>
              <w:left w:type="dxa" w:w="120"/>
              <w:bottom w:type="dxa" w:w="80"/>
              <w:right w:type="dxa" w:w="120"/>
            </w:tcMar>
          </w:tcPr>
          <w:p>
            <w:r>
              <w:rPr>
                <w:rFonts w:ascii="Arial" w:cs="Arial" w:eastAsia="Arial" w:hAnsi="Arial"/>
                <w:b/>
                <w:bCs/>
                <w:color w:val="2E5DA8"/>
                <w:sz w:val="19"/>
                <w:szCs w:val="19"/>
              </w:rPr>
              <w:t xml:space="preserve">Signals Asserted</w:t>
            </w:r>
          </w:p>
        </w:tc>
        <w:tc>
          <w:tcPr>
            <w:tcW w:type="dxa" w:w="4600"/>
            <w:tcBorders>
              <w:top w:val="single" w:color="2E5DA8" w:sz="4"/>
              <w:left w:val="single" w:color="2E5DA8" w:sz="4"/>
              <w:bottom w:val="single" w:color="2E5DA8" w:sz="4"/>
              <w:right w:val="single" w:color="2E5DA8" w:sz="4"/>
            </w:tcBorders>
            <w:shd w:fill="EEF3FB" w:val="clear"/>
            <w:tcMar>
              <w:top w:type="dxa" w:w="80"/>
              <w:left w:type="dxa" w:w="120"/>
              <w:bottom w:type="dxa" w:w="80"/>
              <w:right w:type="dxa" w:w="120"/>
            </w:tcMar>
          </w:tcPr>
          <w:p>
            <w:r>
              <w:rPr>
                <w:rFonts w:ascii="Arial" w:cs="Arial" w:eastAsia="Arial" w:hAnsi="Arial"/>
                <w:b/>
                <w:bCs/>
                <w:color w:val="2E5DA8"/>
                <w:sz w:val="19"/>
                <w:szCs w:val="19"/>
              </w:rPr>
              <w:t xml:space="preserve">Operation</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9"/>
                <w:szCs w:val="19"/>
              </w:rPr>
              <w:t xml:space="preserve">000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9"/>
                <w:szCs w:val="19"/>
              </w:rPr>
              <w:t xml:space="preserve">RKI</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write_en = 1</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Write reg[rs1] to memory at address imm12. Used to initialize x₀, y₀, h, τ, and x_end before starting the solver.</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9"/>
                <w:szCs w:val="19"/>
              </w:rPr>
              <w:t xml:space="preserve">110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9"/>
                <w:szCs w:val="19"/>
              </w:rPr>
              <w:t xml:space="preserve">RKF</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flush = 1</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Latch current x, y, h from memory into the datapath inputs.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9"/>
                <w:szCs w:val="19"/>
              </w:rPr>
              <w:t xml:space="preserve">100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9"/>
                <w:szCs w:val="19"/>
              </w:rPr>
              <w:t xml:space="preserve">RKU</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write_en = 1, init = 1</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Write solver outputs (xₙ₊₁, yₙ₊₁, h_new) back to memory.</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9"/>
                <w:szCs w:val="19"/>
              </w:rPr>
              <w:t xml:space="preserve">010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9"/>
                <w:szCs w:val="19"/>
              </w:rPr>
              <w:t xml:space="preserve">RKS</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(autonomous FSM)</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Start the autonomous adaptive solver loop. No further instructions needed until done asserts.</w:t>
            </w:r>
          </w:p>
        </w:tc>
      </w:tr>
    </w:tbl>
    <w:p>
      <w:pPr>
        <w:spacing w:after="100"/>
      </w:pPr>
    </w:p>
    <w:p>
      <w:pPr>
        <w:pBdr>
          <w:bottom w:val="single" w:color="2E5DA8" w:sz="4" w:space="2"/>
        </w:pBdr>
        <w:spacing w:after="100" w:before="280"/>
      </w:pPr>
      <w:r>
        <w:rPr>
          <w:rFonts w:ascii="Arial" w:cs="Arial" w:eastAsia="Arial" w:hAnsi="Arial"/>
          <w:b/>
          <w:bCs/>
          <w:color w:val="2E5DA8"/>
          <w:sz w:val="26"/>
          <w:szCs w:val="26"/>
        </w:rPr>
        <w:t xml:space="preserve">Simulation Results</w:t>
      </w:r>
    </w:p>
    <w:p>
      <w:pPr>
        <w:spacing w:after="140" w:line="276"/>
        <w:jc w:val="both"/>
      </w:pPr>
      <w:r>
        <w:rPr>
          <w:rFonts w:ascii="Calibri" w:cs="Calibri" w:eastAsia="Calibri" w:hAnsi="Calibri"/>
          <w:sz w:val="22"/>
          <w:szCs w:val="22"/>
        </w:rPr>
        <w:t xml:space="preserve">Functional verification was performed using RTL simulation in AMD Vivado to validate the correct execution and output of the design. A significant portion of the development effort went into debugging the FSM state transitions and verifying the Dormand-Prince coefficient encodings, since any single incorrect IEEE 754 constant produces a silently wrong result that only appears when comparing against a reference.</w:t>
      </w:r>
    </w:p>
    <w:p>
      <w:pPr>
        <w:spacing w:after="140" w:line="276"/>
        <w:jc w:val="both"/>
      </w:pPr>
      <w:r>
        <w:rPr>
          <w:rFonts w:ascii="Calibri" w:cs="Calibri" w:eastAsia="Calibri" w:hAnsi="Calibri"/>
          <w:sz w:val="22"/>
          <w:szCs w:val="22"/>
        </w:rPr>
        <w:t xml:space="preserve">We generated a test case using the stiff linear ODE y' = 50(x − y) + 1 with initial condition y(0) = 1, integrated from x = 0 to x = 3. This equation has a known analytical solution y(x) = x + exp(−50x), making it straightforward to compute the exact expected output. We ran the same problem in a Python reference model using SciPy’s ODE solver and compared the hardware output at each accepted step. Our implementation achieved a relative error no greater than 0.0012 compared to the expected final value from the software model, which is consistent with single-precision rounding over the integration interval (Figure 2).</w:t>
      </w:r>
    </w:p>
    <w:p>
      <w:pPr>
        <w:spacing w:after="140" w:line="276"/>
        <w:jc w:val="both"/>
      </w:pPr>
      <w:r>
        <w:rPr>
          <w:rFonts w:ascii="Calibri" w:cs="Calibri" w:eastAsia="Calibri" w:hAnsi="Calibri"/>
          <w:sz w:val="22"/>
          <w:szCs w:val="22"/>
        </w:rPr>
        <w:t xml:space="preserve">We also verified that the adaptive step controller behaves correctly across all three cases: rejecting steps near x = 0 where the fast transient exp(−50x) causes large errors at h = 0.1, accepting and growing steps once the solution becomes smooth for x &gt; 0.2, and correctly asserting done once x reaches 3.0. All 21 non-zero Dormand-Prince Butcher tableau coefficients were verified by decoding each IEEE 754 hex constant in the VHDL and comparing against the known rational fractions from the original paper [1]. All match to the nearest single-precision representable value. A summary of the key performance metrics is shown in Table 2.</w:t>
      </w:r>
    </w:p>
    <w:p>
      <w:pPr>
        <w:spacing w:after="60"/>
      </w:pPr>
    </w:p>
    <w:p>
      <w:pPr>
        <w:spacing w:after="80" w:before="40"/>
      </w:pPr>
      <w:r>
        <w:rPr>
          <w:rFonts w:ascii="Calibri" w:cs="Calibri" w:eastAsia="Calibri" w:hAnsi="Calibri"/>
          <w:i/>
          <w:iCs/>
          <w:color w:val="444444"/>
          <w:sz w:val="20"/>
          <w:szCs w:val="20"/>
        </w:rPr>
        <w:t xml:space="preserve">Table 2. Summary of key design specifications and simulation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DA8" w:sz="4"/>
              <w:left w:val="single" w:color="2E5DA8" w:sz="4"/>
              <w:bottom w:val="single" w:color="2E5DA8" w:sz="4"/>
              <w:right w:val="single" w:color="2E5DA8" w:sz="4"/>
            </w:tcBorders>
            <w:shd w:fill="EEF3FB" w:val="clear"/>
            <w:tcMar>
              <w:top w:type="dxa" w:w="80"/>
              <w:left w:type="dxa" w:w="120"/>
              <w:bottom w:type="dxa" w:w="80"/>
              <w:right w:type="dxa" w:w="120"/>
            </w:tcMar>
          </w:tcPr>
          <w:p>
            <w:r>
              <w:rPr>
                <w:rFonts w:ascii="Arial" w:cs="Arial" w:eastAsia="Arial" w:hAnsi="Arial"/>
                <w:b/>
                <w:bCs/>
                <w:color w:val="2E5DA8"/>
                <w:sz w:val="19"/>
                <w:szCs w:val="19"/>
              </w:rPr>
              <w:t xml:space="preserve">Metric</w:t>
            </w:r>
          </w:p>
        </w:tc>
        <w:tc>
          <w:tcPr>
            <w:tcW w:type="dxa" w:w="3120"/>
            <w:tcBorders>
              <w:top w:val="single" w:color="2E5DA8" w:sz="4"/>
              <w:left w:val="single" w:color="2E5DA8" w:sz="4"/>
              <w:bottom w:val="single" w:color="2E5DA8" w:sz="4"/>
              <w:right w:val="single" w:color="2E5DA8" w:sz="4"/>
            </w:tcBorders>
            <w:shd w:fill="EEF3FB" w:val="clear"/>
            <w:tcMar>
              <w:top w:type="dxa" w:w="80"/>
              <w:left w:type="dxa" w:w="120"/>
              <w:bottom w:type="dxa" w:w="80"/>
              <w:right w:type="dxa" w:w="120"/>
            </w:tcMar>
          </w:tcPr>
          <w:p>
            <w:r>
              <w:rPr>
                <w:rFonts w:ascii="Arial" w:cs="Arial" w:eastAsia="Arial" w:hAnsi="Arial"/>
                <w:b/>
                <w:bCs/>
                <w:color w:val="2E5DA8"/>
                <w:sz w:val="19"/>
                <w:szCs w:val="19"/>
              </w:rPr>
              <w:t xml:space="preserve">Value</w:t>
            </w:r>
          </w:p>
        </w:tc>
        <w:tc>
          <w:tcPr>
            <w:tcW w:type="dxa" w:w="3120"/>
            <w:tcBorders>
              <w:top w:val="single" w:color="2E5DA8" w:sz="4"/>
              <w:left w:val="single" w:color="2E5DA8" w:sz="4"/>
              <w:bottom w:val="single" w:color="2E5DA8" w:sz="4"/>
              <w:right w:val="single" w:color="2E5DA8" w:sz="4"/>
            </w:tcBorders>
            <w:shd w:fill="EEF3FB" w:val="clear"/>
            <w:tcMar>
              <w:top w:type="dxa" w:w="80"/>
              <w:left w:type="dxa" w:w="120"/>
              <w:bottom w:type="dxa" w:w="80"/>
              <w:right w:type="dxa" w:w="120"/>
            </w:tcMar>
          </w:tcPr>
          <w:p>
            <w:r>
              <w:rPr>
                <w:rFonts w:ascii="Arial" w:cs="Arial" w:eastAsia="Arial" w:hAnsi="Arial"/>
                <w:b/>
                <w:bCs/>
                <w:color w:val="2E5DA8"/>
                <w:sz w:val="19"/>
                <w:szCs w:val="19"/>
              </w:rPr>
              <w:t xml:space="preserve">Notes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Clock frequency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100 MHz</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Constrained via XDC; behavioral simulation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Per-step latency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5.14 μs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514 cycles at 10 ns/cycle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Est. total solve time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~257 μs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~50 iterations over x ∈ [0, 3]</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Relative output error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 0.0012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vs. Python analytical solution at x = 3.0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Tableau coeff. accuracy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21 / 21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All match to nearest SP float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Estimated DSP usage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~150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~3 DSPs per FMA core, ~50 FPU cores total</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Max iterations (watchdog)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4096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Hard limit before asserting done</w:t>
            </w:r>
          </w:p>
        </w:tc>
      </w:tr>
    </w:tbl>
    <w:p>
      <w:pPr>
        <w:spacing w:after="100"/>
      </w:pPr>
    </w:p>
    <w:p>
      <w:pPr>
        <w:pBdr>
          <w:bottom w:val="single" w:color="2E5DA8" w:sz="4" w:space="2"/>
        </w:pBdr>
        <w:spacing w:after="100" w:before="280"/>
      </w:pPr>
      <w:r>
        <w:rPr>
          <w:rFonts w:ascii="Arial" w:cs="Arial" w:eastAsia="Arial" w:hAnsi="Arial"/>
          <w:b/>
          <w:bCs/>
          <w:color w:val="2E5DA8"/>
          <w:sz w:val="26"/>
          <w:szCs w:val="26"/>
        </w:rPr>
        <w:t xml:space="preserve">Summary</w:t>
      </w:r>
    </w:p>
    <w:p>
      <w:pPr>
        <w:spacing w:after="140" w:line="276"/>
        <w:jc w:val="both"/>
      </w:pPr>
      <w:r>
        <w:rPr>
          <w:rFonts w:ascii="Calibri" w:cs="Calibri" w:eastAsia="Calibri" w:hAnsi="Calibri"/>
          <w:sz w:val="22"/>
          <w:szCs w:val="22"/>
        </w:rPr>
        <w:t xml:space="preserve">The design has been fully implemented in VHDL and functionally verified through behavioral simulation in Vivado. Since the design is entirely combinational and registered logic synthesized from RTL, functional correctness was confirmed at the register-transfer level through Vivado simulation. The design passed all behavioral checks and produced outputs matching the analytical reference within the expected single-precision error bound.</w:t>
      </w:r>
    </w:p>
    <w:p>
      <w:pPr>
        <w:spacing w:after="140" w:line="276"/>
        <w:jc w:val="both"/>
      </w:pPr>
      <w:r>
        <w:rPr>
          <w:rFonts w:ascii="Calibri" w:cs="Calibri" w:eastAsia="Calibri" w:hAnsi="Calibri"/>
          <w:sz w:val="22"/>
          <w:szCs w:val="22"/>
        </w:rPr>
        <w:t xml:space="preserve">Post-synthesis resource utilization (LUT, DSP, BRAM counts) and post-implementation timing (critical path, Fmax) were not completed at the time of submission, as the design was verified at the behavioral simulation level. The estimated DSP usage of approximately 150 based on the FPU core count fits within a mid-range FPGA device such as the Artix-7 xc7a100t. Full synthesis and place-and-route would be the natural next step to confirm timing closure at 100 MHz and obtain a definitive resource count. The design was developed entirely from scratch based on the Dormand-Prince method [1, 2], resulting in a fully digital implementation that demonstrates the latency advantages of accelerating adaptive ODE integration in dedicated hardware.</w:t>
      </w:r>
    </w:p>
    <w:p>
      <w:pPr>
        <w:spacing w:after="40"/>
      </w:pPr>
    </w:p>
    <w:p>
      <w:pPr>
        <w:pBdr>
          <w:bottom w:val="single" w:color="2E5DA8" w:sz="4" w:space="2"/>
        </w:pBdr>
        <w:spacing w:after="100" w:before="280"/>
      </w:pPr>
      <w:r>
        <w:rPr>
          <w:rFonts w:ascii="Arial" w:cs="Arial" w:eastAsia="Arial" w:hAnsi="Arial"/>
          <w:b/>
          <w:bCs/>
          <w:color w:val="2E5DA8"/>
          <w:sz w:val="26"/>
          <w:szCs w:val="26"/>
        </w:rPr>
        <w:t xml:space="preserve">Future Work</w:t>
      </w:r>
    </w:p>
    <w:p>
      <w:pPr>
        <w:spacing w:after="140" w:line="276"/>
        <w:jc w:val="both"/>
      </w:pPr>
      <w:r>
        <w:rPr>
          <w:rFonts w:ascii="Calibri" w:cs="Calibri" w:eastAsia="Calibri" w:hAnsi="Calibri"/>
          <w:sz w:val="22"/>
          <w:szCs w:val="22"/>
        </w:rPr>
        <w:t xml:space="preserve">The most impactful near-term improvement would be replacing the fixed 512-cycle compute wait with a tvalid signal propagated through the FPU pipeline chain, exiting S_COMPUTE as soon as the last stage produces a valid output. Based on the estimated 50–80 cycle actual depth of the datapath, this would reduce per-step latency from 514 to roughly 80 cycles—a 6.4× improvement with no architectural changes. Upgrading to double-precision arithmetic would extend accuracy to approximately 15 significant digits at roughly triple the DSP cost per FPU core. Replacing the hard-coded ODE function with a small configurable microcode sequencer would generalize the accelerator to arbitrary scalar differential equations, and extending to vector ODEs would support multi-state systems such as digital twin models or reduced-order physical simulations.</w:t>
      </w:r>
    </w:p>
    <w:p>
      <w:pPr>
        <w:spacing w:after="40"/>
      </w:pPr>
    </w:p>
    <w:p>
      <w:pPr>
        <w:pBdr>
          <w:bottom w:val="single" w:color="2E5DA8" w:sz="4" w:space="2"/>
        </w:pBdr>
        <w:spacing w:after="100" w:before="280"/>
      </w:pPr>
      <w:r>
        <w:rPr>
          <w:rFonts w:ascii="Arial" w:cs="Arial" w:eastAsia="Arial" w:hAnsi="Arial"/>
          <w:b/>
          <w:bCs/>
          <w:color w:val="2E5DA8"/>
          <w:sz w:val="26"/>
          <w:szCs w:val="26"/>
        </w:rPr>
        <w:t xml:space="preserve">References</w:t>
      </w:r>
    </w:p>
    <w:p>
      <w:pPr>
        <w:spacing w:after="80"/>
        <w:ind w:left="400" w:hanging="400"/>
      </w:pPr>
      <w:r>
        <w:rPr>
          <w:rFonts w:ascii="Calibri" w:cs="Calibri" w:eastAsia="Calibri" w:hAnsi="Calibri"/>
          <w:b/>
          <w:bCs/>
          <w:sz w:val="20"/>
          <w:szCs w:val="20"/>
        </w:rPr>
        <w:t xml:space="preserve">[1]  </w:t>
      </w:r>
      <w:r>
        <w:rPr>
          <w:rFonts w:ascii="Calibri" w:cs="Calibri" w:eastAsia="Calibri" w:hAnsi="Calibri"/>
          <w:sz w:val="20"/>
          <w:szCs w:val="20"/>
        </w:rPr>
        <w:t xml:space="preserve">J. R. Dormand and P. J. Prince, "A family of embedded Runge-Kutta formulae," Journal of Computational and Applied Mathematics, vol. 6, no. 1, pp. 19-26, 1980.</w:t>
      </w:r>
    </w:p>
    <w:p>
      <w:pPr>
        <w:spacing w:after="80"/>
        <w:ind w:left="400" w:hanging="400"/>
      </w:pPr>
      <w:r>
        <w:rPr>
          <w:rFonts w:ascii="Calibri" w:cs="Calibri" w:eastAsia="Calibri" w:hAnsi="Calibri"/>
          <w:b/>
          <w:bCs/>
          <w:sz w:val="20"/>
          <w:szCs w:val="20"/>
        </w:rPr>
        <w:t xml:space="preserve">[2]  </w:t>
      </w:r>
      <w:r>
        <w:rPr>
          <w:rFonts w:ascii="Calibri" w:cs="Calibri" w:eastAsia="Calibri" w:hAnsi="Calibri"/>
          <w:sz w:val="20"/>
          <w:szCs w:val="20"/>
        </w:rPr>
        <w:t xml:space="preserve">E. Hairer, S. P. Norsett, and G. Wanner, Solving Ordinary Differential Equations I: Nonstiff Problems, 2nd ed., Springer-Verlag, 1993.</w:t>
      </w:r>
    </w:p>
    <w:p>
      <w:pPr>
        <w:spacing w:after="80"/>
        <w:ind w:left="400" w:hanging="400"/>
      </w:pPr>
      <w:r>
        <w:rPr>
          <w:rFonts w:ascii="Calibri" w:cs="Calibri" w:eastAsia="Calibri" w:hAnsi="Calibri"/>
          <w:b/>
          <w:bCs/>
          <w:sz w:val="20"/>
          <w:szCs w:val="20"/>
        </w:rPr>
        <w:t xml:space="preserve">[3]  </w:t>
      </w:r>
      <w:r>
        <w:rPr>
          <w:rFonts w:ascii="Calibri" w:cs="Calibri" w:eastAsia="Calibri" w:hAnsi="Calibri"/>
          <w:sz w:val="20"/>
          <w:szCs w:val="20"/>
        </w:rPr>
        <w:t xml:space="preserve">L. F. Shampine and M. W. Reichelt, "The MATLAB ODE suite," SIAM Journal on Scientific Computing, vol. 18, no. 1, pp. 1-22, 1997.</w:t>
      </w:r>
    </w:p>
    <w:p>
      <w:pPr>
        <w:spacing w:after="80"/>
        <w:ind w:left="400" w:hanging="400"/>
      </w:pPr>
      <w:r>
        <w:rPr>
          <w:rFonts w:ascii="Calibri" w:cs="Calibri" w:eastAsia="Calibri" w:hAnsi="Calibri"/>
          <w:b/>
          <w:bCs/>
          <w:sz w:val="20"/>
          <w:szCs w:val="20"/>
        </w:rPr>
        <w:t xml:space="preserve">[4]  </w:t>
      </w:r>
      <w:r>
        <w:rPr>
          <w:rFonts w:ascii="Calibri" w:cs="Calibri" w:eastAsia="Calibri" w:hAnsi="Calibri"/>
          <w:sz w:val="20"/>
          <w:szCs w:val="20"/>
        </w:rPr>
        <w:t xml:space="preserve">E. Fehlberg, "Low-order classical Runge-Kutta formulas with step-size control," NASA Technical Report R-315, 1969.</w:t>
      </w:r>
    </w:p>
    <w:p>
      <w:pPr>
        <w:spacing w:after="80"/>
        <w:ind w:left="400" w:hanging="400"/>
      </w:pPr>
      <w:r>
        <w:rPr>
          <w:rFonts w:ascii="Calibri" w:cs="Calibri" w:eastAsia="Calibri" w:hAnsi="Calibri"/>
          <w:b/>
          <w:bCs/>
          <w:sz w:val="20"/>
          <w:szCs w:val="20"/>
        </w:rPr>
        <w:t xml:space="preserve">[5]  </w:t>
      </w:r>
      <w:r>
        <w:rPr>
          <w:rFonts w:ascii="Calibri" w:cs="Calibri" w:eastAsia="Calibri" w:hAnsi="Calibri"/>
          <w:sz w:val="20"/>
          <w:szCs w:val="20"/>
        </w:rPr>
        <w:t xml:space="preserve">K. Underwood, "FPGAs vs. CPUs: Trends in peak floating-point performance," in Proc. ACM/SIGDA FPGA, 2004, pp. 171-180.</w:t>
      </w:r>
    </w:p>
    <w:p>
      <w:pPr>
        <w:spacing w:after="80"/>
        <w:ind w:left="400" w:hanging="400"/>
      </w:pPr>
      <w:r>
        <w:rPr>
          <w:rFonts w:ascii="Calibri" w:cs="Calibri" w:eastAsia="Calibri" w:hAnsi="Calibri"/>
          <w:b/>
          <w:bCs/>
          <w:sz w:val="20"/>
          <w:szCs w:val="20"/>
        </w:rPr>
        <w:t xml:space="preserve">[6]  </w:t>
      </w:r>
      <w:r>
        <w:rPr>
          <w:rFonts w:ascii="Calibri" w:cs="Calibri" w:eastAsia="Calibri" w:hAnsi="Calibri"/>
          <w:sz w:val="20"/>
          <w:szCs w:val="20"/>
        </w:rPr>
        <w:t xml:space="preserve">N. Shirazi, A. Walters, and P. Athanas, "Quantitative analysis of floating point arithmetic on FPGA-based custom computing machines," in Proc. IEEE FCCM, 1995, pp. 155-162.</w:t>
      </w:r>
    </w:p>
    <w:p>
      <w:pPr>
        <w:spacing w:after="80"/>
        <w:ind w:left="400" w:hanging="400"/>
      </w:pPr>
      <w:r>
        <w:rPr>
          <w:rFonts w:ascii="Calibri" w:cs="Calibri" w:eastAsia="Calibri" w:hAnsi="Calibri"/>
          <w:b/>
          <w:bCs/>
          <w:sz w:val="20"/>
          <w:szCs w:val="20"/>
        </w:rPr>
        <w:t xml:space="preserve">[7]  </w:t>
      </w:r>
      <w:r>
        <w:rPr>
          <w:rFonts w:ascii="Calibri" w:cs="Calibri" w:eastAsia="Calibri" w:hAnsi="Calibri"/>
          <w:sz w:val="20"/>
          <w:szCs w:val="20"/>
        </w:rPr>
        <w:t xml:space="preserve">AMD/Xilinx, Floating-Point Operator v7.1 Product Guide (PG060), 2021.</w:t>
      </w:r>
    </w:p>
    <w:p>
      <w:pPr>
        <w:spacing w:after="80"/>
        <w:ind w:left="400" w:hanging="400"/>
      </w:pPr>
      <w:r>
        <w:rPr>
          <w:rFonts w:ascii="Calibri" w:cs="Calibri" w:eastAsia="Calibri" w:hAnsi="Calibri"/>
          <w:b/>
          <w:bCs/>
          <w:sz w:val="20"/>
          <w:szCs w:val="20"/>
        </w:rPr>
        <w:t xml:space="preserve">[8]  </w:t>
      </w:r>
      <w:r>
        <w:rPr>
          <w:rFonts w:ascii="Calibri" w:cs="Calibri" w:eastAsia="Calibri" w:hAnsi="Calibri"/>
          <w:sz w:val="20"/>
          <w:szCs w:val="20"/>
        </w:rPr>
        <w:t xml:space="preserve">A. Waterman et al., "The RISC-V instruction set manual, volume I," Tech. Rep. UCB/EECS-2014-54, UC Berkeley, 2014.</w:t>
      </w:r>
    </w:p>
    <w:p>
      <w:pPr>
        <w:spacing w:after="80"/>
        <w:ind w:left="400" w:hanging="400"/>
      </w:pPr>
      <w:r>
        <w:rPr>
          <w:rFonts w:ascii="Calibri" w:cs="Calibri" w:eastAsia="Calibri" w:hAnsi="Calibri"/>
          <w:b/>
          <w:bCs/>
          <w:sz w:val="20"/>
          <w:szCs w:val="20"/>
        </w:rPr>
        <w:t xml:space="preserve">[9]  </w:t>
      </w:r>
      <w:r>
        <w:rPr>
          <w:rFonts w:ascii="Calibri" w:cs="Calibri" w:eastAsia="Calibri" w:hAnsi="Calibri"/>
          <w:sz w:val="20"/>
          <w:szCs w:val="20"/>
        </w:rPr>
        <w:t xml:space="preserve">W. H. Press et al., Numerical Recipes: The Art of Scientific Computing, 3rd ed., Cambridge University Press, 2007.</w:t>
      </w:r>
    </w:p>
    <w:p>
      <w:pPr>
        <w:spacing w:after="80"/>
        <w:ind w:left="400" w:hanging="400"/>
      </w:pPr>
      <w:r>
        <w:rPr>
          <w:rFonts w:ascii="Calibri" w:cs="Calibri" w:eastAsia="Calibri" w:hAnsi="Calibri"/>
          <w:b/>
          <w:bCs/>
          <w:sz w:val="20"/>
          <w:szCs w:val="20"/>
        </w:rPr>
        <w:t xml:space="preserve">[10]  </w:t>
      </w:r>
      <w:r>
        <w:rPr>
          <w:rFonts w:ascii="Calibri" w:cs="Calibri" w:eastAsia="Calibri" w:hAnsi="Calibri"/>
          <w:sz w:val="20"/>
          <w:szCs w:val="20"/>
        </w:rPr>
        <w:t xml:space="preserve">F. de Dinechin and B. Pasca, "Designing custom arithmetic data paths with FloPoCo," IEEE Design &amp; Test, vol. 28, no. 4, pp. 18-27, 2011.</w:t>
      </w:r>
    </w:p>
    <w:p>
      <w:pPr>
        <w:spacing w:after="60"/>
      </w:pPr>
    </w:p>
    <w:p>
      <w:pPr>
        <w:pBdr>
          <w:bottom w:val="single" w:color="AABCD4" w:sz="4" w:space="1"/>
        </w:pBdr>
        <w:spacing w:after="100"/>
      </w:pPr>
    </w:p>
    <w:p>
      <w:pPr>
        <w:pBdr>
          <w:bottom w:val="single" w:color="2E5DA8" w:sz="4" w:space="2"/>
        </w:pBdr>
        <w:spacing w:after="100" w:before="280"/>
      </w:pPr>
      <w:r>
        <w:rPr>
          <w:rFonts w:ascii="Arial" w:cs="Arial" w:eastAsia="Arial" w:hAnsi="Arial"/>
          <w:b/>
          <w:bCs/>
          <w:color w:val="2E5DA8"/>
          <w:sz w:val="26"/>
          <w:szCs w:val="26"/>
        </w:rPr>
        <w:t xml:space="preserve">Appendix: Block Diagrams and Schematics</w:t>
      </w:r>
    </w:p>
    <w:p>
      <w:pPr>
        <w:spacing w:after="140" w:line="276"/>
        <w:jc w:val="both"/>
      </w:pPr>
      <w:r>
        <w:rPr>
          <w:rFonts w:ascii="Calibri" w:cs="Calibri" w:eastAsia="Calibri" w:hAnsi="Calibri"/>
          <w:sz w:val="22"/>
          <w:szCs w:val="22"/>
        </w:rPr>
        <w:t xml:space="preserve">Figure 1. Top-level block diagram showing the FPU datapath, adaptive FSM, and memory, with flush and write-back control paths.</w:t>
      </w:r>
    </w:p>
    <w:p>
      <w:pPr>
        <w:spacing w:after="140" w:line="276"/>
        <w:jc w:val="both"/>
      </w:pPr>
      <w:r>
        <w:rPr>
          <w:rFonts w:ascii="Calibri" w:cs="Calibri" w:eastAsia="Calibri" w:hAnsi="Calibri"/>
          <w:sz w:val="22"/>
          <w:szCs w:val="22"/>
        </w:rPr>
        <w:t xml:space="preserve">Figure 2. Simulation output: y_out at each accepted step vs. analytical solution y(x) = x + exp(-50x) over x ∈ [0, 3], showing relative error ≤ 0.0012.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CD4" w:sz="4" w:space="2"/>
      </w:pBdr>
    </w:pPr>
    <w:r>
      <w:rPr>
        <w:rFonts w:ascii="Arial" w:cs="Arial" w:eastAsia="Arial" w:hAnsi="Arial"/>
        <w:color w:val="888888"/>
        <w:sz w:val="16"/>
        <w:szCs w:val="16"/>
      </w:rPr>
      <w:t xml:space="preserve">ECE1755 — Hardware-Accelerated Adaptive ODE Solving: Dormand-Prince RK45 on FPGA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2026-04-23T06:08:29.112Z</dcterms:created>
  <dcterms:modified xsi:type="dcterms:W3CDTF">2026-04-23T06:08:29.112Z</dcterms:modified>
</cp:coreProperties>
</file>

<file path=docProps/custom.xml><?xml version="1.0" encoding="utf-8"?>
<Properties xmlns="http://schemas.openxmlformats.org/officeDocument/2006/custom-properties" xmlns:vt="http://schemas.openxmlformats.org/officeDocument/2006/docPropsVTypes"/>
</file>