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6EB69" w14:textId="77777777" w:rsidR="00295ED0" w:rsidRPr="00EE520E" w:rsidRDefault="004F190E" w:rsidP="000B7365">
      <w:pPr>
        <w:rPr>
          <w:rFonts w:ascii="Arial" w:hAnsi="Arial" w:cs="Arial"/>
          <w:b/>
          <w:sz w:val="16"/>
          <w:szCs w:val="16"/>
        </w:rPr>
      </w:pPr>
      <w:r w:rsidRPr="00EE520E">
        <w:rPr>
          <w:rFonts w:ascii="Arial" w:hAnsi="Arial" w:cs="Arial"/>
          <w:b/>
          <w:sz w:val="16"/>
          <w:szCs w:val="16"/>
        </w:rPr>
        <w:t>N</w:t>
      </w:r>
      <w:r w:rsidR="00C94184" w:rsidRPr="00EE520E">
        <w:rPr>
          <w:rFonts w:ascii="Arial" w:hAnsi="Arial" w:cs="Arial"/>
          <w:b/>
          <w:sz w:val="16"/>
          <w:szCs w:val="16"/>
        </w:rPr>
        <w:t>OTE</w:t>
      </w:r>
      <w:r w:rsidRPr="00EE520E">
        <w:rPr>
          <w:rFonts w:ascii="Arial" w:hAnsi="Arial" w:cs="Arial"/>
          <w:b/>
          <w:sz w:val="16"/>
          <w:szCs w:val="16"/>
        </w:rPr>
        <w:t xml:space="preserve"> 1: Summary of Significant Accounting Policies</w:t>
      </w:r>
    </w:p>
    <w:p w14:paraId="5791DDC1" w14:textId="77777777" w:rsidR="008E1D50" w:rsidRPr="00EE520E" w:rsidRDefault="008E1D50" w:rsidP="009F495C">
      <w:pPr>
        <w:numPr>
          <w:ilvl w:val="1"/>
          <w:numId w:val="1"/>
        </w:numPr>
        <w:tabs>
          <w:tab w:val="clear" w:pos="660"/>
          <w:tab w:val="num" w:pos="0"/>
          <w:tab w:val="num" w:pos="540"/>
        </w:tabs>
        <w:spacing w:before="200" w:after="200"/>
        <w:ind w:left="539" w:hanging="539"/>
        <w:rPr>
          <w:rFonts w:ascii="Arial" w:hAnsi="Arial" w:cs="Arial"/>
          <w:b/>
          <w:sz w:val="16"/>
          <w:szCs w:val="16"/>
        </w:rPr>
      </w:pPr>
      <w:r w:rsidRPr="00EE520E">
        <w:rPr>
          <w:rFonts w:ascii="Arial" w:hAnsi="Arial" w:cs="Arial"/>
          <w:b/>
          <w:sz w:val="16"/>
          <w:szCs w:val="16"/>
        </w:rPr>
        <w:t xml:space="preserve">Objectives of the Department </w:t>
      </w:r>
      <w:r w:rsidR="005032E7">
        <w:rPr>
          <w:rFonts w:ascii="Arial" w:hAnsi="Arial" w:cs="Arial"/>
          <w:b/>
          <w:sz w:val="16"/>
          <w:szCs w:val="16"/>
        </w:rPr>
        <w:t xml:space="preserve">of </w:t>
      </w:r>
      <w:r w:rsidRPr="00EE520E">
        <w:rPr>
          <w:rFonts w:ascii="Arial" w:hAnsi="Arial" w:cs="Arial"/>
          <w:b/>
          <w:sz w:val="16"/>
          <w:szCs w:val="16"/>
        </w:rPr>
        <w:t xml:space="preserve">Communications </w:t>
      </w:r>
    </w:p>
    <w:p w14:paraId="11F52150" w14:textId="77777777" w:rsidR="008E1D50" w:rsidRPr="00EE520E" w:rsidRDefault="008E1D50" w:rsidP="005D7862">
      <w:pPr>
        <w:spacing w:before="160" w:after="160"/>
        <w:jc w:val="both"/>
        <w:rPr>
          <w:rFonts w:ascii="Arial" w:hAnsi="Arial" w:cs="Arial"/>
          <w:sz w:val="16"/>
          <w:szCs w:val="16"/>
        </w:rPr>
      </w:pPr>
      <w:r w:rsidRPr="00EE520E">
        <w:rPr>
          <w:rFonts w:ascii="Arial" w:hAnsi="Arial" w:cs="Arial"/>
          <w:sz w:val="16"/>
          <w:szCs w:val="16"/>
        </w:rPr>
        <w:t>The Department of Communications</w:t>
      </w:r>
      <w:r w:rsidR="004321A7" w:rsidRPr="00EE520E">
        <w:rPr>
          <w:rFonts w:ascii="Arial" w:hAnsi="Arial" w:cs="Arial"/>
          <w:sz w:val="16"/>
          <w:szCs w:val="16"/>
        </w:rPr>
        <w:t xml:space="preserve"> (the Department)</w:t>
      </w:r>
      <w:r w:rsidRPr="00EE520E">
        <w:rPr>
          <w:rFonts w:ascii="Arial" w:hAnsi="Arial" w:cs="Arial"/>
          <w:sz w:val="16"/>
          <w:szCs w:val="16"/>
        </w:rPr>
        <w:t xml:space="preserve"> is a </w:t>
      </w:r>
      <w:r w:rsidR="00A0408C" w:rsidRPr="00EE520E">
        <w:rPr>
          <w:rFonts w:ascii="Arial" w:hAnsi="Arial" w:cs="Arial"/>
          <w:sz w:val="16"/>
          <w:szCs w:val="16"/>
        </w:rPr>
        <w:t>Government</w:t>
      </w:r>
      <w:r w:rsidR="004E08E1" w:rsidRPr="00EE520E">
        <w:rPr>
          <w:rFonts w:ascii="Arial" w:hAnsi="Arial" w:cs="Arial"/>
          <w:sz w:val="16"/>
          <w:szCs w:val="16"/>
        </w:rPr>
        <w:t xml:space="preserve"> controlled entity</w:t>
      </w:r>
      <w:r w:rsidR="0023364A" w:rsidRPr="00EE520E">
        <w:rPr>
          <w:rFonts w:ascii="Arial" w:hAnsi="Arial" w:cs="Arial"/>
          <w:sz w:val="16"/>
          <w:szCs w:val="16"/>
        </w:rPr>
        <w:t>.</w:t>
      </w:r>
      <w:r w:rsidR="00823DD8" w:rsidRPr="00EE520E">
        <w:rPr>
          <w:rFonts w:ascii="Arial" w:hAnsi="Arial" w:cs="Arial"/>
          <w:sz w:val="16"/>
          <w:szCs w:val="16"/>
        </w:rPr>
        <w:t xml:space="preserve"> It is a not-for-profit entity.</w:t>
      </w:r>
      <w:r w:rsidR="0023364A" w:rsidRPr="00EE520E">
        <w:rPr>
          <w:rFonts w:ascii="Arial" w:hAnsi="Arial" w:cs="Arial"/>
          <w:sz w:val="16"/>
          <w:szCs w:val="16"/>
        </w:rPr>
        <w:t xml:space="preserve"> </w:t>
      </w:r>
      <w:r w:rsidRPr="00EE520E">
        <w:rPr>
          <w:rFonts w:ascii="Arial" w:hAnsi="Arial" w:cs="Arial"/>
          <w:sz w:val="16"/>
          <w:szCs w:val="16"/>
        </w:rPr>
        <w:t xml:space="preserve">The objective of the Department is to </w:t>
      </w:r>
      <w:r w:rsidR="005032E7">
        <w:rPr>
          <w:rFonts w:ascii="Arial" w:hAnsi="Arial" w:cs="Arial"/>
          <w:sz w:val="16"/>
          <w:szCs w:val="16"/>
        </w:rPr>
        <w:t>promote an innovative and competitive communications sector, through policy development, advice and program delivery, so all Australians can realise the full potential of digital technologies and communications services</w:t>
      </w:r>
      <w:r w:rsidR="00651E77" w:rsidRPr="00EE520E">
        <w:rPr>
          <w:rFonts w:ascii="Arial" w:hAnsi="Arial" w:cs="Arial"/>
          <w:sz w:val="16"/>
          <w:szCs w:val="16"/>
        </w:rPr>
        <w:t>.</w:t>
      </w:r>
    </w:p>
    <w:p w14:paraId="040BB8A2" w14:textId="77777777" w:rsidR="00865BBB" w:rsidRPr="00EE520E" w:rsidRDefault="008E1D50" w:rsidP="005D7862">
      <w:pPr>
        <w:spacing w:before="160" w:after="160"/>
        <w:jc w:val="both"/>
        <w:rPr>
          <w:rFonts w:ascii="Arial" w:hAnsi="Arial" w:cs="Arial"/>
          <w:sz w:val="16"/>
          <w:szCs w:val="16"/>
        </w:rPr>
      </w:pPr>
      <w:r w:rsidRPr="00EE520E">
        <w:rPr>
          <w:rFonts w:ascii="Arial" w:hAnsi="Arial" w:cs="Arial"/>
          <w:sz w:val="16"/>
          <w:szCs w:val="16"/>
        </w:rPr>
        <w:t xml:space="preserve">The </w:t>
      </w:r>
      <w:r w:rsidR="00512762" w:rsidRPr="00EE520E">
        <w:rPr>
          <w:rFonts w:ascii="Arial" w:hAnsi="Arial" w:cs="Arial"/>
          <w:sz w:val="16"/>
          <w:szCs w:val="16"/>
        </w:rPr>
        <w:t>Department</w:t>
      </w:r>
      <w:r w:rsidRPr="00EE520E">
        <w:rPr>
          <w:rFonts w:ascii="Arial" w:hAnsi="Arial" w:cs="Arial"/>
          <w:sz w:val="16"/>
          <w:szCs w:val="16"/>
        </w:rPr>
        <w:t xml:space="preserve"> is structured to meet </w:t>
      </w:r>
      <w:r w:rsidR="005032E7">
        <w:rPr>
          <w:rFonts w:ascii="Arial" w:hAnsi="Arial" w:cs="Arial"/>
          <w:sz w:val="16"/>
          <w:szCs w:val="16"/>
        </w:rPr>
        <w:t>one</w:t>
      </w:r>
      <w:r w:rsidRPr="00EE520E">
        <w:rPr>
          <w:rFonts w:ascii="Arial" w:hAnsi="Arial" w:cs="Arial"/>
          <w:sz w:val="16"/>
          <w:szCs w:val="16"/>
        </w:rPr>
        <w:t xml:space="preserve"> outcome:</w:t>
      </w:r>
    </w:p>
    <w:p w14:paraId="50B6C5AA" w14:textId="77777777" w:rsidR="00DF2E4A" w:rsidRPr="00D03426" w:rsidRDefault="008E1D50" w:rsidP="00F71214">
      <w:pPr>
        <w:spacing w:before="200" w:after="200"/>
        <w:ind w:left="362"/>
        <w:rPr>
          <w:rFonts w:ascii="Arial" w:hAnsi="Arial" w:cs="Arial"/>
          <w:b/>
          <w:sz w:val="16"/>
          <w:szCs w:val="16"/>
        </w:rPr>
      </w:pPr>
      <w:r w:rsidRPr="00EE520E">
        <w:rPr>
          <w:rFonts w:ascii="Arial" w:hAnsi="Arial" w:cs="Arial"/>
          <w:b/>
          <w:sz w:val="16"/>
          <w:szCs w:val="16"/>
        </w:rPr>
        <w:t xml:space="preserve">Outcome 1: </w:t>
      </w:r>
      <w:r w:rsidR="00EE520E" w:rsidRPr="00EE520E">
        <w:rPr>
          <w:rFonts w:ascii="Arial" w:hAnsi="Arial" w:cs="Arial"/>
          <w:b/>
          <w:sz w:val="16"/>
          <w:szCs w:val="16"/>
        </w:rPr>
        <w:t xml:space="preserve">Promote an innovative and competitive communications sector, through policy development, advice and </w:t>
      </w:r>
      <w:r w:rsidR="00EE520E" w:rsidRPr="00D03426">
        <w:rPr>
          <w:rFonts w:ascii="Arial" w:hAnsi="Arial" w:cs="Arial"/>
          <w:b/>
          <w:sz w:val="16"/>
          <w:szCs w:val="16"/>
        </w:rPr>
        <w:t>program delivery, so all Australians can realise the full potential of digital technologies and communications services</w:t>
      </w:r>
      <w:r w:rsidR="00865BBB" w:rsidRPr="00D03426">
        <w:rPr>
          <w:rFonts w:ascii="Arial" w:hAnsi="Arial" w:cs="Arial"/>
          <w:b/>
          <w:sz w:val="16"/>
          <w:szCs w:val="16"/>
        </w:rPr>
        <w:t xml:space="preserve"> </w:t>
      </w:r>
    </w:p>
    <w:p w14:paraId="0EC9E80C" w14:textId="210C15F4" w:rsidR="005406FC" w:rsidRPr="00964CA0" w:rsidRDefault="00D43E1B" w:rsidP="00964CA0">
      <w:pPr>
        <w:spacing w:before="160" w:after="160"/>
        <w:jc w:val="both"/>
        <w:rPr>
          <w:rFonts w:ascii="Arial" w:hAnsi="Arial" w:cs="Arial"/>
          <w:color w:val="000000"/>
          <w:sz w:val="16"/>
          <w:szCs w:val="16"/>
        </w:rPr>
      </w:pPr>
      <w:r w:rsidRPr="00D03426">
        <w:rPr>
          <w:rFonts w:ascii="Arial" w:hAnsi="Arial" w:cs="Arial"/>
          <w:sz w:val="16"/>
          <w:szCs w:val="16"/>
        </w:rPr>
        <w:t>The continued existence of the Department in its present form and with its present programs is dependent on Government policy and on continuing funding by Parliament for the Department’s administration and programs</w:t>
      </w:r>
      <w:r w:rsidR="00A92C64">
        <w:rPr>
          <w:rFonts w:ascii="Arial" w:hAnsi="Arial" w:cs="Arial"/>
          <w:sz w:val="16"/>
          <w:szCs w:val="16"/>
        </w:rPr>
        <w:t>. I</w:t>
      </w:r>
      <w:r w:rsidR="005406FC" w:rsidRPr="005406FC">
        <w:rPr>
          <w:rFonts w:ascii="Arial" w:hAnsi="Arial" w:cs="Arial"/>
          <w:color w:val="000000"/>
          <w:sz w:val="16"/>
          <w:szCs w:val="16"/>
        </w:rPr>
        <w:t xml:space="preserve">n the 2014-15 Budget, the Government announced the decision to transfer the functions of </w:t>
      </w:r>
      <w:r w:rsidR="005406FC">
        <w:rPr>
          <w:rFonts w:ascii="Arial" w:hAnsi="Arial" w:cs="Arial"/>
          <w:color w:val="000000"/>
          <w:sz w:val="16"/>
          <w:szCs w:val="16"/>
        </w:rPr>
        <w:t xml:space="preserve">the </w:t>
      </w:r>
      <w:r w:rsidR="005406FC" w:rsidRPr="005406FC">
        <w:rPr>
          <w:rFonts w:ascii="Arial" w:hAnsi="Arial" w:cs="Arial"/>
          <w:color w:val="000000"/>
          <w:sz w:val="16"/>
          <w:szCs w:val="16"/>
        </w:rPr>
        <w:t>T</w:t>
      </w:r>
      <w:r w:rsidR="005406FC">
        <w:rPr>
          <w:rFonts w:ascii="Arial" w:hAnsi="Arial" w:cs="Arial"/>
          <w:color w:val="000000"/>
          <w:sz w:val="16"/>
          <w:szCs w:val="16"/>
        </w:rPr>
        <w:t xml:space="preserve">elecommunications </w:t>
      </w:r>
      <w:r w:rsidR="005406FC" w:rsidRPr="005406FC">
        <w:rPr>
          <w:rFonts w:ascii="Arial" w:hAnsi="Arial" w:cs="Arial"/>
          <w:color w:val="000000"/>
          <w:sz w:val="16"/>
          <w:szCs w:val="16"/>
        </w:rPr>
        <w:t>U</w:t>
      </w:r>
      <w:r w:rsidR="005406FC">
        <w:rPr>
          <w:rFonts w:ascii="Arial" w:hAnsi="Arial" w:cs="Arial"/>
          <w:color w:val="000000"/>
          <w:sz w:val="16"/>
          <w:szCs w:val="16"/>
        </w:rPr>
        <w:t xml:space="preserve">niversal </w:t>
      </w:r>
      <w:r w:rsidR="005406FC" w:rsidRPr="005406FC">
        <w:rPr>
          <w:rFonts w:ascii="Arial" w:hAnsi="Arial" w:cs="Arial"/>
          <w:color w:val="000000"/>
          <w:sz w:val="16"/>
          <w:szCs w:val="16"/>
        </w:rPr>
        <w:t>S</w:t>
      </w:r>
      <w:r w:rsidR="005406FC">
        <w:rPr>
          <w:rFonts w:ascii="Arial" w:hAnsi="Arial" w:cs="Arial"/>
          <w:color w:val="000000"/>
          <w:sz w:val="16"/>
          <w:szCs w:val="16"/>
        </w:rPr>
        <w:t xml:space="preserve">ervice </w:t>
      </w:r>
      <w:r w:rsidR="005406FC" w:rsidRPr="005406FC">
        <w:rPr>
          <w:rFonts w:ascii="Arial" w:hAnsi="Arial" w:cs="Arial"/>
          <w:color w:val="000000"/>
          <w:sz w:val="16"/>
          <w:szCs w:val="16"/>
        </w:rPr>
        <w:t>M</w:t>
      </w:r>
      <w:r w:rsidR="005406FC">
        <w:rPr>
          <w:rFonts w:ascii="Arial" w:hAnsi="Arial" w:cs="Arial"/>
          <w:color w:val="000000"/>
          <w:sz w:val="16"/>
          <w:szCs w:val="16"/>
        </w:rPr>
        <w:t xml:space="preserve">anagement </w:t>
      </w:r>
      <w:r w:rsidR="005406FC" w:rsidRPr="005406FC">
        <w:rPr>
          <w:rFonts w:ascii="Arial" w:hAnsi="Arial" w:cs="Arial"/>
          <w:color w:val="000000"/>
          <w:sz w:val="16"/>
          <w:szCs w:val="16"/>
        </w:rPr>
        <w:t>A</w:t>
      </w:r>
      <w:r w:rsidR="005406FC">
        <w:rPr>
          <w:rFonts w:ascii="Arial" w:hAnsi="Arial" w:cs="Arial"/>
          <w:color w:val="000000"/>
          <w:sz w:val="16"/>
          <w:szCs w:val="16"/>
        </w:rPr>
        <w:t>gency (TUSMA)</w:t>
      </w:r>
      <w:r w:rsidR="005406FC" w:rsidRPr="005406FC">
        <w:rPr>
          <w:rFonts w:ascii="Arial" w:hAnsi="Arial" w:cs="Arial"/>
          <w:color w:val="000000"/>
          <w:sz w:val="16"/>
          <w:szCs w:val="16"/>
        </w:rPr>
        <w:t xml:space="preserve"> to the Department.</w:t>
      </w:r>
      <w:r w:rsidR="00964CA0">
        <w:rPr>
          <w:rFonts w:ascii="Arial" w:hAnsi="Arial" w:cs="Arial"/>
          <w:color w:val="000000"/>
          <w:sz w:val="16"/>
          <w:szCs w:val="16"/>
        </w:rPr>
        <w:t xml:space="preserve"> The Department established a working group to identify and address matters related to the transition. The working group </w:t>
      </w:r>
      <w:r w:rsidR="00A92C64">
        <w:rPr>
          <w:rFonts w:ascii="Arial" w:hAnsi="Arial" w:cs="Arial"/>
          <w:color w:val="000000"/>
          <w:sz w:val="16"/>
          <w:szCs w:val="16"/>
        </w:rPr>
        <w:t>addressed issues including</w:t>
      </w:r>
      <w:r w:rsidR="00964CA0">
        <w:rPr>
          <w:rFonts w:ascii="Arial" w:hAnsi="Arial" w:cs="Arial"/>
          <w:color w:val="000000"/>
          <w:sz w:val="16"/>
          <w:szCs w:val="16"/>
        </w:rPr>
        <w:t xml:space="preserve">: governance, </w:t>
      </w:r>
      <w:r w:rsidR="00964CA0" w:rsidRPr="00964CA0">
        <w:rPr>
          <w:rFonts w:ascii="Arial" w:hAnsi="Arial" w:cs="Arial"/>
          <w:color w:val="000000"/>
          <w:sz w:val="16"/>
          <w:szCs w:val="16"/>
        </w:rPr>
        <w:t>legal, finance, people</w:t>
      </w:r>
      <w:r w:rsidR="00964CA0">
        <w:rPr>
          <w:rFonts w:ascii="Arial" w:hAnsi="Arial" w:cs="Arial"/>
          <w:color w:val="000000"/>
          <w:sz w:val="16"/>
          <w:szCs w:val="16"/>
        </w:rPr>
        <w:t>, risk management</w:t>
      </w:r>
      <w:r w:rsidR="00263A29">
        <w:rPr>
          <w:rFonts w:ascii="Arial" w:hAnsi="Arial" w:cs="Arial"/>
          <w:color w:val="000000"/>
          <w:sz w:val="16"/>
          <w:szCs w:val="16"/>
        </w:rPr>
        <w:t xml:space="preserve">, contract management, programme delivery </w:t>
      </w:r>
      <w:r w:rsidR="00964CA0">
        <w:rPr>
          <w:rFonts w:ascii="Arial" w:hAnsi="Arial" w:cs="Arial"/>
          <w:color w:val="000000"/>
          <w:sz w:val="16"/>
          <w:szCs w:val="16"/>
        </w:rPr>
        <w:t>and</w:t>
      </w:r>
      <w:r w:rsidR="00964CA0" w:rsidRPr="00964CA0">
        <w:rPr>
          <w:rFonts w:ascii="Arial" w:hAnsi="Arial" w:cs="Arial"/>
          <w:color w:val="000000"/>
          <w:sz w:val="16"/>
          <w:szCs w:val="16"/>
        </w:rPr>
        <w:t xml:space="preserve"> systems</w:t>
      </w:r>
      <w:r w:rsidR="00964CA0">
        <w:rPr>
          <w:rFonts w:ascii="Arial" w:hAnsi="Arial" w:cs="Arial"/>
          <w:color w:val="000000"/>
          <w:sz w:val="16"/>
          <w:szCs w:val="16"/>
        </w:rPr>
        <w:t>.</w:t>
      </w:r>
      <w:r w:rsidR="00964CA0" w:rsidRPr="00964CA0">
        <w:rPr>
          <w:rFonts w:ascii="Arial" w:hAnsi="Arial" w:cs="Arial"/>
          <w:color w:val="000000"/>
          <w:sz w:val="16"/>
          <w:szCs w:val="16"/>
        </w:rPr>
        <w:t xml:space="preserve"> </w:t>
      </w:r>
    </w:p>
    <w:p w14:paraId="72D7CD4D" w14:textId="7915A306" w:rsidR="00865BBB" w:rsidRDefault="00512762" w:rsidP="005D7862">
      <w:pPr>
        <w:spacing w:before="160" w:after="160"/>
        <w:jc w:val="both"/>
        <w:rPr>
          <w:rFonts w:ascii="Arial" w:hAnsi="Arial" w:cs="Arial"/>
          <w:sz w:val="16"/>
          <w:szCs w:val="16"/>
        </w:rPr>
      </w:pPr>
      <w:r w:rsidRPr="00D03426">
        <w:rPr>
          <w:rFonts w:ascii="Arial" w:hAnsi="Arial" w:cs="Arial"/>
          <w:sz w:val="16"/>
          <w:szCs w:val="16"/>
        </w:rPr>
        <w:t>Department</w:t>
      </w:r>
      <w:r w:rsidR="008E1D50" w:rsidRPr="00D03426">
        <w:rPr>
          <w:rFonts w:ascii="Arial" w:hAnsi="Arial" w:cs="Arial"/>
          <w:sz w:val="16"/>
          <w:szCs w:val="16"/>
        </w:rPr>
        <w:t xml:space="preserve"> acti</w:t>
      </w:r>
      <w:r w:rsidR="00363DDA" w:rsidRPr="00D03426">
        <w:rPr>
          <w:rFonts w:ascii="Arial" w:hAnsi="Arial" w:cs="Arial"/>
          <w:sz w:val="16"/>
          <w:szCs w:val="16"/>
        </w:rPr>
        <w:t xml:space="preserve">vities contributing toward </w:t>
      </w:r>
      <w:r w:rsidR="00A92C64">
        <w:rPr>
          <w:rFonts w:ascii="Arial" w:hAnsi="Arial" w:cs="Arial"/>
          <w:sz w:val="16"/>
          <w:szCs w:val="16"/>
        </w:rPr>
        <w:t>its</w:t>
      </w:r>
      <w:r w:rsidR="008E1D50" w:rsidRPr="00D03426">
        <w:rPr>
          <w:rFonts w:ascii="Arial" w:hAnsi="Arial" w:cs="Arial"/>
          <w:sz w:val="16"/>
          <w:szCs w:val="16"/>
        </w:rPr>
        <w:t xml:space="preserve"> out</w:t>
      </w:r>
      <w:r w:rsidR="00363DDA" w:rsidRPr="00D03426">
        <w:rPr>
          <w:rFonts w:ascii="Arial" w:hAnsi="Arial" w:cs="Arial"/>
          <w:sz w:val="16"/>
          <w:szCs w:val="16"/>
        </w:rPr>
        <w:t>come</w:t>
      </w:r>
      <w:r w:rsidR="003D4291" w:rsidRPr="00D03426">
        <w:rPr>
          <w:rFonts w:ascii="Arial" w:hAnsi="Arial" w:cs="Arial"/>
          <w:sz w:val="16"/>
          <w:szCs w:val="16"/>
        </w:rPr>
        <w:t xml:space="preserve"> are classified as either </w:t>
      </w:r>
      <w:r w:rsidR="003F3879" w:rsidRPr="00D03426">
        <w:rPr>
          <w:rFonts w:ascii="Arial" w:hAnsi="Arial" w:cs="Arial"/>
          <w:sz w:val="16"/>
          <w:szCs w:val="16"/>
        </w:rPr>
        <w:t>d</w:t>
      </w:r>
      <w:r w:rsidR="003D4291" w:rsidRPr="00D03426">
        <w:rPr>
          <w:rFonts w:ascii="Arial" w:hAnsi="Arial" w:cs="Arial"/>
          <w:sz w:val="16"/>
          <w:szCs w:val="16"/>
        </w:rPr>
        <w:t xml:space="preserve">epartmental or </w:t>
      </w:r>
      <w:r w:rsidR="00625BFA" w:rsidRPr="00D03426">
        <w:rPr>
          <w:rFonts w:ascii="Arial" w:hAnsi="Arial" w:cs="Arial"/>
          <w:sz w:val="16"/>
          <w:szCs w:val="16"/>
        </w:rPr>
        <w:t>a</w:t>
      </w:r>
      <w:r w:rsidR="008E1D50" w:rsidRPr="00D03426">
        <w:rPr>
          <w:rFonts w:ascii="Arial" w:hAnsi="Arial" w:cs="Arial"/>
          <w:sz w:val="16"/>
          <w:szCs w:val="16"/>
        </w:rPr>
        <w:t xml:space="preserve">dministered.  Departmental activities involve the use of assets, liabilities, </w:t>
      </w:r>
      <w:r w:rsidR="0033272F" w:rsidRPr="00D03426">
        <w:rPr>
          <w:rFonts w:ascii="Arial" w:hAnsi="Arial" w:cs="Arial"/>
          <w:sz w:val="16"/>
          <w:szCs w:val="16"/>
        </w:rPr>
        <w:t>income</w:t>
      </w:r>
      <w:r w:rsidR="008E1D50" w:rsidRPr="00D03426">
        <w:rPr>
          <w:rFonts w:ascii="Arial" w:hAnsi="Arial" w:cs="Arial"/>
          <w:sz w:val="16"/>
          <w:szCs w:val="16"/>
        </w:rPr>
        <w:t xml:space="preserve"> and expenses controlled or incurred by the </w:t>
      </w:r>
      <w:r w:rsidRPr="00D03426">
        <w:rPr>
          <w:rFonts w:ascii="Arial" w:hAnsi="Arial" w:cs="Arial"/>
          <w:sz w:val="16"/>
          <w:szCs w:val="16"/>
        </w:rPr>
        <w:t>Department</w:t>
      </w:r>
      <w:r w:rsidR="0023364A" w:rsidRPr="00D03426">
        <w:rPr>
          <w:rFonts w:ascii="Arial" w:hAnsi="Arial" w:cs="Arial"/>
          <w:sz w:val="16"/>
          <w:szCs w:val="16"/>
        </w:rPr>
        <w:t xml:space="preserve"> in its own right. </w:t>
      </w:r>
      <w:r w:rsidR="008E1D50" w:rsidRPr="00D03426">
        <w:rPr>
          <w:rFonts w:ascii="Arial" w:hAnsi="Arial" w:cs="Arial"/>
          <w:sz w:val="16"/>
          <w:szCs w:val="16"/>
        </w:rPr>
        <w:t xml:space="preserve">Administered activities involve the management or oversight by the </w:t>
      </w:r>
      <w:r w:rsidRPr="00D03426">
        <w:rPr>
          <w:rFonts w:ascii="Arial" w:hAnsi="Arial" w:cs="Arial"/>
          <w:sz w:val="16"/>
          <w:szCs w:val="16"/>
        </w:rPr>
        <w:t>Department</w:t>
      </w:r>
      <w:r w:rsidR="008E1D50" w:rsidRPr="00D03426">
        <w:rPr>
          <w:rFonts w:ascii="Arial" w:hAnsi="Arial" w:cs="Arial"/>
          <w:sz w:val="16"/>
          <w:szCs w:val="16"/>
        </w:rPr>
        <w:t xml:space="preserve">, on behalf of the Government, of items controlled or incurred by the </w:t>
      </w:r>
      <w:r w:rsidR="00A0408C" w:rsidRPr="00D03426">
        <w:rPr>
          <w:rFonts w:ascii="Arial" w:hAnsi="Arial" w:cs="Arial"/>
          <w:sz w:val="16"/>
          <w:szCs w:val="16"/>
        </w:rPr>
        <w:t>Government</w:t>
      </w:r>
      <w:r w:rsidR="008E1D50" w:rsidRPr="00D03426">
        <w:rPr>
          <w:rFonts w:ascii="Arial" w:hAnsi="Arial" w:cs="Arial"/>
          <w:sz w:val="16"/>
          <w:szCs w:val="16"/>
        </w:rPr>
        <w:t>.</w:t>
      </w:r>
    </w:p>
    <w:p w14:paraId="5BEC04F9" w14:textId="77777777" w:rsidR="00736AB5" w:rsidRPr="00461A6F" w:rsidRDefault="00736AB5" w:rsidP="00736AB5">
      <w:pPr>
        <w:spacing w:before="160"/>
        <w:jc w:val="both"/>
        <w:rPr>
          <w:rFonts w:ascii="Arial" w:hAnsi="Arial" w:cs="Arial"/>
          <w:sz w:val="16"/>
          <w:szCs w:val="16"/>
        </w:rPr>
      </w:pPr>
      <w:r w:rsidRPr="00461A6F">
        <w:rPr>
          <w:rFonts w:ascii="Arial" w:hAnsi="Arial" w:cs="Arial"/>
          <w:sz w:val="16"/>
          <w:szCs w:val="16"/>
        </w:rPr>
        <w:t xml:space="preserve">The Department </w:t>
      </w:r>
      <w:r w:rsidR="00095D96" w:rsidRPr="00461A6F">
        <w:rPr>
          <w:rFonts w:ascii="Arial" w:hAnsi="Arial" w:cs="Arial"/>
          <w:sz w:val="16"/>
          <w:szCs w:val="16"/>
        </w:rPr>
        <w:t>is structured to deliver its outcome through a single programme: Digital Technologies and Communications Services. The Department provides strategic advice on and administers programmes and initiatives that promote an innovative and competitive communications sector so all Australians can realise the full potential of digital technologies and communications services. This includes advising on and facilitating:</w:t>
      </w:r>
    </w:p>
    <w:p w14:paraId="0887A3FF" w14:textId="77777777" w:rsidR="00095D96" w:rsidRPr="00095D96" w:rsidRDefault="00095D96" w:rsidP="00095D96">
      <w:pPr>
        <w:numPr>
          <w:ilvl w:val="0"/>
          <w:numId w:val="15"/>
        </w:numPr>
        <w:jc w:val="both"/>
        <w:rPr>
          <w:rFonts w:ascii="Arial" w:hAnsi="Arial" w:cs="Arial"/>
          <w:sz w:val="16"/>
          <w:szCs w:val="16"/>
        </w:rPr>
      </w:pPr>
      <w:r w:rsidRPr="00461A6F">
        <w:rPr>
          <w:rFonts w:ascii="Arial" w:hAnsi="Arial" w:cs="Arial"/>
          <w:sz w:val="16"/>
          <w:szCs w:val="16"/>
        </w:rPr>
        <w:t>Opportunities arising from the innovative adoption and</w:t>
      </w:r>
      <w:r w:rsidRPr="00095D96">
        <w:rPr>
          <w:rFonts w:ascii="Arial" w:hAnsi="Arial" w:cs="Arial"/>
          <w:sz w:val="16"/>
          <w:szCs w:val="16"/>
        </w:rPr>
        <w:t xml:space="preserve"> use of digital technologies</w:t>
      </w:r>
    </w:p>
    <w:p w14:paraId="56AB1174" w14:textId="77777777" w:rsidR="00095D96" w:rsidRPr="00095D96" w:rsidRDefault="00095D96" w:rsidP="00095D96">
      <w:pPr>
        <w:numPr>
          <w:ilvl w:val="0"/>
          <w:numId w:val="15"/>
        </w:numPr>
        <w:jc w:val="both"/>
        <w:rPr>
          <w:rFonts w:ascii="Arial" w:hAnsi="Arial" w:cs="Arial"/>
          <w:sz w:val="16"/>
          <w:szCs w:val="16"/>
        </w:rPr>
      </w:pPr>
      <w:r w:rsidRPr="00095D96">
        <w:rPr>
          <w:rFonts w:ascii="Arial" w:hAnsi="Arial" w:cs="Arial"/>
          <w:sz w:val="16"/>
          <w:szCs w:val="16"/>
        </w:rPr>
        <w:t>The delivery of competitive and efficient digital infrastructure to drive growth in the broader economy</w:t>
      </w:r>
    </w:p>
    <w:p w14:paraId="7BC9623C" w14:textId="5ED99F0D" w:rsidR="00095D96" w:rsidRPr="00095D96" w:rsidRDefault="00095D96" w:rsidP="00095D96">
      <w:pPr>
        <w:numPr>
          <w:ilvl w:val="0"/>
          <w:numId w:val="15"/>
        </w:numPr>
        <w:jc w:val="both"/>
        <w:rPr>
          <w:rFonts w:ascii="Arial" w:hAnsi="Arial" w:cs="Arial"/>
          <w:sz w:val="16"/>
          <w:szCs w:val="16"/>
        </w:rPr>
      </w:pPr>
      <w:r w:rsidRPr="00095D96">
        <w:rPr>
          <w:rFonts w:ascii="Arial" w:hAnsi="Arial" w:cs="Arial"/>
          <w:sz w:val="16"/>
          <w:szCs w:val="16"/>
        </w:rPr>
        <w:t>Promotion of competition, while ensuring access to basic services, making available socially valuable content, and safeguarding consumers from inappropriate content</w:t>
      </w:r>
      <w:r w:rsidR="003F2497">
        <w:rPr>
          <w:rFonts w:ascii="Arial" w:hAnsi="Arial" w:cs="Arial"/>
          <w:sz w:val="16"/>
          <w:szCs w:val="16"/>
        </w:rPr>
        <w:t>.</w:t>
      </w:r>
    </w:p>
    <w:p w14:paraId="77CA827E" w14:textId="77777777" w:rsidR="005219F3" w:rsidRPr="003F2497" w:rsidRDefault="005219F3" w:rsidP="005219F3">
      <w:pPr>
        <w:numPr>
          <w:ilvl w:val="1"/>
          <w:numId w:val="1"/>
        </w:numPr>
        <w:tabs>
          <w:tab w:val="num" w:pos="0"/>
        </w:tabs>
        <w:spacing w:before="200" w:after="200"/>
        <w:ind w:left="482" w:hanging="482"/>
        <w:rPr>
          <w:rFonts w:ascii="Arial" w:hAnsi="Arial" w:cs="Arial"/>
          <w:b/>
          <w:sz w:val="16"/>
          <w:szCs w:val="16"/>
        </w:rPr>
      </w:pPr>
      <w:r w:rsidRPr="003F2497">
        <w:rPr>
          <w:rFonts w:ascii="Arial" w:hAnsi="Arial" w:cs="Arial"/>
          <w:b/>
          <w:sz w:val="16"/>
          <w:szCs w:val="16"/>
        </w:rPr>
        <w:t>Compliance with statutory requirements</w:t>
      </w:r>
      <w:r w:rsidRPr="003F2497">
        <w:rPr>
          <w:rFonts w:ascii="Arial" w:hAnsi="Arial" w:cs="Arial"/>
          <w:b/>
          <w:sz w:val="16"/>
          <w:szCs w:val="16"/>
        </w:rPr>
        <w:tab/>
      </w:r>
    </w:p>
    <w:p w14:paraId="2EFD0ECA" w14:textId="77777777" w:rsidR="005219F3" w:rsidRPr="009022B2" w:rsidRDefault="005219F3" w:rsidP="005219F3">
      <w:pPr>
        <w:spacing w:before="160" w:after="160"/>
        <w:jc w:val="both"/>
        <w:rPr>
          <w:rFonts w:ascii="Arial" w:hAnsi="Arial" w:cs="Arial"/>
          <w:sz w:val="16"/>
          <w:szCs w:val="16"/>
        </w:rPr>
      </w:pPr>
      <w:r w:rsidRPr="005406FC">
        <w:rPr>
          <w:rFonts w:ascii="Arial" w:hAnsi="Arial" w:cs="Arial"/>
          <w:sz w:val="16"/>
          <w:szCs w:val="16"/>
        </w:rPr>
        <w:t xml:space="preserve">The Australian Government continues to have regard to developments in case law, including the High Court’s most recent decision on Commonwealth expenditure in </w:t>
      </w:r>
      <w:r w:rsidRPr="00FC3C87">
        <w:rPr>
          <w:rFonts w:ascii="Arial" w:hAnsi="Arial" w:cs="Arial"/>
          <w:i/>
          <w:sz w:val="16"/>
          <w:szCs w:val="16"/>
        </w:rPr>
        <w:t>Williams v Commonwealth [2014] HCA 23</w:t>
      </w:r>
      <w:r w:rsidRPr="005406FC">
        <w:rPr>
          <w:rFonts w:ascii="Arial" w:hAnsi="Arial" w:cs="Arial"/>
          <w:sz w:val="16"/>
          <w:szCs w:val="16"/>
        </w:rPr>
        <w:t>, as they contribute to the larger body of law relevant to the development of Commonwealth programs. In accordance with its general practice, the Government will continue to monitor and assess risk and decide on any appropriate actions to respond to risks of expenditure not being consistent with constitutional or other legal requirements.</w:t>
      </w:r>
      <w:r w:rsidRPr="009022B2">
        <w:rPr>
          <w:rFonts w:ascii="Arial" w:hAnsi="Arial" w:cs="Arial"/>
          <w:sz w:val="16"/>
          <w:szCs w:val="16"/>
        </w:rPr>
        <w:t xml:space="preserve"> </w:t>
      </w:r>
    </w:p>
    <w:p w14:paraId="3D2D2E54" w14:textId="77777777" w:rsidR="004F190E" w:rsidRPr="005219F3" w:rsidRDefault="004F190E" w:rsidP="005D7862">
      <w:pPr>
        <w:numPr>
          <w:ilvl w:val="1"/>
          <w:numId w:val="1"/>
        </w:numPr>
        <w:tabs>
          <w:tab w:val="num" w:pos="0"/>
        </w:tabs>
        <w:spacing w:before="200" w:after="200"/>
        <w:ind w:left="482" w:hanging="482"/>
        <w:rPr>
          <w:rFonts w:ascii="Arial" w:hAnsi="Arial" w:cs="Arial"/>
          <w:b/>
          <w:sz w:val="16"/>
          <w:szCs w:val="16"/>
        </w:rPr>
      </w:pPr>
      <w:r w:rsidRPr="005219F3">
        <w:rPr>
          <w:rFonts w:ascii="Arial" w:hAnsi="Arial" w:cs="Arial"/>
          <w:b/>
          <w:sz w:val="16"/>
          <w:szCs w:val="16"/>
        </w:rPr>
        <w:t xml:space="preserve">Basis of Preparation of the Financial </w:t>
      </w:r>
      <w:r w:rsidR="00625BFA" w:rsidRPr="005219F3">
        <w:rPr>
          <w:rFonts w:ascii="Arial" w:hAnsi="Arial" w:cs="Arial"/>
          <w:b/>
          <w:sz w:val="16"/>
          <w:szCs w:val="16"/>
        </w:rPr>
        <w:t>Statements</w:t>
      </w:r>
    </w:p>
    <w:p w14:paraId="6FD75DAF" w14:textId="02ED27E0" w:rsidR="00AB3A8F" w:rsidRPr="00FC3C87" w:rsidRDefault="00AB3A8F" w:rsidP="00FC3C87">
      <w:pPr>
        <w:rPr>
          <w:rFonts w:ascii="Arial" w:hAnsi="Arial" w:cs="Arial"/>
          <w:sz w:val="16"/>
          <w:szCs w:val="16"/>
        </w:rPr>
      </w:pPr>
      <w:r w:rsidRPr="00FC3C87">
        <w:rPr>
          <w:rFonts w:ascii="Arial" w:hAnsi="Arial" w:cs="Arial"/>
          <w:sz w:val="16"/>
          <w:szCs w:val="16"/>
        </w:rPr>
        <w:t xml:space="preserve">The financial statements are general purpose financial statements and are required by section 42 of the </w:t>
      </w:r>
      <w:r w:rsidRPr="00FC3C87">
        <w:rPr>
          <w:rFonts w:ascii="Arial" w:hAnsi="Arial" w:cs="Arial"/>
          <w:i/>
          <w:sz w:val="16"/>
          <w:szCs w:val="16"/>
        </w:rPr>
        <w:t>Public Governance, Performance and Accountability Act 2013</w:t>
      </w:r>
      <w:r w:rsidR="00FC1F8C">
        <w:rPr>
          <w:rFonts w:ascii="Arial" w:hAnsi="Arial" w:cs="Arial"/>
          <w:sz w:val="16"/>
          <w:szCs w:val="16"/>
        </w:rPr>
        <w:t>.</w:t>
      </w:r>
    </w:p>
    <w:p w14:paraId="3431FB0F" w14:textId="77777777" w:rsidR="00AB3A8F" w:rsidRPr="00FC3C87" w:rsidRDefault="00AB3A8F" w:rsidP="00AB3A8F">
      <w:pPr>
        <w:ind w:left="720"/>
        <w:rPr>
          <w:rFonts w:ascii="Arial" w:hAnsi="Arial" w:cs="Arial"/>
          <w:sz w:val="16"/>
          <w:szCs w:val="16"/>
        </w:rPr>
      </w:pPr>
    </w:p>
    <w:p w14:paraId="7C794B48" w14:textId="77777777" w:rsidR="00AB3A8F" w:rsidRPr="00FC3C87" w:rsidRDefault="00AB3A8F" w:rsidP="00AB3A8F">
      <w:pPr>
        <w:rPr>
          <w:rFonts w:ascii="Arial" w:hAnsi="Arial" w:cs="Arial"/>
          <w:sz w:val="16"/>
          <w:szCs w:val="16"/>
        </w:rPr>
      </w:pPr>
      <w:r w:rsidRPr="00FC3C87">
        <w:rPr>
          <w:rFonts w:ascii="Arial" w:hAnsi="Arial" w:cs="Arial"/>
          <w:sz w:val="16"/>
          <w:szCs w:val="16"/>
        </w:rPr>
        <w:t>The financial statements have been prepared in accordance with:</w:t>
      </w:r>
    </w:p>
    <w:p w14:paraId="544A0B61" w14:textId="77777777" w:rsidR="00AB3A8F" w:rsidRPr="00FC3C87" w:rsidRDefault="00AB3A8F" w:rsidP="00AB3A8F">
      <w:pPr>
        <w:numPr>
          <w:ilvl w:val="0"/>
          <w:numId w:val="34"/>
        </w:numPr>
        <w:spacing w:after="200" w:line="276" w:lineRule="auto"/>
        <w:contextualSpacing/>
        <w:rPr>
          <w:rFonts w:ascii="Arial" w:hAnsi="Arial" w:cs="Arial"/>
          <w:sz w:val="16"/>
          <w:szCs w:val="16"/>
        </w:rPr>
      </w:pPr>
      <w:r w:rsidRPr="00FC3C87">
        <w:rPr>
          <w:rFonts w:ascii="Arial" w:hAnsi="Arial" w:cs="Arial"/>
          <w:sz w:val="16"/>
          <w:szCs w:val="16"/>
        </w:rPr>
        <w:t xml:space="preserve">Financial Reporting Rule (FRR) for reporting periods ending on or after 1 July 2014; and  </w:t>
      </w:r>
    </w:p>
    <w:p w14:paraId="37A37CC1" w14:textId="77777777" w:rsidR="00AB3A8F" w:rsidRPr="00FC3C87" w:rsidRDefault="00AB3A8F" w:rsidP="00AB3A8F">
      <w:pPr>
        <w:numPr>
          <w:ilvl w:val="0"/>
          <w:numId w:val="34"/>
        </w:numPr>
        <w:spacing w:after="200" w:line="276" w:lineRule="auto"/>
        <w:contextualSpacing/>
        <w:rPr>
          <w:rFonts w:ascii="Arial" w:hAnsi="Arial" w:cs="Arial"/>
          <w:sz w:val="16"/>
          <w:szCs w:val="16"/>
        </w:rPr>
      </w:pPr>
      <w:r w:rsidRPr="00FC3C87">
        <w:rPr>
          <w:rFonts w:ascii="Arial" w:hAnsi="Arial" w:cs="Arial"/>
          <w:sz w:val="16"/>
          <w:szCs w:val="16"/>
        </w:rPr>
        <w:t>Australian Accounting Standards and Interpretations issued by the Australian Accounting Standards Board (AASB) that apply for the reporting period.</w:t>
      </w:r>
      <w:r w:rsidRPr="00FC3C87">
        <w:rPr>
          <w:rFonts w:ascii="Arial" w:hAnsi="Arial" w:cs="Arial"/>
          <w:sz w:val="16"/>
          <w:szCs w:val="16"/>
        </w:rPr>
        <w:tab/>
      </w:r>
    </w:p>
    <w:p w14:paraId="15F5BCE6" w14:textId="77777777" w:rsidR="00AB3A8F" w:rsidRPr="00FC3C87" w:rsidRDefault="00AB3A8F" w:rsidP="00AB3A8F">
      <w:pPr>
        <w:rPr>
          <w:rFonts w:ascii="Arial" w:hAnsi="Arial" w:cs="Arial"/>
          <w:sz w:val="16"/>
          <w:szCs w:val="16"/>
        </w:rPr>
      </w:pPr>
      <w:r w:rsidRPr="00FC3C87">
        <w:rPr>
          <w:rFonts w:ascii="Arial" w:hAnsi="Arial" w:cs="Arial"/>
          <w:sz w:val="16"/>
          <w:szCs w:val="16"/>
        </w:rPr>
        <w:tab/>
      </w:r>
    </w:p>
    <w:p w14:paraId="0F5C93A8" w14:textId="77777777" w:rsidR="00AB3A8F" w:rsidRPr="00FC3C87" w:rsidRDefault="00AB3A8F" w:rsidP="00AB3A8F">
      <w:pPr>
        <w:rPr>
          <w:rFonts w:ascii="Arial" w:hAnsi="Arial" w:cs="Arial"/>
          <w:sz w:val="16"/>
          <w:szCs w:val="16"/>
        </w:rPr>
      </w:pPr>
      <w:r w:rsidRPr="00FC3C87">
        <w:rPr>
          <w:rFonts w:ascii="Arial" w:hAnsi="Arial" w:cs="Arial"/>
          <w:sz w:val="16"/>
          <w:szCs w:val="16"/>
        </w:rPr>
        <w:t>The financial statements have been prepared on an accrual basis and in accordance with the historical cost convention, except for certain assets and liabilities at fair value. Except where stated, no allowance is made for the effect of changing prices on the results or the financial position.</w:t>
      </w:r>
      <w:r w:rsidRPr="00FC3C87">
        <w:rPr>
          <w:rFonts w:ascii="Arial" w:hAnsi="Arial" w:cs="Arial"/>
          <w:sz w:val="16"/>
          <w:szCs w:val="16"/>
        </w:rPr>
        <w:tab/>
      </w:r>
    </w:p>
    <w:p w14:paraId="6D994E2C" w14:textId="77777777" w:rsidR="00AB3A8F" w:rsidRPr="00FC3C87" w:rsidRDefault="00AB3A8F" w:rsidP="00AB3A8F">
      <w:pPr>
        <w:rPr>
          <w:rFonts w:ascii="Arial" w:hAnsi="Arial" w:cs="Arial"/>
          <w:sz w:val="16"/>
          <w:szCs w:val="16"/>
        </w:rPr>
      </w:pPr>
      <w:r w:rsidRPr="00FC3C87">
        <w:rPr>
          <w:rFonts w:ascii="Arial" w:hAnsi="Arial" w:cs="Arial"/>
          <w:sz w:val="16"/>
          <w:szCs w:val="16"/>
        </w:rPr>
        <w:tab/>
      </w:r>
    </w:p>
    <w:p w14:paraId="2D58EC64" w14:textId="5B3EAB37" w:rsidR="00AB3A8F" w:rsidRPr="00FC3C87" w:rsidRDefault="00AB3A8F" w:rsidP="00AB3A8F">
      <w:pPr>
        <w:rPr>
          <w:rFonts w:ascii="Arial" w:hAnsi="Arial" w:cs="Arial"/>
          <w:sz w:val="16"/>
          <w:szCs w:val="16"/>
        </w:rPr>
      </w:pPr>
      <w:r w:rsidRPr="00FC3C87">
        <w:rPr>
          <w:rFonts w:ascii="Arial" w:hAnsi="Arial" w:cs="Arial"/>
          <w:sz w:val="16"/>
          <w:szCs w:val="16"/>
        </w:rPr>
        <w:t xml:space="preserve">The financial statements are presented in Australian dollars and values are rounded to the nearest thousand dollars unless otherwise </w:t>
      </w:r>
      <w:r w:rsidR="00453547">
        <w:rPr>
          <w:rFonts w:ascii="Arial" w:hAnsi="Arial" w:cs="Arial"/>
          <w:sz w:val="16"/>
          <w:szCs w:val="16"/>
        </w:rPr>
        <w:t>s</w:t>
      </w:r>
      <w:r w:rsidRPr="00FC3C87">
        <w:rPr>
          <w:rFonts w:ascii="Arial" w:hAnsi="Arial" w:cs="Arial"/>
          <w:sz w:val="16"/>
          <w:szCs w:val="16"/>
        </w:rPr>
        <w:t>pecified.</w:t>
      </w:r>
      <w:r w:rsidRPr="00FC3C87">
        <w:rPr>
          <w:rFonts w:ascii="Arial" w:hAnsi="Arial" w:cs="Arial"/>
          <w:sz w:val="16"/>
          <w:szCs w:val="16"/>
        </w:rPr>
        <w:tab/>
      </w:r>
    </w:p>
    <w:p w14:paraId="47717C4A" w14:textId="77777777" w:rsidR="00AB3A8F" w:rsidRPr="00FC3C87" w:rsidRDefault="00AB3A8F" w:rsidP="00AB3A8F">
      <w:pPr>
        <w:rPr>
          <w:rFonts w:ascii="Arial" w:hAnsi="Arial" w:cs="Arial"/>
          <w:sz w:val="16"/>
          <w:szCs w:val="16"/>
        </w:rPr>
      </w:pPr>
      <w:r w:rsidRPr="00FC3C87">
        <w:rPr>
          <w:rFonts w:ascii="Arial" w:hAnsi="Arial" w:cs="Arial"/>
          <w:sz w:val="16"/>
          <w:szCs w:val="16"/>
        </w:rPr>
        <w:tab/>
      </w:r>
    </w:p>
    <w:p w14:paraId="67B9F30E" w14:textId="57875EC8" w:rsidR="00AB3A8F" w:rsidRPr="00FC3C87" w:rsidRDefault="00AB3A8F" w:rsidP="00AB3A8F">
      <w:pPr>
        <w:rPr>
          <w:rFonts w:ascii="Arial" w:hAnsi="Arial" w:cs="Arial"/>
          <w:sz w:val="16"/>
          <w:szCs w:val="16"/>
        </w:rPr>
      </w:pPr>
      <w:r w:rsidRPr="00FC3C87">
        <w:rPr>
          <w:rFonts w:ascii="Arial" w:hAnsi="Arial" w:cs="Arial"/>
          <w:sz w:val="16"/>
          <w:szCs w:val="16"/>
        </w:rPr>
        <w:t xml:space="preserve">Unless an alternative treatment is specifically required by an accounting standard or the FRR, assets and liabilities are recognised in the statement of financial position when and only when it is probable that future economic benefits will flow to the </w:t>
      </w:r>
      <w:r w:rsidR="00FD40CD">
        <w:rPr>
          <w:rFonts w:ascii="Arial" w:hAnsi="Arial" w:cs="Arial"/>
          <w:sz w:val="16"/>
          <w:szCs w:val="16"/>
        </w:rPr>
        <w:t>Department</w:t>
      </w:r>
      <w:r w:rsidRPr="00FC3C87">
        <w:rPr>
          <w:rFonts w:ascii="Arial" w:hAnsi="Arial" w:cs="Arial"/>
          <w:sz w:val="16"/>
          <w:szCs w:val="16"/>
        </w:rPr>
        <w:t xml:space="preserve"> or a future sacrifice of economic benefits will be required and the amounts of the assets or liabilities can be reliably measured.  However, assets and liabilities arising under executory contracts are not recognised unless required by an accounting standard.  Liabilities and assets that are unrecognised are reported in the schedule of commitments or the contingencies note.</w:t>
      </w:r>
      <w:r w:rsidRPr="00FC3C87">
        <w:rPr>
          <w:rFonts w:ascii="Arial" w:hAnsi="Arial" w:cs="Arial"/>
          <w:sz w:val="16"/>
          <w:szCs w:val="16"/>
        </w:rPr>
        <w:tab/>
      </w:r>
    </w:p>
    <w:p w14:paraId="63AE478F" w14:textId="77777777" w:rsidR="00AB3A8F" w:rsidRPr="00FC3C87" w:rsidRDefault="00AB3A8F" w:rsidP="00AB3A8F">
      <w:pPr>
        <w:rPr>
          <w:rFonts w:ascii="Arial" w:hAnsi="Arial" w:cs="Arial"/>
          <w:sz w:val="16"/>
          <w:szCs w:val="16"/>
        </w:rPr>
      </w:pPr>
      <w:r w:rsidRPr="00FC3C87">
        <w:rPr>
          <w:rFonts w:ascii="Arial" w:hAnsi="Arial" w:cs="Arial"/>
          <w:sz w:val="16"/>
          <w:szCs w:val="16"/>
        </w:rPr>
        <w:tab/>
      </w:r>
    </w:p>
    <w:p w14:paraId="4E1C239A" w14:textId="77777777" w:rsidR="00A92C64" w:rsidRDefault="00AB3A8F" w:rsidP="00AB3A8F">
      <w:pPr>
        <w:rPr>
          <w:rFonts w:ascii="Arial" w:hAnsi="Arial" w:cs="Arial"/>
          <w:sz w:val="16"/>
          <w:szCs w:val="16"/>
        </w:rPr>
      </w:pPr>
      <w:r w:rsidRPr="00FC3C87">
        <w:rPr>
          <w:rFonts w:ascii="Arial" w:hAnsi="Arial" w:cs="Arial"/>
          <w:sz w:val="16"/>
          <w:szCs w:val="16"/>
        </w:rPr>
        <w:t xml:space="preserve">Unless </w:t>
      </w:r>
      <w:r w:rsidR="002201F1">
        <w:rPr>
          <w:rFonts w:ascii="Arial" w:hAnsi="Arial" w:cs="Arial"/>
          <w:sz w:val="16"/>
          <w:szCs w:val="16"/>
        </w:rPr>
        <w:t xml:space="preserve">an </w:t>
      </w:r>
      <w:r w:rsidRPr="00FC3C87">
        <w:rPr>
          <w:rFonts w:ascii="Arial" w:hAnsi="Arial" w:cs="Arial"/>
          <w:sz w:val="16"/>
          <w:szCs w:val="16"/>
        </w:rPr>
        <w:t>alternative treatment is specifically required by an accounting standard</w:t>
      </w:r>
      <w:r w:rsidR="002201F1">
        <w:rPr>
          <w:rFonts w:ascii="Arial" w:hAnsi="Arial" w:cs="Arial"/>
          <w:sz w:val="16"/>
          <w:szCs w:val="16"/>
        </w:rPr>
        <w:t xml:space="preserve"> or FRR</w:t>
      </w:r>
      <w:r w:rsidRPr="00FC3C87">
        <w:rPr>
          <w:rFonts w:ascii="Arial" w:hAnsi="Arial" w:cs="Arial"/>
          <w:sz w:val="16"/>
          <w:szCs w:val="16"/>
        </w:rPr>
        <w:t xml:space="preserve">, income and expenses are recognised in the statement of comprehensive income when and only when the flow, consumption or loss of economic benefits has occurred and can be reliably measured. </w:t>
      </w:r>
    </w:p>
    <w:p w14:paraId="2FFC333C" w14:textId="288E9FB1" w:rsidR="00AB3A8F" w:rsidRPr="00FC3C87" w:rsidRDefault="00AB3A8F" w:rsidP="00AB3A8F">
      <w:pPr>
        <w:rPr>
          <w:rFonts w:ascii="Arial" w:hAnsi="Arial" w:cs="Arial"/>
          <w:sz w:val="16"/>
          <w:szCs w:val="16"/>
        </w:rPr>
      </w:pPr>
      <w:r w:rsidRPr="00FC3C87">
        <w:rPr>
          <w:rFonts w:ascii="Arial" w:hAnsi="Arial" w:cs="Arial"/>
          <w:sz w:val="16"/>
          <w:szCs w:val="16"/>
        </w:rPr>
        <w:t xml:space="preserve">  </w:t>
      </w:r>
    </w:p>
    <w:p w14:paraId="42C5A332" w14:textId="77777777" w:rsidR="009C7BE8" w:rsidRDefault="009C7BE8" w:rsidP="009C7BE8">
      <w:pPr>
        <w:tabs>
          <w:tab w:val="num" w:pos="660"/>
        </w:tabs>
        <w:spacing w:before="200" w:after="200"/>
        <w:ind w:left="482"/>
        <w:rPr>
          <w:rFonts w:ascii="Arial" w:hAnsi="Arial" w:cs="Arial"/>
          <w:b/>
          <w:sz w:val="16"/>
          <w:szCs w:val="16"/>
        </w:rPr>
      </w:pPr>
    </w:p>
    <w:p w14:paraId="33127E85" w14:textId="77777777" w:rsidR="009C7BE8" w:rsidRDefault="009C7BE8" w:rsidP="009C7BE8">
      <w:pPr>
        <w:tabs>
          <w:tab w:val="num" w:pos="660"/>
        </w:tabs>
        <w:spacing w:before="200" w:after="200"/>
        <w:ind w:left="482"/>
        <w:rPr>
          <w:rFonts w:ascii="Arial" w:hAnsi="Arial" w:cs="Arial"/>
          <w:b/>
          <w:sz w:val="16"/>
          <w:szCs w:val="16"/>
        </w:rPr>
      </w:pPr>
    </w:p>
    <w:p w14:paraId="153691B7" w14:textId="77777777" w:rsidR="004F190E" w:rsidRPr="00F40278" w:rsidRDefault="004F190E" w:rsidP="00762FF6">
      <w:pPr>
        <w:numPr>
          <w:ilvl w:val="1"/>
          <w:numId w:val="1"/>
        </w:numPr>
        <w:tabs>
          <w:tab w:val="num" w:pos="0"/>
        </w:tabs>
        <w:spacing w:before="200" w:after="200"/>
        <w:ind w:left="482" w:hanging="482"/>
        <w:rPr>
          <w:rFonts w:ascii="Arial" w:hAnsi="Arial" w:cs="Arial"/>
          <w:b/>
          <w:sz w:val="16"/>
          <w:szCs w:val="16"/>
        </w:rPr>
      </w:pPr>
      <w:r w:rsidRPr="00F40278">
        <w:rPr>
          <w:rFonts w:ascii="Arial" w:hAnsi="Arial" w:cs="Arial"/>
          <w:b/>
          <w:sz w:val="16"/>
          <w:szCs w:val="16"/>
        </w:rPr>
        <w:lastRenderedPageBreak/>
        <w:t>Significant Accounting Judgements and Estimates</w:t>
      </w:r>
      <w:r w:rsidRPr="00F40278">
        <w:rPr>
          <w:rFonts w:ascii="Arial" w:hAnsi="Arial" w:cs="Arial"/>
          <w:b/>
          <w:sz w:val="16"/>
          <w:szCs w:val="16"/>
        </w:rPr>
        <w:tab/>
      </w:r>
    </w:p>
    <w:p w14:paraId="6980E202" w14:textId="77777777" w:rsidR="003B3D6B" w:rsidRPr="00F40278" w:rsidRDefault="004F190E" w:rsidP="00A613E4">
      <w:pPr>
        <w:spacing w:before="160" w:after="160"/>
        <w:jc w:val="both"/>
        <w:rPr>
          <w:rFonts w:ascii="Arial" w:hAnsi="Arial" w:cs="Arial"/>
          <w:sz w:val="16"/>
          <w:szCs w:val="16"/>
        </w:rPr>
      </w:pPr>
      <w:r w:rsidRPr="00F40278">
        <w:rPr>
          <w:rFonts w:ascii="Arial" w:hAnsi="Arial" w:cs="Arial"/>
          <w:sz w:val="16"/>
          <w:szCs w:val="16"/>
        </w:rPr>
        <w:t xml:space="preserve">In the process of applying the accounting policies listed in this note, </w:t>
      </w:r>
      <w:r w:rsidR="002477B8" w:rsidRPr="00F40278">
        <w:rPr>
          <w:rFonts w:ascii="Arial" w:hAnsi="Arial" w:cs="Arial"/>
          <w:sz w:val="16"/>
          <w:szCs w:val="16"/>
        </w:rPr>
        <w:t>the Department</w:t>
      </w:r>
      <w:r w:rsidRPr="00F40278">
        <w:rPr>
          <w:rFonts w:ascii="Arial" w:hAnsi="Arial" w:cs="Arial"/>
          <w:sz w:val="16"/>
          <w:szCs w:val="16"/>
        </w:rPr>
        <w:t xml:space="preserve"> has made </w:t>
      </w:r>
      <w:r w:rsidR="002477B8" w:rsidRPr="00F40278">
        <w:rPr>
          <w:rFonts w:ascii="Arial" w:hAnsi="Arial" w:cs="Arial"/>
          <w:sz w:val="16"/>
          <w:szCs w:val="16"/>
        </w:rPr>
        <w:t>some</w:t>
      </w:r>
      <w:r w:rsidRPr="00F40278">
        <w:rPr>
          <w:rFonts w:ascii="Arial" w:hAnsi="Arial" w:cs="Arial"/>
          <w:sz w:val="16"/>
          <w:szCs w:val="16"/>
        </w:rPr>
        <w:t xml:space="preserve"> judgements that</w:t>
      </w:r>
      <w:r w:rsidR="002477B8" w:rsidRPr="00F40278">
        <w:rPr>
          <w:rFonts w:ascii="Arial" w:hAnsi="Arial" w:cs="Arial"/>
          <w:sz w:val="16"/>
          <w:szCs w:val="16"/>
        </w:rPr>
        <w:t xml:space="preserve"> do</w:t>
      </w:r>
      <w:r w:rsidRPr="00F40278">
        <w:rPr>
          <w:rFonts w:ascii="Arial" w:hAnsi="Arial" w:cs="Arial"/>
          <w:sz w:val="16"/>
          <w:szCs w:val="16"/>
        </w:rPr>
        <w:t xml:space="preserve"> have </w:t>
      </w:r>
      <w:r w:rsidR="002477B8" w:rsidRPr="00F40278">
        <w:rPr>
          <w:rFonts w:ascii="Arial" w:hAnsi="Arial" w:cs="Arial"/>
          <w:sz w:val="16"/>
          <w:szCs w:val="16"/>
        </w:rPr>
        <w:t>a</w:t>
      </w:r>
      <w:r w:rsidRPr="00F40278">
        <w:rPr>
          <w:rFonts w:ascii="Arial" w:hAnsi="Arial" w:cs="Arial"/>
          <w:sz w:val="16"/>
          <w:szCs w:val="16"/>
        </w:rPr>
        <w:t xml:space="preserve"> significant impact </w:t>
      </w:r>
      <w:r w:rsidR="00D84F3A" w:rsidRPr="00F40278">
        <w:rPr>
          <w:rFonts w:ascii="Arial" w:hAnsi="Arial" w:cs="Arial"/>
          <w:sz w:val="16"/>
          <w:szCs w:val="16"/>
        </w:rPr>
        <w:t xml:space="preserve">on the amounts recorded in the </w:t>
      </w:r>
      <w:r w:rsidR="00D8506E" w:rsidRPr="00F40278">
        <w:rPr>
          <w:rFonts w:ascii="Arial" w:hAnsi="Arial" w:cs="Arial"/>
          <w:sz w:val="16"/>
          <w:szCs w:val="16"/>
        </w:rPr>
        <w:t>f</w:t>
      </w:r>
      <w:r w:rsidRPr="00F40278">
        <w:rPr>
          <w:rFonts w:ascii="Arial" w:hAnsi="Arial" w:cs="Arial"/>
          <w:sz w:val="16"/>
          <w:szCs w:val="16"/>
        </w:rPr>
        <w:t xml:space="preserve">inancial </w:t>
      </w:r>
      <w:r w:rsidR="00D8506E" w:rsidRPr="00F40278">
        <w:rPr>
          <w:rFonts w:ascii="Arial" w:hAnsi="Arial" w:cs="Arial"/>
          <w:sz w:val="16"/>
          <w:szCs w:val="16"/>
        </w:rPr>
        <w:t>s</w:t>
      </w:r>
      <w:r w:rsidR="006126A1" w:rsidRPr="00F40278">
        <w:rPr>
          <w:rFonts w:ascii="Arial" w:hAnsi="Arial" w:cs="Arial"/>
          <w:sz w:val="16"/>
          <w:szCs w:val="16"/>
        </w:rPr>
        <w:t>tatements.</w:t>
      </w:r>
      <w:r w:rsidR="0023364A" w:rsidRPr="00F40278">
        <w:rPr>
          <w:rFonts w:ascii="Arial" w:hAnsi="Arial" w:cs="Arial"/>
          <w:sz w:val="16"/>
          <w:szCs w:val="16"/>
        </w:rPr>
        <w:t xml:space="preserve"> </w:t>
      </w:r>
      <w:r w:rsidR="003B3D6B" w:rsidRPr="00F40278">
        <w:rPr>
          <w:rFonts w:ascii="Arial" w:hAnsi="Arial" w:cs="Arial"/>
          <w:sz w:val="16"/>
          <w:szCs w:val="16"/>
        </w:rPr>
        <w:t>E</w:t>
      </w:r>
      <w:r w:rsidR="007C609B" w:rsidRPr="00F40278">
        <w:rPr>
          <w:rFonts w:ascii="Arial" w:hAnsi="Arial" w:cs="Arial"/>
          <w:sz w:val="16"/>
          <w:szCs w:val="16"/>
        </w:rPr>
        <w:t xml:space="preserve">stimates </w:t>
      </w:r>
      <w:r w:rsidR="003B3D6B" w:rsidRPr="00F40278">
        <w:rPr>
          <w:rFonts w:ascii="Arial" w:hAnsi="Arial" w:cs="Arial"/>
          <w:sz w:val="16"/>
          <w:szCs w:val="16"/>
        </w:rPr>
        <w:t xml:space="preserve">made in relation to the </w:t>
      </w:r>
      <w:r w:rsidR="00D8506E" w:rsidRPr="00F40278">
        <w:rPr>
          <w:rFonts w:ascii="Arial" w:hAnsi="Arial" w:cs="Arial"/>
          <w:sz w:val="16"/>
          <w:szCs w:val="16"/>
        </w:rPr>
        <w:t>d</w:t>
      </w:r>
      <w:r w:rsidR="003B3D6B" w:rsidRPr="00F40278">
        <w:rPr>
          <w:rFonts w:ascii="Arial" w:hAnsi="Arial" w:cs="Arial"/>
          <w:sz w:val="16"/>
          <w:szCs w:val="16"/>
        </w:rPr>
        <w:t xml:space="preserve">epartmental </w:t>
      </w:r>
      <w:r w:rsidR="00D8506E" w:rsidRPr="00F40278">
        <w:rPr>
          <w:rFonts w:ascii="Arial" w:hAnsi="Arial" w:cs="Arial"/>
          <w:sz w:val="16"/>
          <w:szCs w:val="16"/>
        </w:rPr>
        <w:t>f</w:t>
      </w:r>
      <w:r w:rsidR="003B3D6B" w:rsidRPr="00F40278">
        <w:rPr>
          <w:rFonts w:ascii="Arial" w:hAnsi="Arial" w:cs="Arial"/>
          <w:sz w:val="16"/>
          <w:szCs w:val="16"/>
        </w:rPr>
        <w:t xml:space="preserve">inancial </w:t>
      </w:r>
      <w:r w:rsidR="00D8506E" w:rsidRPr="00F40278">
        <w:rPr>
          <w:rFonts w:ascii="Arial" w:hAnsi="Arial" w:cs="Arial"/>
          <w:sz w:val="16"/>
          <w:szCs w:val="16"/>
        </w:rPr>
        <w:t>s</w:t>
      </w:r>
      <w:r w:rsidR="003B3D6B" w:rsidRPr="00F40278">
        <w:rPr>
          <w:rFonts w:ascii="Arial" w:hAnsi="Arial" w:cs="Arial"/>
          <w:sz w:val="16"/>
          <w:szCs w:val="16"/>
        </w:rPr>
        <w:t>tatements are</w:t>
      </w:r>
      <w:r w:rsidR="007C609B" w:rsidRPr="00F40278">
        <w:rPr>
          <w:rFonts w:ascii="Arial" w:hAnsi="Arial" w:cs="Arial"/>
          <w:sz w:val="16"/>
          <w:szCs w:val="16"/>
        </w:rPr>
        <w:t xml:space="preserve"> to</w:t>
      </w:r>
      <w:r w:rsidR="00354364" w:rsidRPr="00F40278">
        <w:rPr>
          <w:rFonts w:ascii="Arial" w:hAnsi="Arial" w:cs="Arial"/>
          <w:sz w:val="16"/>
          <w:szCs w:val="16"/>
        </w:rPr>
        <w:t>:</w:t>
      </w:r>
      <w:r w:rsidR="00DF2408" w:rsidRPr="00F40278">
        <w:rPr>
          <w:rFonts w:ascii="Arial" w:hAnsi="Arial" w:cs="Arial"/>
          <w:sz w:val="16"/>
          <w:szCs w:val="16"/>
        </w:rPr>
        <w:t xml:space="preserve"> </w:t>
      </w:r>
      <w:r w:rsidR="00291E39" w:rsidRPr="00F40278">
        <w:rPr>
          <w:rFonts w:ascii="Arial" w:hAnsi="Arial" w:cs="Arial"/>
          <w:sz w:val="16"/>
          <w:szCs w:val="16"/>
        </w:rPr>
        <w:t>non-financial a</w:t>
      </w:r>
      <w:r w:rsidR="007C609B" w:rsidRPr="00F40278">
        <w:rPr>
          <w:rFonts w:ascii="Arial" w:hAnsi="Arial" w:cs="Arial"/>
          <w:sz w:val="16"/>
          <w:szCs w:val="16"/>
        </w:rPr>
        <w:t>ssets</w:t>
      </w:r>
      <w:r w:rsidR="00354364" w:rsidRPr="00F40278">
        <w:rPr>
          <w:rFonts w:ascii="Arial" w:hAnsi="Arial" w:cs="Arial"/>
          <w:sz w:val="16"/>
          <w:szCs w:val="16"/>
        </w:rPr>
        <w:t>;</w:t>
      </w:r>
      <w:r w:rsidR="007C609B" w:rsidRPr="00F40278">
        <w:rPr>
          <w:rFonts w:ascii="Arial" w:hAnsi="Arial" w:cs="Arial"/>
          <w:sz w:val="16"/>
          <w:szCs w:val="16"/>
        </w:rPr>
        <w:t xml:space="preserve"> </w:t>
      </w:r>
      <w:r w:rsidR="00291E39" w:rsidRPr="00F40278">
        <w:rPr>
          <w:rFonts w:ascii="Arial" w:hAnsi="Arial" w:cs="Arial"/>
          <w:sz w:val="16"/>
          <w:szCs w:val="16"/>
        </w:rPr>
        <w:t>e</w:t>
      </w:r>
      <w:r w:rsidR="007C609B" w:rsidRPr="00F40278">
        <w:rPr>
          <w:rFonts w:ascii="Arial" w:hAnsi="Arial" w:cs="Arial"/>
          <w:sz w:val="16"/>
          <w:szCs w:val="16"/>
        </w:rPr>
        <w:t xml:space="preserve">mployee </w:t>
      </w:r>
      <w:r w:rsidR="00291E39" w:rsidRPr="00F40278">
        <w:rPr>
          <w:rFonts w:ascii="Arial" w:hAnsi="Arial" w:cs="Arial"/>
          <w:sz w:val="16"/>
          <w:szCs w:val="16"/>
        </w:rPr>
        <w:t>p</w:t>
      </w:r>
      <w:r w:rsidR="007C609B" w:rsidRPr="00F40278">
        <w:rPr>
          <w:rFonts w:ascii="Arial" w:hAnsi="Arial" w:cs="Arial"/>
          <w:sz w:val="16"/>
          <w:szCs w:val="16"/>
        </w:rPr>
        <w:t>rovisions</w:t>
      </w:r>
      <w:r w:rsidR="00354364" w:rsidRPr="00F40278">
        <w:rPr>
          <w:rFonts w:ascii="Arial" w:hAnsi="Arial" w:cs="Arial"/>
          <w:sz w:val="16"/>
          <w:szCs w:val="16"/>
        </w:rPr>
        <w:t>;</w:t>
      </w:r>
      <w:r w:rsidR="00BF4939" w:rsidRPr="00F40278">
        <w:rPr>
          <w:rFonts w:ascii="Arial" w:hAnsi="Arial" w:cs="Arial"/>
          <w:sz w:val="16"/>
          <w:szCs w:val="16"/>
        </w:rPr>
        <w:t xml:space="preserve"> lease incentives</w:t>
      </w:r>
      <w:r w:rsidR="00354364" w:rsidRPr="00F40278">
        <w:rPr>
          <w:rFonts w:ascii="Arial" w:hAnsi="Arial" w:cs="Arial"/>
          <w:sz w:val="16"/>
          <w:szCs w:val="16"/>
        </w:rPr>
        <w:t>;</w:t>
      </w:r>
      <w:r w:rsidR="007C609B" w:rsidRPr="00F40278">
        <w:rPr>
          <w:rFonts w:ascii="Arial" w:hAnsi="Arial" w:cs="Arial"/>
          <w:sz w:val="16"/>
          <w:szCs w:val="16"/>
        </w:rPr>
        <w:t xml:space="preserve"> </w:t>
      </w:r>
      <w:r w:rsidR="003B3D6B" w:rsidRPr="00F40278">
        <w:rPr>
          <w:rFonts w:ascii="Arial" w:hAnsi="Arial" w:cs="Arial"/>
          <w:sz w:val="16"/>
          <w:szCs w:val="16"/>
        </w:rPr>
        <w:t xml:space="preserve">and </w:t>
      </w:r>
      <w:r w:rsidR="00985AC5" w:rsidRPr="00F40278">
        <w:rPr>
          <w:rFonts w:ascii="Arial" w:hAnsi="Arial" w:cs="Arial"/>
          <w:sz w:val="16"/>
          <w:szCs w:val="16"/>
        </w:rPr>
        <w:t xml:space="preserve">the </w:t>
      </w:r>
      <w:r w:rsidR="00354364" w:rsidRPr="00F40278">
        <w:rPr>
          <w:rFonts w:ascii="Arial" w:hAnsi="Arial" w:cs="Arial"/>
          <w:sz w:val="16"/>
          <w:szCs w:val="16"/>
        </w:rPr>
        <w:t>make-good</w:t>
      </w:r>
      <w:r w:rsidR="00985AC5" w:rsidRPr="00F40278">
        <w:rPr>
          <w:rFonts w:ascii="Arial" w:hAnsi="Arial" w:cs="Arial"/>
          <w:sz w:val="16"/>
          <w:szCs w:val="16"/>
        </w:rPr>
        <w:t xml:space="preserve"> for</w:t>
      </w:r>
      <w:r w:rsidR="0023364A" w:rsidRPr="00F40278">
        <w:rPr>
          <w:rFonts w:ascii="Arial" w:hAnsi="Arial" w:cs="Arial"/>
          <w:sz w:val="16"/>
          <w:szCs w:val="16"/>
        </w:rPr>
        <w:t xml:space="preserve"> leased properties</w:t>
      </w:r>
      <w:r w:rsidR="003B3D6B" w:rsidRPr="00F40278">
        <w:rPr>
          <w:rFonts w:ascii="Arial" w:hAnsi="Arial" w:cs="Arial"/>
          <w:sz w:val="16"/>
          <w:szCs w:val="16"/>
        </w:rPr>
        <w:t>.</w:t>
      </w:r>
    </w:p>
    <w:p w14:paraId="106B6057" w14:textId="77777777" w:rsidR="00092BD1" w:rsidRPr="00F40278" w:rsidRDefault="00130325" w:rsidP="00A613E4">
      <w:pPr>
        <w:spacing w:before="160" w:after="160"/>
        <w:jc w:val="both"/>
        <w:rPr>
          <w:rFonts w:ascii="Arial" w:hAnsi="Arial" w:cs="Arial"/>
          <w:sz w:val="16"/>
          <w:szCs w:val="16"/>
        </w:rPr>
      </w:pPr>
      <w:r w:rsidRPr="00F40278">
        <w:rPr>
          <w:rFonts w:ascii="Arial" w:hAnsi="Arial" w:cs="Arial"/>
          <w:sz w:val="16"/>
          <w:szCs w:val="16"/>
        </w:rPr>
        <w:t>No accounting assumptions or estimates have been identified that have a significant risk of causing a material adjustment to carrying amounts of assets and liabilities within the next accounting period.</w:t>
      </w:r>
    </w:p>
    <w:p w14:paraId="025B9584" w14:textId="13DAA3A0" w:rsidR="00127418" w:rsidRPr="00F40278" w:rsidRDefault="00092BD1">
      <w:pPr>
        <w:shd w:val="clear" w:color="auto" w:fill="BFBFBF" w:themeFill="background1" w:themeFillShade="BF"/>
        <w:spacing w:before="160" w:after="160"/>
        <w:jc w:val="both"/>
        <w:rPr>
          <w:rFonts w:ascii="Arial" w:hAnsi="Arial" w:cs="Arial"/>
          <w:sz w:val="16"/>
          <w:szCs w:val="16"/>
        </w:rPr>
      </w:pPr>
      <w:r w:rsidRPr="00F40278">
        <w:rPr>
          <w:rFonts w:ascii="Arial" w:hAnsi="Arial" w:cs="Arial"/>
          <w:sz w:val="16"/>
          <w:szCs w:val="16"/>
        </w:rPr>
        <w:t>In relation to Administere</w:t>
      </w:r>
      <w:r w:rsidR="00601E05" w:rsidRPr="00F40278">
        <w:rPr>
          <w:rFonts w:ascii="Arial" w:hAnsi="Arial" w:cs="Arial"/>
          <w:sz w:val="16"/>
          <w:szCs w:val="16"/>
        </w:rPr>
        <w:t xml:space="preserve">d Investments in Australia Post, management estimates are used to determine volume and </w:t>
      </w:r>
      <w:r w:rsidRPr="00F40278">
        <w:rPr>
          <w:rFonts w:ascii="Arial" w:hAnsi="Arial" w:cs="Arial"/>
          <w:sz w:val="16"/>
          <w:szCs w:val="16"/>
        </w:rPr>
        <w:t>price growth rates</w:t>
      </w:r>
      <w:r w:rsidR="00601E05" w:rsidRPr="00F40278">
        <w:rPr>
          <w:rFonts w:ascii="Arial" w:hAnsi="Arial" w:cs="Arial"/>
          <w:sz w:val="16"/>
          <w:szCs w:val="16"/>
        </w:rPr>
        <w:t xml:space="preserve"> that underpin the discounted cash flow valuation</w:t>
      </w:r>
      <w:r w:rsidR="006134F5">
        <w:rPr>
          <w:rFonts w:ascii="Arial" w:hAnsi="Arial" w:cs="Arial"/>
          <w:sz w:val="16"/>
          <w:szCs w:val="16"/>
        </w:rPr>
        <w:t xml:space="preserve"> at the end of the reporting period</w:t>
      </w:r>
      <w:r w:rsidRPr="00F40278">
        <w:rPr>
          <w:rFonts w:ascii="Arial" w:hAnsi="Arial" w:cs="Arial"/>
          <w:sz w:val="16"/>
          <w:szCs w:val="16"/>
        </w:rPr>
        <w:t xml:space="preserve">. Actual results may differ from these estimates under different assumptions and </w:t>
      </w:r>
      <w:r w:rsidRPr="000D7AF5">
        <w:rPr>
          <w:rFonts w:ascii="Arial" w:hAnsi="Arial" w:cs="Arial"/>
          <w:sz w:val="16"/>
          <w:szCs w:val="16"/>
        </w:rPr>
        <w:t>conditions and may materially affect the financial position reported in future periods.</w:t>
      </w:r>
      <w:r w:rsidR="00A163F2" w:rsidRPr="000D7AF5">
        <w:rPr>
          <w:rFonts w:ascii="Arial" w:hAnsi="Arial" w:cs="Arial"/>
          <w:sz w:val="16"/>
          <w:szCs w:val="16"/>
        </w:rPr>
        <w:t xml:space="preserve"> </w:t>
      </w:r>
    </w:p>
    <w:p w14:paraId="0E83AD5E" w14:textId="77777777" w:rsidR="002477B8" w:rsidRPr="000D7AF5" w:rsidRDefault="008A705C" w:rsidP="00A613E4">
      <w:pPr>
        <w:numPr>
          <w:ilvl w:val="1"/>
          <w:numId w:val="1"/>
        </w:numPr>
        <w:tabs>
          <w:tab w:val="num" w:pos="0"/>
        </w:tabs>
        <w:spacing w:before="200" w:after="200"/>
        <w:ind w:left="482" w:hanging="482"/>
        <w:rPr>
          <w:rFonts w:ascii="Arial" w:hAnsi="Arial" w:cs="Arial"/>
          <w:b/>
          <w:sz w:val="16"/>
          <w:szCs w:val="16"/>
        </w:rPr>
      </w:pPr>
      <w:r w:rsidRPr="000D7AF5">
        <w:rPr>
          <w:rFonts w:ascii="Arial" w:hAnsi="Arial" w:cs="Arial"/>
          <w:b/>
          <w:sz w:val="16"/>
          <w:szCs w:val="16"/>
        </w:rPr>
        <w:t xml:space="preserve"> </w:t>
      </w:r>
      <w:r w:rsidR="0084193E" w:rsidRPr="000D7AF5">
        <w:rPr>
          <w:rFonts w:ascii="Arial" w:hAnsi="Arial" w:cs="Arial"/>
          <w:b/>
          <w:sz w:val="16"/>
          <w:szCs w:val="16"/>
        </w:rPr>
        <w:t>New</w:t>
      </w:r>
      <w:r w:rsidRPr="000D7AF5">
        <w:rPr>
          <w:rFonts w:ascii="Arial" w:hAnsi="Arial" w:cs="Arial"/>
          <w:b/>
          <w:sz w:val="16"/>
          <w:szCs w:val="16"/>
        </w:rPr>
        <w:t xml:space="preserve"> Australian Accounting Standards</w:t>
      </w:r>
      <w:r w:rsidR="004F190E" w:rsidRPr="000D7AF5">
        <w:rPr>
          <w:rFonts w:ascii="Arial" w:hAnsi="Arial" w:cs="Arial"/>
          <w:b/>
          <w:sz w:val="16"/>
          <w:szCs w:val="16"/>
        </w:rPr>
        <w:tab/>
      </w:r>
    </w:p>
    <w:p w14:paraId="6C9E9C68" w14:textId="77777777" w:rsidR="004F190E" w:rsidRPr="008F3EDE" w:rsidRDefault="00C80A72" w:rsidP="00D94D68">
      <w:pPr>
        <w:spacing w:before="160" w:after="160"/>
        <w:jc w:val="both"/>
        <w:rPr>
          <w:rFonts w:ascii="Arial" w:hAnsi="Arial" w:cs="Arial"/>
          <w:i/>
          <w:sz w:val="16"/>
          <w:szCs w:val="16"/>
        </w:rPr>
      </w:pPr>
      <w:r w:rsidRPr="008F3EDE">
        <w:rPr>
          <w:rFonts w:ascii="Arial" w:hAnsi="Arial" w:cs="Arial"/>
          <w:i/>
          <w:sz w:val="16"/>
          <w:szCs w:val="16"/>
        </w:rPr>
        <w:t>Adoption of</w:t>
      </w:r>
      <w:r w:rsidR="00163428" w:rsidRPr="008F3EDE">
        <w:rPr>
          <w:rFonts w:ascii="Arial" w:hAnsi="Arial" w:cs="Arial"/>
          <w:i/>
          <w:sz w:val="16"/>
          <w:szCs w:val="16"/>
        </w:rPr>
        <w:t xml:space="preserve"> </w:t>
      </w:r>
      <w:r w:rsidRPr="008F3EDE">
        <w:rPr>
          <w:rFonts w:ascii="Arial" w:hAnsi="Arial" w:cs="Arial"/>
          <w:i/>
          <w:sz w:val="16"/>
          <w:szCs w:val="16"/>
        </w:rPr>
        <w:t>New Australian Accounting Standard Requirements</w:t>
      </w:r>
    </w:p>
    <w:p w14:paraId="0DBA0194" w14:textId="176DB407" w:rsidR="00380B19" w:rsidRDefault="004F190E" w:rsidP="00A613E4">
      <w:pPr>
        <w:spacing w:before="160" w:after="160"/>
        <w:jc w:val="both"/>
        <w:rPr>
          <w:rFonts w:ascii="Arial" w:hAnsi="Arial" w:cs="Arial"/>
          <w:sz w:val="16"/>
          <w:szCs w:val="16"/>
        </w:rPr>
      </w:pPr>
      <w:r w:rsidRPr="008F3EDE">
        <w:rPr>
          <w:rFonts w:ascii="Arial" w:hAnsi="Arial" w:cs="Arial"/>
          <w:sz w:val="16"/>
          <w:szCs w:val="16"/>
        </w:rPr>
        <w:t>No accounting standard has been adopted earlier than the application d</w:t>
      </w:r>
      <w:r w:rsidR="0023364A" w:rsidRPr="008F3EDE">
        <w:rPr>
          <w:rFonts w:ascii="Arial" w:hAnsi="Arial" w:cs="Arial"/>
          <w:sz w:val="16"/>
          <w:szCs w:val="16"/>
        </w:rPr>
        <w:t xml:space="preserve">ate as stated in the standard. </w:t>
      </w:r>
      <w:r w:rsidR="00FF75A9" w:rsidRPr="008F3EDE">
        <w:rPr>
          <w:rFonts w:ascii="Arial" w:hAnsi="Arial" w:cs="Arial"/>
          <w:sz w:val="16"/>
          <w:szCs w:val="16"/>
        </w:rPr>
        <w:t xml:space="preserve">No new standards, revised standards, interpretations </w:t>
      </w:r>
      <w:r w:rsidR="00354364" w:rsidRPr="008F3EDE">
        <w:rPr>
          <w:rFonts w:ascii="Arial" w:hAnsi="Arial" w:cs="Arial"/>
          <w:sz w:val="16"/>
          <w:szCs w:val="16"/>
        </w:rPr>
        <w:t xml:space="preserve">or </w:t>
      </w:r>
      <w:r w:rsidR="00FF75A9" w:rsidRPr="008F3EDE">
        <w:rPr>
          <w:rFonts w:ascii="Arial" w:hAnsi="Arial" w:cs="Arial"/>
          <w:sz w:val="16"/>
          <w:szCs w:val="16"/>
        </w:rPr>
        <w:t xml:space="preserve">amending standards that were issued prior to the signing of the </w:t>
      </w:r>
      <w:r w:rsidR="00C9242E" w:rsidRPr="008F3EDE">
        <w:rPr>
          <w:rFonts w:ascii="Arial" w:hAnsi="Arial" w:cs="Arial"/>
          <w:sz w:val="16"/>
          <w:szCs w:val="16"/>
        </w:rPr>
        <w:t>S</w:t>
      </w:r>
      <w:r w:rsidR="00FF75A9" w:rsidRPr="008F3EDE">
        <w:rPr>
          <w:rFonts w:ascii="Arial" w:hAnsi="Arial" w:cs="Arial"/>
          <w:sz w:val="16"/>
          <w:szCs w:val="16"/>
        </w:rPr>
        <w:t xml:space="preserve">tatement by the </w:t>
      </w:r>
      <w:r w:rsidR="00FF27C1">
        <w:rPr>
          <w:rFonts w:ascii="Arial" w:hAnsi="Arial" w:cs="Arial"/>
          <w:sz w:val="16"/>
          <w:szCs w:val="16"/>
        </w:rPr>
        <w:t>Accountable Authority</w:t>
      </w:r>
      <w:r w:rsidR="00FF75A9" w:rsidRPr="008F3EDE">
        <w:rPr>
          <w:rFonts w:ascii="Arial" w:hAnsi="Arial" w:cs="Arial"/>
          <w:sz w:val="16"/>
          <w:szCs w:val="16"/>
        </w:rPr>
        <w:t xml:space="preserve"> and Chief Financial Officer and </w:t>
      </w:r>
      <w:r w:rsidR="00FF27C1">
        <w:rPr>
          <w:rFonts w:ascii="Arial" w:hAnsi="Arial" w:cs="Arial"/>
          <w:sz w:val="16"/>
          <w:szCs w:val="16"/>
        </w:rPr>
        <w:t>wer</w:t>
      </w:r>
      <w:r w:rsidR="00FF75A9" w:rsidRPr="008F3EDE">
        <w:rPr>
          <w:rFonts w:ascii="Arial" w:hAnsi="Arial" w:cs="Arial"/>
          <w:sz w:val="16"/>
          <w:szCs w:val="16"/>
        </w:rPr>
        <w:t>e applicable to the current reporting period ha</w:t>
      </w:r>
      <w:r w:rsidR="00FF27C1">
        <w:rPr>
          <w:rFonts w:ascii="Arial" w:hAnsi="Arial" w:cs="Arial"/>
          <w:sz w:val="16"/>
          <w:szCs w:val="16"/>
        </w:rPr>
        <w:t>d</w:t>
      </w:r>
      <w:r w:rsidR="00FF75A9" w:rsidRPr="008F3EDE">
        <w:rPr>
          <w:rFonts w:ascii="Arial" w:hAnsi="Arial" w:cs="Arial"/>
          <w:sz w:val="16"/>
          <w:szCs w:val="16"/>
        </w:rPr>
        <w:t xml:space="preserve"> a material financial impact </w:t>
      </w:r>
      <w:r w:rsidR="00354364" w:rsidRPr="008F3EDE">
        <w:rPr>
          <w:rFonts w:ascii="Arial" w:hAnsi="Arial" w:cs="Arial"/>
          <w:sz w:val="16"/>
          <w:szCs w:val="16"/>
        </w:rPr>
        <w:t xml:space="preserve">or </w:t>
      </w:r>
      <w:r w:rsidR="00FF27C1">
        <w:rPr>
          <w:rFonts w:ascii="Arial" w:hAnsi="Arial" w:cs="Arial"/>
          <w:sz w:val="16"/>
          <w:szCs w:val="16"/>
        </w:rPr>
        <w:t>we</w:t>
      </w:r>
      <w:r w:rsidR="00FF75A9" w:rsidRPr="008F3EDE">
        <w:rPr>
          <w:rFonts w:ascii="Arial" w:hAnsi="Arial" w:cs="Arial"/>
          <w:sz w:val="16"/>
          <w:szCs w:val="16"/>
        </w:rPr>
        <w:t xml:space="preserve">re expected to have a material </w:t>
      </w:r>
      <w:r w:rsidR="00FF75A9" w:rsidRPr="000D7AF5">
        <w:rPr>
          <w:rFonts w:ascii="Arial" w:hAnsi="Arial" w:cs="Arial"/>
          <w:sz w:val="16"/>
          <w:szCs w:val="16"/>
        </w:rPr>
        <w:t xml:space="preserve">future financial impact on the </w:t>
      </w:r>
      <w:r w:rsidR="00F40D39" w:rsidRPr="000D7AF5">
        <w:rPr>
          <w:rFonts w:ascii="Arial" w:hAnsi="Arial" w:cs="Arial"/>
          <w:sz w:val="16"/>
          <w:szCs w:val="16"/>
        </w:rPr>
        <w:t>Department</w:t>
      </w:r>
      <w:r w:rsidR="00FF75A9" w:rsidRPr="000D7AF5">
        <w:rPr>
          <w:rFonts w:ascii="Arial" w:hAnsi="Arial" w:cs="Arial"/>
          <w:sz w:val="16"/>
          <w:szCs w:val="16"/>
        </w:rPr>
        <w:t>.</w:t>
      </w:r>
    </w:p>
    <w:p w14:paraId="6F764AF6" w14:textId="089EB5EC" w:rsidR="00E833A8" w:rsidRPr="000D7AF5" w:rsidRDefault="00E833A8" w:rsidP="00E833A8">
      <w:pPr>
        <w:spacing w:before="160" w:after="160"/>
        <w:jc w:val="both"/>
        <w:rPr>
          <w:rFonts w:ascii="Arial" w:hAnsi="Arial" w:cs="Arial"/>
          <w:sz w:val="16"/>
          <w:szCs w:val="16"/>
        </w:rPr>
      </w:pPr>
      <w:r w:rsidRPr="007B1160">
        <w:rPr>
          <w:rFonts w:ascii="Arial" w:hAnsi="Arial" w:cs="Arial"/>
          <w:sz w:val="16"/>
          <w:szCs w:val="16"/>
        </w:rPr>
        <w:t xml:space="preserve">The AASB 1055 </w:t>
      </w:r>
      <w:r w:rsidRPr="007B1160">
        <w:rPr>
          <w:rFonts w:ascii="Arial" w:hAnsi="Arial" w:cs="Arial"/>
          <w:i/>
          <w:sz w:val="16"/>
          <w:szCs w:val="16"/>
        </w:rPr>
        <w:t>Budgetary Reporting</w:t>
      </w:r>
      <w:r w:rsidRPr="007B1160">
        <w:rPr>
          <w:rFonts w:ascii="Arial" w:hAnsi="Arial" w:cs="Arial"/>
          <w:sz w:val="16"/>
          <w:szCs w:val="16"/>
        </w:rPr>
        <w:t xml:space="preserve"> requires </w:t>
      </w:r>
      <w:r>
        <w:rPr>
          <w:rFonts w:ascii="Arial" w:hAnsi="Arial" w:cs="Arial"/>
          <w:sz w:val="16"/>
          <w:szCs w:val="16"/>
        </w:rPr>
        <w:t>the Department</w:t>
      </w:r>
      <w:r w:rsidRPr="007B1160">
        <w:rPr>
          <w:rFonts w:ascii="Arial" w:hAnsi="Arial" w:cs="Arial"/>
          <w:sz w:val="16"/>
          <w:szCs w:val="16"/>
        </w:rPr>
        <w:t xml:space="preserve"> to report on budgetary information and explanation of significant variances between actual results and budgeted amounts</w:t>
      </w:r>
      <w:r>
        <w:rPr>
          <w:rFonts w:ascii="Arial" w:hAnsi="Arial" w:cs="Arial"/>
          <w:sz w:val="16"/>
          <w:szCs w:val="16"/>
        </w:rPr>
        <w:t>. The Department has applied the new disclosure within the financial statements as outlined in Note 32: Budgetary Reports.</w:t>
      </w:r>
    </w:p>
    <w:p w14:paraId="7030A1E0" w14:textId="77777777" w:rsidR="004F190E" w:rsidRPr="000D7AF5" w:rsidRDefault="00C80A72" w:rsidP="00D94D68">
      <w:pPr>
        <w:spacing w:before="160" w:after="160"/>
        <w:jc w:val="both"/>
        <w:rPr>
          <w:rFonts w:ascii="Arial" w:hAnsi="Arial" w:cs="Arial"/>
          <w:i/>
          <w:sz w:val="16"/>
          <w:szCs w:val="16"/>
        </w:rPr>
      </w:pPr>
      <w:r w:rsidRPr="000D7AF5">
        <w:rPr>
          <w:rFonts w:ascii="Arial" w:hAnsi="Arial" w:cs="Arial"/>
          <w:i/>
          <w:sz w:val="16"/>
          <w:szCs w:val="16"/>
        </w:rPr>
        <w:t>Future Australian Accounting Standard Requirements</w:t>
      </w:r>
    </w:p>
    <w:p w14:paraId="14BEF854" w14:textId="79B26CB8" w:rsidR="004F190E" w:rsidRDefault="00FF75A9" w:rsidP="00A613E4">
      <w:pPr>
        <w:spacing w:before="160" w:after="160"/>
        <w:jc w:val="both"/>
        <w:rPr>
          <w:rFonts w:ascii="Arial" w:hAnsi="Arial" w:cs="Arial"/>
          <w:sz w:val="16"/>
          <w:szCs w:val="16"/>
        </w:rPr>
      </w:pPr>
      <w:r w:rsidRPr="000D7AF5">
        <w:rPr>
          <w:rFonts w:ascii="Arial" w:hAnsi="Arial" w:cs="Arial"/>
          <w:sz w:val="16"/>
          <w:szCs w:val="16"/>
        </w:rPr>
        <w:t xml:space="preserve">No new standards, revised standards, interpretations and amending standards that were issued prior to the signing of the </w:t>
      </w:r>
      <w:r w:rsidR="00C9242E" w:rsidRPr="000D7AF5">
        <w:rPr>
          <w:rFonts w:ascii="Arial" w:hAnsi="Arial" w:cs="Arial"/>
          <w:sz w:val="16"/>
          <w:szCs w:val="16"/>
        </w:rPr>
        <w:t>S</w:t>
      </w:r>
      <w:r w:rsidRPr="000D7AF5">
        <w:rPr>
          <w:rFonts w:ascii="Arial" w:hAnsi="Arial" w:cs="Arial"/>
          <w:sz w:val="16"/>
          <w:szCs w:val="16"/>
        </w:rPr>
        <w:t xml:space="preserve">tatement by the </w:t>
      </w:r>
      <w:r w:rsidR="009E21C0">
        <w:rPr>
          <w:rFonts w:ascii="Arial" w:hAnsi="Arial" w:cs="Arial"/>
          <w:sz w:val="16"/>
          <w:szCs w:val="16"/>
        </w:rPr>
        <w:t>Accountable Authority</w:t>
      </w:r>
      <w:r w:rsidRPr="000D7AF5">
        <w:rPr>
          <w:rFonts w:ascii="Arial" w:hAnsi="Arial" w:cs="Arial"/>
          <w:sz w:val="16"/>
          <w:szCs w:val="16"/>
        </w:rPr>
        <w:t xml:space="preserve"> and the Chief Financial Officer and are applicable to future reporting periods are expected to have a material future financial impact on the </w:t>
      </w:r>
      <w:r w:rsidR="00FD40CD">
        <w:rPr>
          <w:rFonts w:ascii="Arial" w:hAnsi="Arial" w:cs="Arial"/>
          <w:sz w:val="16"/>
          <w:szCs w:val="16"/>
        </w:rPr>
        <w:t>Department</w:t>
      </w:r>
      <w:r w:rsidRPr="000D7AF5">
        <w:rPr>
          <w:rFonts w:ascii="Arial" w:hAnsi="Arial" w:cs="Arial"/>
          <w:sz w:val="16"/>
          <w:szCs w:val="16"/>
        </w:rPr>
        <w:t>.</w:t>
      </w:r>
      <w:r w:rsidR="00C63AE9" w:rsidRPr="000D7AF5">
        <w:rPr>
          <w:rFonts w:ascii="Arial" w:hAnsi="Arial" w:cs="Arial"/>
          <w:sz w:val="16"/>
          <w:szCs w:val="16"/>
        </w:rPr>
        <w:t xml:space="preserve">  </w:t>
      </w:r>
    </w:p>
    <w:p w14:paraId="025B294C" w14:textId="77777777" w:rsidR="000E3972" w:rsidRPr="00F40278" w:rsidRDefault="008D68EE" w:rsidP="00A963A5">
      <w:pPr>
        <w:numPr>
          <w:ilvl w:val="1"/>
          <w:numId w:val="1"/>
        </w:numPr>
        <w:tabs>
          <w:tab w:val="num" w:pos="0"/>
        </w:tabs>
        <w:spacing w:before="200" w:after="200"/>
        <w:ind w:left="482" w:hanging="482"/>
        <w:rPr>
          <w:rFonts w:ascii="Arial" w:hAnsi="Arial" w:cs="Arial"/>
          <w:b/>
          <w:sz w:val="16"/>
          <w:szCs w:val="16"/>
        </w:rPr>
      </w:pPr>
      <w:r w:rsidRPr="00F40278">
        <w:rPr>
          <w:rFonts w:ascii="Arial" w:hAnsi="Arial" w:cs="Arial"/>
          <w:b/>
          <w:sz w:val="16"/>
          <w:szCs w:val="16"/>
        </w:rPr>
        <w:t>Revenue</w:t>
      </w:r>
      <w:r w:rsidR="00A613E4" w:rsidRPr="00F40278">
        <w:rPr>
          <w:rFonts w:ascii="Arial" w:hAnsi="Arial" w:cs="Arial"/>
          <w:b/>
          <w:sz w:val="16"/>
          <w:szCs w:val="16"/>
        </w:rPr>
        <w:tab/>
      </w:r>
    </w:p>
    <w:p w14:paraId="7E4BEC32" w14:textId="77777777" w:rsidR="0041146E" w:rsidRPr="00F40278" w:rsidRDefault="0041146E" w:rsidP="0041146E">
      <w:pPr>
        <w:spacing w:before="160"/>
        <w:jc w:val="both"/>
        <w:rPr>
          <w:rFonts w:ascii="Arial" w:hAnsi="Arial" w:cs="Arial"/>
          <w:sz w:val="16"/>
          <w:szCs w:val="16"/>
        </w:rPr>
      </w:pPr>
      <w:r w:rsidRPr="00F40278">
        <w:rPr>
          <w:rFonts w:ascii="Arial" w:hAnsi="Arial" w:cs="Arial"/>
          <w:sz w:val="16"/>
          <w:szCs w:val="16"/>
        </w:rPr>
        <w:t>Revenue from the sale of goods is recognised when:</w:t>
      </w:r>
    </w:p>
    <w:p w14:paraId="41B14515" w14:textId="77777777" w:rsidR="0041146E" w:rsidRPr="00F40278" w:rsidRDefault="0041146E" w:rsidP="0041146E">
      <w:pPr>
        <w:numPr>
          <w:ilvl w:val="0"/>
          <w:numId w:val="7"/>
        </w:numPr>
        <w:ind w:left="357" w:hanging="357"/>
        <w:jc w:val="both"/>
        <w:rPr>
          <w:rFonts w:ascii="Arial" w:hAnsi="Arial" w:cs="Arial"/>
          <w:sz w:val="16"/>
          <w:szCs w:val="16"/>
        </w:rPr>
      </w:pPr>
      <w:r w:rsidRPr="00F40278">
        <w:rPr>
          <w:rFonts w:ascii="Arial" w:hAnsi="Arial" w:cs="Arial"/>
          <w:sz w:val="16"/>
          <w:szCs w:val="16"/>
        </w:rPr>
        <w:t>the risks and rewards of ownership have been transferred to the buyer;</w:t>
      </w:r>
    </w:p>
    <w:p w14:paraId="48B41E68" w14:textId="77777777" w:rsidR="0041146E" w:rsidRPr="00F40278" w:rsidRDefault="0041146E" w:rsidP="0041146E">
      <w:pPr>
        <w:numPr>
          <w:ilvl w:val="0"/>
          <w:numId w:val="6"/>
        </w:numPr>
        <w:jc w:val="both"/>
        <w:rPr>
          <w:rFonts w:ascii="Arial" w:hAnsi="Arial" w:cs="Arial"/>
          <w:sz w:val="16"/>
          <w:szCs w:val="16"/>
        </w:rPr>
      </w:pPr>
      <w:r w:rsidRPr="00F40278">
        <w:rPr>
          <w:rFonts w:ascii="Arial" w:hAnsi="Arial" w:cs="Arial"/>
          <w:sz w:val="16"/>
          <w:szCs w:val="16"/>
        </w:rPr>
        <w:t>the seller retains no managerial involvement nor effective control over the goods;</w:t>
      </w:r>
    </w:p>
    <w:p w14:paraId="40FF4536" w14:textId="77777777" w:rsidR="0041146E" w:rsidRPr="00F40278" w:rsidRDefault="0041146E" w:rsidP="0041146E">
      <w:pPr>
        <w:numPr>
          <w:ilvl w:val="0"/>
          <w:numId w:val="6"/>
        </w:numPr>
        <w:jc w:val="both"/>
        <w:rPr>
          <w:rFonts w:ascii="Arial" w:hAnsi="Arial" w:cs="Arial"/>
          <w:sz w:val="16"/>
          <w:szCs w:val="16"/>
        </w:rPr>
      </w:pPr>
      <w:r w:rsidRPr="00F40278">
        <w:rPr>
          <w:rFonts w:ascii="Arial" w:hAnsi="Arial" w:cs="Arial"/>
          <w:sz w:val="16"/>
          <w:szCs w:val="16"/>
        </w:rPr>
        <w:t>the revenue and transaction costs incurred can be reliably measured; and</w:t>
      </w:r>
    </w:p>
    <w:p w14:paraId="1C0F02C2" w14:textId="77777777" w:rsidR="0041146E" w:rsidRPr="00F40278" w:rsidRDefault="0041146E" w:rsidP="0041146E">
      <w:pPr>
        <w:numPr>
          <w:ilvl w:val="0"/>
          <w:numId w:val="6"/>
        </w:numPr>
        <w:spacing w:after="160"/>
        <w:ind w:left="357" w:hanging="357"/>
        <w:jc w:val="both"/>
        <w:rPr>
          <w:rFonts w:ascii="Arial" w:hAnsi="Arial" w:cs="Arial"/>
          <w:sz w:val="16"/>
          <w:szCs w:val="16"/>
        </w:rPr>
      </w:pPr>
      <w:proofErr w:type="gramStart"/>
      <w:r w:rsidRPr="00F40278">
        <w:rPr>
          <w:rFonts w:ascii="Arial" w:hAnsi="Arial" w:cs="Arial"/>
          <w:sz w:val="16"/>
          <w:szCs w:val="16"/>
        </w:rPr>
        <w:t>it</w:t>
      </w:r>
      <w:proofErr w:type="gramEnd"/>
      <w:r w:rsidRPr="00F40278">
        <w:rPr>
          <w:rFonts w:ascii="Arial" w:hAnsi="Arial" w:cs="Arial"/>
          <w:sz w:val="16"/>
          <w:szCs w:val="16"/>
        </w:rPr>
        <w:t xml:space="preserve"> is probable that the economic benefits associated with the transaction will flow to the Department.</w:t>
      </w:r>
    </w:p>
    <w:p w14:paraId="06E993AA" w14:textId="77777777" w:rsidR="0041146E" w:rsidRPr="00F40278" w:rsidRDefault="0041146E" w:rsidP="0041146E">
      <w:pPr>
        <w:spacing w:before="160"/>
        <w:jc w:val="both"/>
        <w:rPr>
          <w:rFonts w:ascii="Arial" w:hAnsi="Arial" w:cs="Arial"/>
          <w:sz w:val="16"/>
          <w:szCs w:val="16"/>
        </w:rPr>
      </w:pPr>
      <w:r w:rsidRPr="00F40278">
        <w:rPr>
          <w:rFonts w:ascii="Arial" w:hAnsi="Arial" w:cs="Arial"/>
          <w:sz w:val="16"/>
          <w:szCs w:val="16"/>
        </w:rPr>
        <w:t>Revenue from rendering of services is recognised by reference to the stage of completion of contracts at the reporting date.  The revenue is recognised when:</w:t>
      </w:r>
    </w:p>
    <w:p w14:paraId="49D2834D" w14:textId="77777777" w:rsidR="0041146E" w:rsidRPr="00F40278" w:rsidRDefault="0041146E" w:rsidP="0041146E">
      <w:pPr>
        <w:numPr>
          <w:ilvl w:val="0"/>
          <w:numId w:val="7"/>
        </w:numPr>
        <w:ind w:left="357" w:hanging="357"/>
        <w:jc w:val="both"/>
        <w:rPr>
          <w:rFonts w:ascii="Arial" w:hAnsi="Arial" w:cs="Arial"/>
          <w:sz w:val="16"/>
          <w:szCs w:val="16"/>
        </w:rPr>
      </w:pPr>
      <w:r w:rsidRPr="00F40278">
        <w:rPr>
          <w:rFonts w:ascii="Arial" w:hAnsi="Arial" w:cs="Arial"/>
          <w:sz w:val="16"/>
          <w:szCs w:val="16"/>
        </w:rPr>
        <w:t>the amount of revenue, stage of completion and transaction costs incurred can be reliably measured; and</w:t>
      </w:r>
    </w:p>
    <w:p w14:paraId="2C03F0B3" w14:textId="77777777" w:rsidR="0041146E" w:rsidRPr="00F40278" w:rsidRDefault="0041146E" w:rsidP="0041146E">
      <w:pPr>
        <w:numPr>
          <w:ilvl w:val="0"/>
          <w:numId w:val="7"/>
        </w:numPr>
        <w:spacing w:after="160"/>
        <w:ind w:left="357" w:hanging="357"/>
        <w:jc w:val="both"/>
        <w:rPr>
          <w:rFonts w:ascii="Arial" w:hAnsi="Arial" w:cs="Arial"/>
          <w:sz w:val="16"/>
          <w:szCs w:val="16"/>
        </w:rPr>
      </w:pPr>
      <w:proofErr w:type="gramStart"/>
      <w:r w:rsidRPr="00F40278">
        <w:rPr>
          <w:rFonts w:ascii="Arial" w:hAnsi="Arial" w:cs="Arial"/>
          <w:sz w:val="16"/>
          <w:szCs w:val="16"/>
        </w:rPr>
        <w:t>the</w:t>
      </w:r>
      <w:proofErr w:type="gramEnd"/>
      <w:r w:rsidRPr="00F40278">
        <w:rPr>
          <w:rFonts w:ascii="Arial" w:hAnsi="Arial" w:cs="Arial"/>
          <w:sz w:val="16"/>
          <w:szCs w:val="16"/>
        </w:rPr>
        <w:t xml:space="preserve"> probable economic benefits associated with the transaction will flow to the Department. </w:t>
      </w:r>
    </w:p>
    <w:p w14:paraId="2E35C0B2" w14:textId="77777777" w:rsidR="0041146E" w:rsidRPr="00F40278" w:rsidRDefault="0041146E" w:rsidP="0041146E">
      <w:pPr>
        <w:spacing w:before="160" w:after="160"/>
        <w:jc w:val="both"/>
        <w:rPr>
          <w:rFonts w:ascii="Arial" w:hAnsi="Arial" w:cs="Arial"/>
          <w:sz w:val="16"/>
          <w:szCs w:val="16"/>
        </w:rPr>
      </w:pPr>
      <w:r w:rsidRPr="00F40278">
        <w:rPr>
          <w:rFonts w:ascii="Arial" w:hAnsi="Arial" w:cs="Arial"/>
          <w:sz w:val="16"/>
          <w:szCs w:val="16"/>
        </w:rPr>
        <w:t>The stage of completion of contracts at the reporting date is determined by reference to the proportion that costs incurred to date bear to the estimated total costs of the transaction.</w:t>
      </w:r>
    </w:p>
    <w:p w14:paraId="5F2E32F2" w14:textId="77777777" w:rsidR="000B37B3" w:rsidRDefault="0041146E" w:rsidP="0041146E">
      <w:pPr>
        <w:spacing w:before="160" w:after="160"/>
        <w:jc w:val="both"/>
        <w:rPr>
          <w:rFonts w:ascii="Arial" w:hAnsi="Arial" w:cs="Arial"/>
          <w:sz w:val="16"/>
          <w:szCs w:val="16"/>
        </w:rPr>
      </w:pPr>
      <w:r w:rsidRPr="00F40278">
        <w:rPr>
          <w:rFonts w:ascii="Arial" w:hAnsi="Arial" w:cs="Arial"/>
          <w:sz w:val="16"/>
          <w:szCs w:val="16"/>
        </w:rPr>
        <w:t>Receivables for goods and services, which have 30 day terms, are recognised at the nominal amounts due less any impairment allowance. Collectability of debts is reviewed at balance date. Impairment allowances are made when collectability of the debt is no longer probable.</w:t>
      </w:r>
    </w:p>
    <w:p w14:paraId="2014BF4D" w14:textId="25BFFD33" w:rsidR="00BB30B7" w:rsidRDefault="00BB30B7" w:rsidP="0041146E">
      <w:pPr>
        <w:spacing w:before="160" w:after="160"/>
        <w:jc w:val="both"/>
        <w:rPr>
          <w:rFonts w:ascii="Arial" w:hAnsi="Arial" w:cs="Arial"/>
          <w:sz w:val="16"/>
          <w:szCs w:val="16"/>
        </w:rPr>
      </w:pPr>
      <w:r w:rsidRPr="00FC3C87">
        <w:rPr>
          <w:rFonts w:ascii="Arial" w:hAnsi="Arial" w:cs="Arial"/>
          <w:sz w:val="16"/>
          <w:szCs w:val="16"/>
        </w:rPr>
        <w:t xml:space="preserve">Interest revenue is recognised using the effective interest method as set out in AASB 139 </w:t>
      </w:r>
      <w:r w:rsidRPr="00FC3C87">
        <w:rPr>
          <w:rFonts w:ascii="Arial" w:hAnsi="Arial" w:cs="Arial"/>
          <w:i/>
          <w:sz w:val="16"/>
          <w:szCs w:val="16"/>
        </w:rPr>
        <w:t>Financial Instruments: Recognition and Measurement</w:t>
      </w:r>
      <w:r w:rsidRPr="00FC3C87">
        <w:rPr>
          <w:rFonts w:ascii="Arial" w:hAnsi="Arial" w:cs="Arial"/>
          <w:sz w:val="16"/>
          <w:szCs w:val="16"/>
        </w:rPr>
        <w:t>.</w:t>
      </w:r>
    </w:p>
    <w:p w14:paraId="0A65564B" w14:textId="77777777" w:rsidR="004F190E" w:rsidRPr="00F40278" w:rsidRDefault="004037C2" w:rsidP="00D94D68">
      <w:pPr>
        <w:spacing w:before="160" w:after="160"/>
        <w:jc w:val="both"/>
        <w:rPr>
          <w:rFonts w:ascii="Arial" w:hAnsi="Arial" w:cs="Arial"/>
          <w:i/>
          <w:sz w:val="16"/>
          <w:szCs w:val="16"/>
        </w:rPr>
      </w:pPr>
      <w:r w:rsidRPr="00F40278">
        <w:rPr>
          <w:rFonts w:ascii="Arial" w:hAnsi="Arial" w:cs="Arial"/>
          <w:i/>
          <w:sz w:val="16"/>
          <w:szCs w:val="16"/>
        </w:rPr>
        <w:t>Revenue from Government</w:t>
      </w:r>
    </w:p>
    <w:p w14:paraId="6CAC2FB2" w14:textId="77777777" w:rsidR="000E3972" w:rsidRDefault="004F190E" w:rsidP="00D94D68">
      <w:pPr>
        <w:spacing w:before="160" w:after="160"/>
        <w:jc w:val="both"/>
        <w:rPr>
          <w:rFonts w:ascii="Arial" w:hAnsi="Arial" w:cs="Arial"/>
          <w:sz w:val="16"/>
          <w:szCs w:val="16"/>
        </w:rPr>
      </w:pPr>
      <w:r w:rsidRPr="00F40278">
        <w:rPr>
          <w:rFonts w:ascii="Arial" w:hAnsi="Arial" w:cs="Arial"/>
          <w:sz w:val="16"/>
          <w:szCs w:val="16"/>
        </w:rPr>
        <w:t xml:space="preserve">Amounts appropriated for </w:t>
      </w:r>
      <w:r w:rsidR="00363DDA" w:rsidRPr="00F40278">
        <w:rPr>
          <w:rFonts w:ascii="Arial" w:hAnsi="Arial" w:cs="Arial"/>
          <w:sz w:val="16"/>
          <w:szCs w:val="16"/>
        </w:rPr>
        <w:t>d</w:t>
      </w:r>
      <w:r w:rsidRPr="00F40278">
        <w:rPr>
          <w:rFonts w:ascii="Arial" w:hAnsi="Arial" w:cs="Arial"/>
          <w:sz w:val="16"/>
          <w:szCs w:val="16"/>
        </w:rPr>
        <w:t xml:space="preserve">epartmental </w:t>
      </w:r>
      <w:r w:rsidR="001A0B78" w:rsidRPr="00F40278">
        <w:rPr>
          <w:rFonts w:ascii="Arial" w:hAnsi="Arial" w:cs="Arial"/>
          <w:sz w:val="16"/>
          <w:szCs w:val="16"/>
        </w:rPr>
        <w:t>appropriations</w:t>
      </w:r>
      <w:r w:rsidRPr="00F40278">
        <w:rPr>
          <w:rFonts w:ascii="Arial" w:hAnsi="Arial" w:cs="Arial"/>
          <w:sz w:val="16"/>
          <w:szCs w:val="16"/>
        </w:rPr>
        <w:t xml:space="preserve"> for the year (adjusted for any formal additions and reductions) are recognised as </w:t>
      </w:r>
      <w:r w:rsidR="002B3D2A" w:rsidRPr="00F40278">
        <w:rPr>
          <w:rFonts w:ascii="Arial" w:hAnsi="Arial" w:cs="Arial"/>
          <w:sz w:val="16"/>
          <w:szCs w:val="16"/>
        </w:rPr>
        <w:t>R</w:t>
      </w:r>
      <w:r w:rsidRPr="00F40278">
        <w:rPr>
          <w:rFonts w:ascii="Arial" w:hAnsi="Arial" w:cs="Arial"/>
          <w:sz w:val="16"/>
          <w:szCs w:val="16"/>
        </w:rPr>
        <w:t xml:space="preserve">evenue </w:t>
      </w:r>
      <w:r w:rsidR="002B3D2A" w:rsidRPr="00F40278">
        <w:rPr>
          <w:rFonts w:ascii="Arial" w:hAnsi="Arial" w:cs="Arial"/>
          <w:sz w:val="16"/>
          <w:szCs w:val="16"/>
        </w:rPr>
        <w:t xml:space="preserve">from Government </w:t>
      </w:r>
      <w:r w:rsidRPr="00F40278">
        <w:rPr>
          <w:rFonts w:ascii="Arial" w:hAnsi="Arial" w:cs="Arial"/>
          <w:sz w:val="16"/>
          <w:szCs w:val="16"/>
        </w:rPr>
        <w:t xml:space="preserve">when the </w:t>
      </w:r>
      <w:r w:rsidR="00512762" w:rsidRPr="00F40278">
        <w:rPr>
          <w:rFonts w:ascii="Arial" w:hAnsi="Arial" w:cs="Arial"/>
          <w:sz w:val="16"/>
          <w:szCs w:val="16"/>
        </w:rPr>
        <w:t>Department</w:t>
      </w:r>
      <w:r w:rsidRPr="00F40278">
        <w:rPr>
          <w:rFonts w:ascii="Arial" w:hAnsi="Arial" w:cs="Arial"/>
          <w:sz w:val="16"/>
          <w:szCs w:val="16"/>
        </w:rPr>
        <w:t xml:space="preserve"> gains control of the appropriation, except for certain amounts that relate to activities that are reciprocal in nature, in which case revenue is recognised</w:t>
      </w:r>
      <w:r w:rsidR="00A613E4" w:rsidRPr="00F40278">
        <w:rPr>
          <w:rFonts w:ascii="Arial" w:hAnsi="Arial" w:cs="Arial"/>
          <w:sz w:val="16"/>
          <w:szCs w:val="16"/>
        </w:rPr>
        <w:t xml:space="preserve"> only when it has been earned.</w:t>
      </w:r>
      <w:r w:rsidR="00F96B5C" w:rsidRPr="00F40278">
        <w:rPr>
          <w:rFonts w:ascii="Arial" w:hAnsi="Arial" w:cs="Arial"/>
          <w:sz w:val="16"/>
          <w:szCs w:val="16"/>
        </w:rPr>
        <w:t xml:space="preserve"> </w:t>
      </w:r>
      <w:r w:rsidR="006A45C0" w:rsidRPr="00F40278">
        <w:rPr>
          <w:rFonts w:ascii="Arial" w:hAnsi="Arial" w:cs="Arial"/>
          <w:sz w:val="16"/>
          <w:szCs w:val="16"/>
        </w:rPr>
        <w:t>Appropriations receivable are recognised at their nominal amounts.</w:t>
      </w:r>
    </w:p>
    <w:p w14:paraId="360DF542" w14:textId="77777777" w:rsidR="00941E78" w:rsidRDefault="00941E78" w:rsidP="00D94D68">
      <w:pPr>
        <w:spacing w:before="160" w:after="160"/>
        <w:jc w:val="both"/>
        <w:rPr>
          <w:rFonts w:ascii="Arial" w:hAnsi="Arial" w:cs="Arial"/>
          <w:sz w:val="16"/>
          <w:szCs w:val="16"/>
        </w:rPr>
      </w:pPr>
    </w:p>
    <w:p w14:paraId="5086B779" w14:textId="77777777" w:rsidR="00941E78" w:rsidRDefault="00941E78" w:rsidP="00D94D68">
      <w:pPr>
        <w:spacing w:before="160" w:after="160"/>
        <w:jc w:val="both"/>
        <w:rPr>
          <w:rFonts w:ascii="Arial" w:hAnsi="Arial" w:cs="Arial"/>
          <w:sz w:val="16"/>
          <w:szCs w:val="16"/>
        </w:rPr>
      </w:pPr>
    </w:p>
    <w:p w14:paraId="5B397645" w14:textId="77777777" w:rsidR="00941E78" w:rsidRDefault="00941E78" w:rsidP="00D94D68">
      <w:pPr>
        <w:spacing w:before="160" w:after="160"/>
        <w:jc w:val="both"/>
        <w:rPr>
          <w:rFonts w:ascii="Arial" w:hAnsi="Arial" w:cs="Arial"/>
          <w:sz w:val="16"/>
          <w:szCs w:val="16"/>
        </w:rPr>
      </w:pPr>
    </w:p>
    <w:p w14:paraId="728195CF" w14:textId="77777777" w:rsidR="00A8334A" w:rsidRDefault="00A8334A" w:rsidP="00D94D68">
      <w:pPr>
        <w:spacing w:before="160" w:after="160"/>
        <w:jc w:val="both"/>
        <w:rPr>
          <w:rFonts w:ascii="Arial" w:hAnsi="Arial" w:cs="Arial"/>
          <w:sz w:val="16"/>
          <w:szCs w:val="16"/>
        </w:rPr>
      </w:pPr>
    </w:p>
    <w:p w14:paraId="467B22B0" w14:textId="77777777" w:rsidR="00941E78" w:rsidRDefault="00941E78" w:rsidP="00D94D68">
      <w:pPr>
        <w:spacing w:before="160" w:after="160"/>
        <w:jc w:val="both"/>
        <w:rPr>
          <w:rFonts w:ascii="Arial" w:hAnsi="Arial" w:cs="Arial"/>
          <w:sz w:val="16"/>
          <w:szCs w:val="16"/>
        </w:rPr>
      </w:pPr>
    </w:p>
    <w:p w14:paraId="7CEE89CF" w14:textId="77777777" w:rsidR="00941E78" w:rsidRDefault="00941E78" w:rsidP="00D94D68">
      <w:pPr>
        <w:spacing w:before="160" w:after="160"/>
        <w:jc w:val="both"/>
        <w:rPr>
          <w:rFonts w:ascii="Arial" w:hAnsi="Arial" w:cs="Arial"/>
          <w:sz w:val="16"/>
          <w:szCs w:val="16"/>
        </w:rPr>
      </w:pPr>
    </w:p>
    <w:p w14:paraId="6629BC2A" w14:textId="77777777" w:rsidR="00941E78" w:rsidRDefault="00941E78" w:rsidP="00D94D68">
      <w:pPr>
        <w:spacing w:before="160" w:after="160"/>
        <w:jc w:val="both"/>
        <w:rPr>
          <w:rFonts w:ascii="Arial" w:hAnsi="Arial" w:cs="Arial"/>
          <w:sz w:val="16"/>
          <w:szCs w:val="16"/>
        </w:rPr>
      </w:pPr>
    </w:p>
    <w:p w14:paraId="276581B1" w14:textId="77777777" w:rsidR="00652D33" w:rsidRPr="00F40278" w:rsidRDefault="00A613E4" w:rsidP="00652D33">
      <w:pPr>
        <w:numPr>
          <w:ilvl w:val="1"/>
          <w:numId w:val="1"/>
        </w:numPr>
        <w:tabs>
          <w:tab w:val="num" w:pos="0"/>
        </w:tabs>
        <w:spacing w:before="200" w:after="200"/>
        <w:ind w:left="482" w:hanging="482"/>
        <w:rPr>
          <w:rFonts w:ascii="Arial" w:hAnsi="Arial" w:cs="Arial"/>
          <w:b/>
          <w:sz w:val="16"/>
          <w:szCs w:val="16"/>
        </w:rPr>
      </w:pPr>
      <w:r w:rsidRPr="00F40278">
        <w:rPr>
          <w:rFonts w:ascii="Arial" w:hAnsi="Arial" w:cs="Arial"/>
          <w:b/>
          <w:sz w:val="16"/>
          <w:szCs w:val="16"/>
        </w:rPr>
        <w:lastRenderedPageBreak/>
        <w:t>Gains</w:t>
      </w:r>
    </w:p>
    <w:p w14:paraId="7C2D247C" w14:textId="77777777" w:rsidR="00652D33" w:rsidRPr="00F40278" w:rsidRDefault="004037C2" w:rsidP="00652D33">
      <w:pPr>
        <w:spacing w:before="160" w:after="160"/>
        <w:jc w:val="both"/>
        <w:rPr>
          <w:rFonts w:ascii="Arial" w:hAnsi="Arial" w:cs="Arial"/>
          <w:i/>
          <w:sz w:val="16"/>
          <w:szCs w:val="16"/>
        </w:rPr>
      </w:pPr>
      <w:r w:rsidRPr="00F40278">
        <w:rPr>
          <w:rFonts w:ascii="Arial" w:hAnsi="Arial" w:cs="Arial"/>
          <w:i/>
          <w:sz w:val="16"/>
          <w:szCs w:val="16"/>
        </w:rPr>
        <w:t>Resources Received Free of Charge</w:t>
      </w:r>
    </w:p>
    <w:p w14:paraId="6ADDAA4C" w14:textId="77777777" w:rsidR="00652D33" w:rsidRPr="00F40278" w:rsidRDefault="004F190E" w:rsidP="00652D33">
      <w:pPr>
        <w:spacing w:before="160" w:after="160"/>
        <w:jc w:val="both"/>
        <w:rPr>
          <w:rFonts w:ascii="Arial" w:hAnsi="Arial" w:cs="Arial"/>
          <w:sz w:val="16"/>
          <w:szCs w:val="16"/>
        </w:rPr>
      </w:pPr>
      <w:r w:rsidRPr="00F40278">
        <w:rPr>
          <w:rFonts w:ascii="Arial" w:hAnsi="Arial" w:cs="Arial"/>
          <w:sz w:val="16"/>
          <w:szCs w:val="16"/>
        </w:rPr>
        <w:t>Resources received free of charge are recognised as gains when</w:t>
      </w:r>
      <w:r w:rsidR="00C05EE5" w:rsidRPr="00F40278">
        <w:rPr>
          <w:rFonts w:ascii="Arial" w:hAnsi="Arial" w:cs="Arial"/>
          <w:sz w:val="16"/>
          <w:szCs w:val="16"/>
        </w:rPr>
        <w:t>,</w:t>
      </w:r>
      <w:r w:rsidRPr="00F40278">
        <w:rPr>
          <w:rFonts w:ascii="Arial" w:hAnsi="Arial" w:cs="Arial"/>
          <w:sz w:val="16"/>
          <w:szCs w:val="16"/>
        </w:rPr>
        <w:t xml:space="preserve"> and only when</w:t>
      </w:r>
      <w:r w:rsidR="0041146E" w:rsidRPr="00F40278">
        <w:rPr>
          <w:rFonts w:ascii="Arial" w:hAnsi="Arial" w:cs="Arial"/>
          <w:sz w:val="16"/>
          <w:szCs w:val="16"/>
        </w:rPr>
        <w:t>,</w:t>
      </w:r>
      <w:r w:rsidRPr="00F40278">
        <w:rPr>
          <w:rFonts w:ascii="Arial" w:hAnsi="Arial" w:cs="Arial"/>
          <w:sz w:val="16"/>
          <w:szCs w:val="16"/>
        </w:rPr>
        <w:t xml:space="preserve"> a fair value can be reliably determined and the services would have been purchased</w:t>
      </w:r>
      <w:r w:rsidR="0023364A" w:rsidRPr="00F40278">
        <w:rPr>
          <w:rFonts w:ascii="Arial" w:hAnsi="Arial" w:cs="Arial"/>
          <w:sz w:val="16"/>
          <w:szCs w:val="16"/>
        </w:rPr>
        <w:t xml:space="preserve"> if they had not been donated. </w:t>
      </w:r>
      <w:r w:rsidRPr="00F40278">
        <w:rPr>
          <w:rFonts w:ascii="Arial" w:hAnsi="Arial" w:cs="Arial"/>
          <w:sz w:val="16"/>
          <w:szCs w:val="16"/>
        </w:rPr>
        <w:t>Use of those resource</w:t>
      </w:r>
      <w:r w:rsidR="00A613E4" w:rsidRPr="00F40278">
        <w:rPr>
          <w:rFonts w:ascii="Arial" w:hAnsi="Arial" w:cs="Arial"/>
          <w:sz w:val="16"/>
          <w:szCs w:val="16"/>
        </w:rPr>
        <w:t>s is recognised as an expense.</w:t>
      </w:r>
    </w:p>
    <w:p w14:paraId="54DB0C2F" w14:textId="3DEF162D" w:rsidR="004F190E" w:rsidRPr="00112ED1" w:rsidRDefault="004F190E" w:rsidP="00A613E4">
      <w:pPr>
        <w:spacing w:before="160" w:after="160"/>
        <w:jc w:val="both"/>
        <w:rPr>
          <w:rFonts w:ascii="Arial" w:hAnsi="Arial" w:cs="Arial"/>
          <w:sz w:val="16"/>
          <w:szCs w:val="16"/>
        </w:rPr>
      </w:pPr>
      <w:r w:rsidRPr="00F40278">
        <w:rPr>
          <w:rFonts w:ascii="Arial" w:hAnsi="Arial" w:cs="Arial"/>
          <w:sz w:val="16"/>
          <w:szCs w:val="16"/>
        </w:rPr>
        <w:t>Contributions of assets at no cost of acquisition</w:t>
      </w:r>
      <w:r w:rsidR="006D3DE3" w:rsidRPr="00F40278">
        <w:rPr>
          <w:rFonts w:ascii="Arial" w:hAnsi="Arial" w:cs="Arial"/>
          <w:sz w:val="16"/>
          <w:szCs w:val="16"/>
        </w:rPr>
        <w:t xml:space="preserve">, </w:t>
      </w:r>
      <w:r w:rsidRPr="00F40278">
        <w:rPr>
          <w:rFonts w:ascii="Arial" w:hAnsi="Arial" w:cs="Arial"/>
          <w:sz w:val="16"/>
          <w:szCs w:val="16"/>
        </w:rPr>
        <w:t>or for nominal consideration</w:t>
      </w:r>
      <w:r w:rsidR="006D3DE3" w:rsidRPr="00F40278">
        <w:rPr>
          <w:rFonts w:ascii="Arial" w:hAnsi="Arial" w:cs="Arial"/>
          <w:sz w:val="16"/>
          <w:szCs w:val="16"/>
        </w:rPr>
        <w:t xml:space="preserve">, </w:t>
      </w:r>
      <w:r w:rsidRPr="00F40278">
        <w:rPr>
          <w:rFonts w:ascii="Arial" w:hAnsi="Arial" w:cs="Arial"/>
          <w:sz w:val="16"/>
          <w:szCs w:val="16"/>
        </w:rPr>
        <w:t xml:space="preserve">are recognised as gains at their fair value when the asset qualifies for recognition, unless received from another </w:t>
      </w:r>
      <w:r w:rsidR="00A0408C" w:rsidRPr="00F40278">
        <w:rPr>
          <w:rFonts w:ascii="Arial" w:hAnsi="Arial" w:cs="Arial"/>
          <w:sz w:val="16"/>
          <w:szCs w:val="16"/>
        </w:rPr>
        <w:t>Government</w:t>
      </w:r>
      <w:r w:rsidR="00363DDA" w:rsidRPr="00F40278">
        <w:rPr>
          <w:rFonts w:ascii="Arial" w:hAnsi="Arial" w:cs="Arial"/>
          <w:sz w:val="16"/>
          <w:szCs w:val="16"/>
        </w:rPr>
        <w:t xml:space="preserve"> agency or a</w:t>
      </w:r>
      <w:r w:rsidRPr="00F40278">
        <w:rPr>
          <w:rFonts w:ascii="Arial" w:hAnsi="Arial" w:cs="Arial"/>
          <w:sz w:val="16"/>
          <w:szCs w:val="16"/>
        </w:rPr>
        <w:t>uthority as a consequence of a restructuring of admini</w:t>
      </w:r>
      <w:r w:rsidR="008D68EE" w:rsidRPr="00F40278">
        <w:rPr>
          <w:rFonts w:ascii="Arial" w:hAnsi="Arial" w:cs="Arial"/>
          <w:sz w:val="16"/>
          <w:szCs w:val="16"/>
        </w:rPr>
        <w:t>strative arrangements</w:t>
      </w:r>
      <w:r w:rsidR="00F40278" w:rsidRPr="00F40278">
        <w:rPr>
          <w:rFonts w:ascii="Arial" w:hAnsi="Arial" w:cs="Arial"/>
          <w:sz w:val="16"/>
          <w:szCs w:val="16"/>
        </w:rPr>
        <w:t xml:space="preserve"> (refer </w:t>
      </w:r>
      <w:r w:rsidR="00F40278" w:rsidRPr="00112ED1">
        <w:rPr>
          <w:rFonts w:ascii="Arial" w:hAnsi="Arial" w:cs="Arial"/>
          <w:sz w:val="16"/>
          <w:szCs w:val="16"/>
        </w:rPr>
        <w:t>to N</w:t>
      </w:r>
      <w:r w:rsidR="00094459" w:rsidRPr="00112ED1">
        <w:rPr>
          <w:rFonts w:ascii="Arial" w:hAnsi="Arial" w:cs="Arial"/>
          <w:sz w:val="16"/>
          <w:szCs w:val="16"/>
        </w:rPr>
        <w:t>ote 1.</w:t>
      </w:r>
      <w:r w:rsidR="000B0E71">
        <w:rPr>
          <w:rFonts w:ascii="Arial" w:hAnsi="Arial" w:cs="Arial"/>
          <w:sz w:val="16"/>
          <w:szCs w:val="16"/>
        </w:rPr>
        <w:t>8</w:t>
      </w:r>
      <w:r w:rsidR="00094459" w:rsidRPr="00112ED1">
        <w:rPr>
          <w:rFonts w:ascii="Arial" w:hAnsi="Arial" w:cs="Arial"/>
          <w:sz w:val="16"/>
          <w:szCs w:val="16"/>
        </w:rPr>
        <w:t>)</w:t>
      </w:r>
      <w:r w:rsidRPr="00112ED1">
        <w:rPr>
          <w:rFonts w:ascii="Arial" w:hAnsi="Arial" w:cs="Arial"/>
          <w:sz w:val="16"/>
          <w:szCs w:val="16"/>
        </w:rPr>
        <w:t>.</w:t>
      </w:r>
    </w:p>
    <w:p w14:paraId="726F5A89" w14:textId="77777777" w:rsidR="000E3972" w:rsidRPr="00F40278" w:rsidRDefault="004037C2" w:rsidP="00D94D68">
      <w:pPr>
        <w:spacing w:before="160" w:after="160"/>
        <w:jc w:val="both"/>
        <w:rPr>
          <w:rFonts w:ascii="Arial" w:hAnsi="Arial" w:cs="Arial"/>
          <w:i/>
          <w:sz w:val="16"/>
          <w:szCs w:val="16"/>
        </w:rPr>
      </w:pPr>
      <w:r w:rsidRPr="00F40278">
        <w:rPr>
          <w:rFonts w:ascii="Arial" w:hAnsi="Arial" w:cs="Arial"/>
          <w:i/>
          <w:sz w:val="16"/>
          <w:szCs w:val="16"/>
        </w:rPr>
        <w:t>Sale of Assets</w:t>
      </w:r>
    </w:p>
    <w:p w14:paraId="34F13674" w14:textId="77777777" w:rsidR="00CC3D64" w:rsidRPr="008F3EDE" w:rsidRDefault="004F190E" w:rsidP="008F3EDE">
      <w:pPr>
        <w:spacing w:before="160" w:after="160"/>
        <w:jc w:val="both"/>
        <w:rPr>
          <w:rFonts w:ascii="Arial" w:hAnsi="Arial" w:cs="Arial"/>
          <w:sz w:val="16"/>
          <w:szCs w:val="16"/>
        </w:rPr>
      </w:pPr>
      <w:r w:rsidRPr="00F40278">
        <w:rPr>
          <w:rFonts w:ascii="Arial" w:hAnsi="Arial" w:cs="Arial"/>
          <w:sz w:val="16"/>
          <w:szCs w:val="16"/>
        </w:rPr>
        <w:t xml:space="preserve">Gains from </w:t>
      </w:r>
      <w:r w:rsidR="00F60017" w:rsidRPr="00F40278">
        <w:rPr>
          <w:rFonts w:ascii="Arial" w:hAnsi="Arial" w:cs="Arial"/>
          <w:sz w:val="16"/>
          <w:szCs w:val="16"/>
        </w:rPr>
        <w:t xml:space="preserve">disposal of non-current assets are </w:t>
      </w:r>
      <w:r w:rsidRPr="00F40278">
        <w:rPr>
          <w:rFonts w:ascii="Arial" w:hAnsi="Arial" w:cs="Arial"/>
          <w:sz w:val="16"/>
          <w:szCs w:val="16"/>
        </w:rPr>
        <w:t xml:space="preserve">recognised when control of the </w:t>
      </w:r>
      <w:r w:rsidR="00A613E4" w:rsidRPr="00F40278">
        <w:rPr>
          <w:rFonts w:ascii="Arial" w:hAnsi="Arial" w:cs="Arial"/>
          <w:sz w:val="16"/>
          <w:szCs w:val="16"/>
        </w:rPr>
        <w:t>asset has passed to the buyer.</w:t>
      </w:r>
    </w:p>
    <w:p w14:paraId="24C2BD36" w14:textId="77777777" w:rsidR="000E3972" w:rsidRPr="008F3EDE" w:rsidRDefault="004F190E" w:rsidP="00CC3D64">
      <w:pPr>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t>Transaction</w:t>
      </w:r>
      <w:r w:rsidR="00A613E4" w:rsidRPr="008F3EDE">
        <w:rPr>
          <w:rFonts w:ascii="Arial" w:hAnsi="Arial" w:cs="Arial"/>
          <w:b/>
          <w:sz w:val="16"/>
          <w:szCs w:val="16"/>
        </w:rPr>
        <w:t>s with the Government as Owner</w:t>
      </w:r>
    </w:p>
    <w:p w14:paraId="5DE17584" w14:textId="77777777" w:rsidR="000E3972"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Equity Injections</w:t>
      </w:r>
      <w:r w:rsidRPr="008F3EDE">
        <w:rPr>
          <w:rFonts w:ascii="Arial" w:hAnsi="Arial" w:cs="Arial"/>
          <w:i/>
          <w:sz w:val="16"/>
          <w:szCs w:val="16"/>
        </w:rPr>
        <w:tab/>
      </w:r>
    </w:p>
    <w:p w14:paraId="2D662BEF" w14:textId="77777777" w:rsidR="00A07B23"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 xml:space="preserve">Amounts appropriated </w:t>
      </w:r>
      <w:r w:rsidR="00354364" w:rsidRPr="008F3EDE">
        <w:rPr>
          <w:rFonts w:ascii="Arial" w:hAnsi="Arial" w:cs="Arial"/>
          <w:sz w:val="16"/>
          <w:szCs w:val="16"/>
        </w:rPr>
        <w:t xml:space="preserve">that </w:t>
      </w:r>
      <w:r w:rsidR="00592C98" w:rsidRPr="008F3EDE">
        <w:rPr>
          <w:rFonts w:ascii="Arial" w:hAnsi="Arial" w:cs="Arial"/>
          <w:sz w:val="16"/>
          <w:szCs w:val="16"/>
        </w:rPr>
        <w:t>are</w:t>
      </w:r>
      <w:r w:rsidRPr="008F3EDE">
        <w:rPr>
          <w:rFonts w:ascii="Arial" w:hAnsi="Arial" w:cs="Arial"/>
          <w:sz w:val="16"/>
          <w:szCs w:val="16"/>
        </w:rPr>
        <w:t xml:space="preserve"> designated as ‘equity injections’ for a year (less any formal reductions) </w:t>
      </w:r>
      <w:r w:rsidR="00C05EE5" w:rsidRPr="008F3EDE">
        <w:rPr>
          <w:rFonts w:ascii="Arial" w:hAnsi="Arial" w:cs="Arial"/>
          <w:sz w:val="16"/>
          <w:szCs w:val="16"/>
        </w:rPr>
        <w:t xml:space="preserve">and Departmental Capital Budgets (DCBs) </w:t>
      </w:r>
      <w:r w:rsidRPr="008F3EDE">
        <w:rPr>
          <w:rFonts w:ascii="Arial" w:hAnsi="Arial" w:cs="Arial"/>
          <w:sz w:val="16"/>
          <w:szCs w:val="16"/>
        </w:rPr>
        <w:t xml:space="preserve">are recognised directly in </w:t>
      </w:r>
      <w:r w:rsidR="00A963A5" w:rsidRPr="008F3EDE">
        <w:rPr>
          <w:rFonts w:ascii="Arial" w:hAnsi="Arial" w:cs="Arial"/>
          <w:sz w:val="16"/>
          <w:szCs w:val="16"/>
        </w:rPr>
        <w:t>c</w:t>
      </w:r>
      <w:r w:rsidRPr="008F3EDE">
        <w:rPr>
          <w:rFonts w:ascii="Arial" w:hAnsi="Arial" w:cs="Arial"/>
          <w:sz w:val="16"/>
          <w:szCs w:val="16"/>
        </w:rPr>
        <w:t>o</w:t>
      </w:r>
      <w:r w:rsidR="00A613E4" w:rsidRPr="008F3EDE">
        <w:rPr>
          <w:rFonts w:ascii="Arial" w:hAnsi="Arial" w:cs="Arial"/>
          <w:sz w:val="16"/>
          <w:szCs w:val="16"/>
        </w:rPr>
        <w:t xml:space="preserve">ntributed </w:t>
      </w:r>
      <w:r w:rsidR="00A963A5" w:rsidRPr="008F3EDE">
        <w:rPr>
          <w:rFonts w:ascii="Arial" w:hAnsi="Arial" w:cs="Arial"/>
          <w:sz w:val="16"/>
          <w:szCs w:val="16"/>
        </w:rPr>
        <w:t>e</w:t>
      </w:r>
      <w:r w:rsidR="00A613E4" w:rsidRPr="008F3EDE">
        <w:rPr>
          <w:rFonts w:ascii="Arial" w:hAnsi="Arial" w:cs="Arial"/>
          <w:sz w:val="16"/>
          <w:szCs w:val="16"/>
        </w:rPr>
        <w:t>quity in that year.</w:t>
      </w:r>
    </w:p>
    <w:p w14:paraId="43B047A4" w14:textId="77777777" w:rsidR="000E3972"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Restructuring of Administrative Arrangements</w:t>
      </w:r>
    </w:p>
    <w:p w14:paraId="5CB933EC"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Net assets received from or relinquished to</w:t>
      </w:r>
      <w:r w:rsidR="00363DDA" w:rsidRPr="008F3EDE">
        <w:rPr>
          <w:rFonts w:ascii="Arial" w:hAnsi="Arial" w:cs="Arial"/>
          <w:sz w:val="16"/>
          <w:szCs w:val="16"/>
        </w:rPr>
        <w:t xml:space="preserve"> another </w:t>
      </w:r>
      <w:r w:rsidR="00A0408C" w:rsidRPr="008F3EDE">
        <w:rPr>
          <w:rFonts w:ascii="Arial" w:hAnsi="Arial" w:cs="Arial"/>
          <w:sz w:val="16"/>
          <w:szCs w:val="16"/>
        </w:rPr>
        <w:t>Government</w:t>
      </w:r>
      <w:r w:rsidR="00363DDA" w:rsidRPr="008F3EDE">
        <w:rPr>
          <w:rFonts w:ascii="Arial" w:hAnsi="Arial" w:cs="Arial"/>
          <w:sz w:val="16"/>
          <w:szCs w:val="16"/>
        </w:rPr>
        <w:t xml:space="preserve"> agency or a</w:t>
      </w:r>
      <w:r w:rsidRPr="008F3EDE">
        <w:rPr>
          <w:rFonts w:ascii="Arial" w:hAnsi="Arial" w:cs="Arial"/>
          <w:sz w:val="16"/>
          <w:szCs w:val="16"/>
        </w:rPr>
        <w:t>uthority under a restructuring of administrative arrangements are adjusted at their book value direct</w:t>
      </w:r>
      <w:r w:rsidR="00A613E4" w:rsidRPr="008F3EDE">
        <w:rPr>
          <w:rFonts w:ascii="Arial" w:hAnsi="Arial" w:cs="Arial"/>
          <w:sz w:val="16"/>
          <w:szCs w:val="16"/>
        </w:rPr>
        <w:t>ly against contributed equity.</w:t>
      </w:r>
    </w:p>
    <w:p w14:paraId="4809BA4D" w14:textId="77777777" w:rsidR="00B86A51" w:rsidRPr="008F3EDE" w:rsidRDefault="00B86A51" w:rsidP="00A613E4">
      <w:pPr>
        <w:spacing w:before="160" w:after="160"/>
        <w:jc w:val="both"/>
        <w:rPr>
          <w:rFonts w:ascii="Arial" w:hAnsi="Arial" w:cs="Arial"/>
          <w:sz w:val="16"/>
          <w:szCs w:val="16"/>
        </w:rPr>
      </w:pPr>
      <w:r w:rsidRPr="008F3EDE">
        <w:rPr>
          <w:rFonts w:ascii="Arial" w:hAnsi="Arial" w:cs="Arial"/>
          <w:i/>
          <w:sz w:val="16"/>
          <w:szCs w:val="16"/>
        </w:rPr>
        <w:t>Distributions to Owners</w:t>
      </w:r>
    </w:p>
    <w:p w14:paraId="383D0672" w14:textId="18329D88" w:rsidR="00B86A51" w:rsidRPr="008F3EDE" w:rsidRDefault="00F576ED" w:rsidP="00A613E4">
      <w:pPr>
        <w:spacing w:before="160" w:after="160"/>
        <w:jc w:val="both"/>
        <w:rPr>
          <w:rFonts w:ascii="Arial" w:hAnsi="Arial" w:cs="Arial"/>
          <w:sz w:val="16"/>
          <w:szCs w:val="16"/>
        </w:rPr>
      </w:pPr>
      <w:r w:rsidRPr="008F3EDE">
        <w:rPr>
          <w:rFonts w:ascii="Arial" w:hAnsi="Arial" w:cs="Arial"/>
          <w:sz w:val="16"/>
          <w:szCs w:val="16"/>
        </w:rPr>
        <w:t>The F</w:t>
      </w:r>
      <w:r w:rsidR="00595313">
        <w:rPr>
          <w:rFonts w:ascii="Arial" w:hAnsi="Arial" w:cs="Arial"/>
          <w:sz w:val="16"/>
          <w:szCs w:val="16"/>
        </w:rPr>
        <w:t>RR</w:t>
      </w:r>
      <w:r w:rsidRPr="008F3EDE">
        <w:rPr>
          <w:rFonts w:ascii="Arial" w:hAnsi="Arial" w:cs="Arial"/>
          <w:sz w:val="16"/>
          <w:szCs w:val="16"/>
        </w:rPr>
        <w:t xml:space="preserve"> require that distributions to owners be debited to equity unless </w:t>
      </w:r>
      <w:r w:rsidR="007606CE" w:rsidRPr="008F3EDE">
        <w:rPr>
          <w:rFonts w:ascii="Arial" w:hAnsi="Arial" w:cs="Arial"/>
          <w:sz w:val="16"/>
          <w:szCs w:val="16"/>
        </w:rPr>
        <w:t>they are</w:t>
      </w:r>
      <w:r w:rsidRPr="008F3EDE">
        <w:rPr>
          <w:rFonts w:ascii="Arial" w:hAnsi="Arial" w:cs="Arial"/>
          <w:sz w:val="16"/>
          <w:szCs w:val="16"/>
        </w:rPr>
        <w:t xml:space="preserve"> in the nature of a dividend. </w:t>
      </w:r>
    </w:p>
    <w:p w14:paraId="182D2187" w14:textId="77777777" w:rsidR="003E36B9" w:rsidRPr="008F3EDE" w:rsidRDefault="00A613E4" w:rsidP="00A43A29">
      <w:pPr>
        <w:keepNext/>
        <w:keepLines/>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t>Employee Benefits</w:t>
      </w:r>
    </w:p>
    <w:p w14:paraId="166BF0EB" w14:textId="77777777" w:rsidR="004F190E" w:rsidRPr="008F3EDE" w:rsidRDefault="004F190E" w:rsidP="00A43A29">
      <w:pPr>
        <w:keepNext/>
        <w:keepLines/>
        <w:spacing w:before="160" w:after="160"/>
        <w:jc w:val="both"/>
        <w:rPr>
          <w:rFonts w:ascii="Arial" w:hAnsi="Arial" w:cs="Arial"/>
          <w:sz w:val="16"/>
          <w:szCs w:val="16"/>
        </w:rPr>
      </w:pPr>
      <w:r w:rsidRPr="008F3EDE">
        <w:rPr>
          <w:rFonts w:ascii="Arial" w:hAnsi="Arial" w:cs="Arial"/>
          <w:sz w:val="16"/>
          <w:szCs w:val="16"/>
        </w:rPr>
        <w:t>Liabilities for ‘short-term employee benefits’ (as defined in AASB 119</w:t>
      </w:r>
      <w:r w:rsidR="000867B9" w:rsidRPr="008F3EDE">
        <w:rPr>
          <w:rFonts w:ascii="Arial" w:hAnsi="Arial" w:cs="Arial"/>
          <w:sz w:val="16"/>
          <w:szCs w:val="16"/>
        </w:rPr>
        <w:t xml:space="preserve"> </w:t>
      </w:r>
      <w:r w:rsidR="000867B9" w:rsidRPr="008F3EDE">
        <w:rPr>
          <w:rFonts w:ascii="Arial" w:hAnsi="Arial" w:cs="Arial"/>
          <w:i/>
          <w:sz w:val="16"/>
          <w:szCs w:val="16"/>
        </w:rPr>
        <w:t>Employee Benefits</w:t>
      </w:r>
      <w:r w:rsidRPr="008F3EDE">
        <w:rPr>
          <w:rFonts w:ascii="Arial" w:hAnsi="Arial" w:cs="Arial"/>
          <w:sz w:val="16"/>
          <w:szCs w:val="16"/>
        </w:rPr>
        <w:t xml:space="preserve">) and termination benefits due within twelve months of </w:t>
      </w:r>
      <w:r w:rsidR="00B3662E" w:rsidRPr="008F3EDE">
        <w:rPr>
          <w:rFonts w:ascii="Arial" w:hAnsi="Arial" w:cs="Arial"/>
          <w:sz w:val="16"/>
          <w:szCs w:val="16"/>
        </w:rPr>
        <w:t>the end of reporting period</w:t>
      </w:r>
      <w:r w:rsidRPr="008F3EDE">
        <w:rPr>
          <w:rFonts w:ascii="Arial" w:hAnsi="Arial" w:cs="Arial"/>
          <w:sz w:val="16"/>
          <w:szCs w:val="16"/>
        </w:rPr>
        <w:t xml:space="preserve"> are measured at their nominal amounts.</w:t>
      </w:r>
    </w:p>
    <w:p w14:paraId="460615AD"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The nominal amount is calculated with regard to the rates expected to be paid on settlement of the liability.</w:t>
      </w:r>
    </w:p>
    <w:p w14:paraId="5E5E4BCC" w14:textId="77777777" w:rsidR="003E36B9"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Leave</w:t>
      </w:r>
    </w:p>
    <w:p w14:paraId="628EABD9" w14:textId="77777777" w:rsidR="00064A3C" w:rsidRPr="008F3EDE" w:rsidRDefault="004F190E" w:rsidP="008671A4">
      <w:pPr>
        <w:spacing w:before="160" w:after="160"/>
        <w:jc w:val="both"/>
        <w:rPr>
          <w:rFonts w:ascii="Arial" w:hAnsi="Arial" w:cs="Arial"/>
          <w:sz w:val="16"/>
          <w:szCs w:val="16"/>
        </w:rPr>
      </w:pPr>
      <w:r w:rsidRPr="008F3EDE">
        <w:rPr>
          <w:rFonts w:ascii="Arial" w:hAnsi="Arial" w:cs="Arial"/>
          <w:sz w:val="16"/>
          <w:szCs w:val="16"/>
        </w:rPr>
        <w:t>The liability for employee benefits includes provision for annual</w:t>
      </w:r>
      <w:r w:rsidR="0023364A" w:rsidRPr="008F3EDE">
        <w:rPr>
          <w:rFonts w:ascii="Arial" w:hAnsi="Arial" w:cs="Arial"/>
          <w:sz w:val="16"/>
          <w:szCs w:val="16"/>
        </w:rPr>
        <w:t xml:space="preserve"> leave and long service leave. </w:t>
      </w:r>
      <w:r w:rsidR="00B64D0D" w:rsidRPr="008F3EDE">
        <w:rPr>
          <w:rFonts w:ascii="Arial" w:hAnsi="Arial" w:cs="Arial"/>
          <w:sz w:val="16"/>
          <w:szCs w:val="16"/>
        </w:rPr>
        <w:t xml:space="preserve"> </w:t>
      </w:r>
      <w:r w:rsidRPr="008F3EDE">
        <w:rPr>
          <w:rFonts w:ascii="Arial" w:hAnsi="Arial" w:cs="Arial"/>
          <w:sz w:val="16"/>
          <w:szCs w:val="16"/>
        </w:rPr>
        <w:t>No provision has been made for sick</w:t>
      </w:r>
      <w:r w:rsidR="00B64D0D" w:rsidRPr="008F3EDE">
        <w:rPr>
          <w:rFonts w:ascii="Arial" w:hAnsi="Arial" w:cs="Arial"/>
          <w:sz w:val="16"/>
          <w:szCs w:val="16"/>
        </w:rPr>
        <w:t xml:space="preserve"> leave</w:t>
      </w:r>
      <w:r w:rsidR="002462F5" w:rsidRPr="008F3EDE">
        <w:rPr>
          <w:rFonts w:ascii="Arial" w:hAnsi="Arial" w:cs="Arial"/>
          <w:sz w:val="16"/>
          <w:szCs w:val="16"/>
        </w:rPr>
        <w:t>,</w:t>
      </w:r>
      <w:r w:rsidR="00B64D0D" w:rsidRPr="008F3EDE">
        <w:rPr>
          <w:rFonts w:ascii="Arial" w:hAnsi="Arial" w:cs="Arial"/>
          <w:sz w:val="16"/>
          <w:szCs w:val="16"/>
        </w:rPr>
        <w:t xml:space="preserve"> as all sick leave is non-</w:t>
      </w:r>
      <w:r w:rsidR="00064A3C" w:rsidRPr="008F3EDE">
        <w:rPr>
          <w:rFonts w:ascii="Arial" w:hAnsi="Arial" w:cs="Arial"/>
          <w:sz w:val="16"/>
          <w:szCs w:val="16"/>
        </w:rPr>
        <w:t>vesting</w:t>
      </w:r>
      <w:r w:rsidR="004F4865" w:rsidRPr="008F3EDE">
        <w:rPr>
          <w:rFonts w:ascii="Arial" w:hAnsi="Arial" w:cs="Arial"/>
          <w:sz w:val="16"/>
          <w:szCs w:val="16"/>
        </w:rPr>
        <w:t xml:space="preserve"> and the average sick leave taken in future years by employees of the Department is estimated to be less than the annual entitlement for sick leave</w:t>
      </w:r>
      <w:r w:rsidR="00064A3C" w:rsidRPr="008F3EDE">
        <w:rPr>
          <w:rFonts w:ascii="Arial" w:hAnsi="Arial" w:cs="Arial"/>
          <w:sz w:val="16"/>
          <w:szCs w:val="16"/>
        </w:rPr>
        <w:t>.</w:t>
      </w:r>
      <w:r w:rsidR="004F4865" w:rsidRPr="008F3EDE">
        <w:rPr>
          <w:rFonts w:ascii="Arial" w:hAnsi="Arial" w:cs="Arial"/>
          <w:sz w:val="16"/>
          <w:szCs w:val="16"/>
        </w:rPr>
        <w:t xml:space="preserve"> </w:t>
      </w:r>
    </w:p>
    <w:p w14:paraId="16637C66" w14:textId="77777777" w:rsidR="003E36B9" w:rsidRPr="008F3EDE" w:rsidRDefault="004F190E" w:rsidP="007E4E45">
      <w:pPr>
        <w:pStyle w:val="Default"/>
        <w:jc w:val="both"/>
        <w:rPr>
          <w:sz w:val="16"/>
          <w:szCs w:val="16"/>
        </w:rPr>
      </w:pPr>
      <w:r w:rsidRPr="008F3EDE">
        <w:rPr>
          <w:rFonts w:ascii="Arial" w:hAnsi="Arial" w:cs="Arial"/>
          <w:sz w:val="16"/>
          <w:szCs w:val="16"/>
        </w:rPr>
        <w:t xml:space="preserve">The leave liabilities are calculated on the basis of employees’ </w:t>
      </w:r>
      <w:r w:rsidRPr="008F3EDE">
        <w:rPr>
          <w:rFonts w:ascii="Arial" w:hAnsi="Arial" w:cs="Arial"/>
          <w:color w:val="auto"/>
          <w:sz w:val="16"/>
          <w:szCs w:val="16"/>
        </w:rPr>
        <w:t>remuneration</w:t>
      </w:r>
      <w:r w:rsidR="007E4E45" w:rsidRPr="008F3EDE">
        <w:rPr>
          <w:rFonts w:ascii="Arial" w:hAnsi="Arial" w:cs="Arial"/>
          <w:color w:val="auto"/>
          <w:sz w:val="16"/>
          <w:szCs w:val="16"/>
        </w:rPr>
        <w:t xml:space="preserve"> </w:t>
      </w:r>
      <w:r w:rsidR="008671A4" w:rsidRPr="008F3EDE">
        <w:rPr>
          <w:rFonts w:ascii="Arial" w:hAnsi="Arial" w:cs="Arial"/>
          <w:color w:val="auto"/>
          <w:sz w:val="16"/>
          <w:szCs w:val="16"/>
        </w:rPr>
        <w:t>at the estimated salary rates that will be applied at the time the leave is taken</w:t>
      </w:r>
      <w:r w:rsidRPr="008F3EDE">
        <w:rPr>
          <w:rFonts w:ascii="Arial" w:hAnsi="Arial" w:cs="Arial"/>
          <w:color w:val="auto"/>
          <w:sz w:val="16"/>
          <w:szCs w:val="16"/>
        </w:rPr>
        <w:t xml:space="preserve">, including the </w:t>
      </w:r>
      <w:r w:rsidR="00512762" w:rsidRPr="008F3EDE">
        <w:rPr>
          <w:rFonts w:ascii="Arial" w:hAnsi="Arial" w:cs="Arial"/>
          <w:color w:val="auto"/>
          <w:sz w:val="16"/>
          <w:szCs w:val="16"/>
        </w:rPr>
        <w:t>Department</w:t>
      </w:r>
      <w:r w:rsidRPr="008F3EDE">
        <w:rPr>
          <w:rFonts w:ascii="Arial" w:hAnsi="Arial" w:cs="Arial"/>
          <w:color w:val="auto"/>
          <w:sz w:val="16"/>
          <w:szCs w:val="16"/>
        </w:rPr>
        <w:t>’s employer superannuation contribution</w:t>
      </w:r>
      <w:r w:rsidRPr="008F3EDE">
        <w:rPr>
          <w:rFonts w:ascii="Arial" w:hAnsi="Arial" w:cs="Arial"/>
          <w:sz w:val="16"/>
          <w:szCs w:val="16"/>
        </w:rPr>
        <w:t xml:space="preserve"> rates</w:t>
      </w:r>
      <w:r w:rsidR="006D3DE3" w:rsidRPr="008F3EDE">
        <w:rPr>
          <w:rFonts w:ascii="Arial" w:hAnsi="Arial" w:cs="Arial"/>
          <w:sz w:val="16"/>
          <w:szCs w:val="16"/>
        </w:rPr>
        <w:t xml:space="preserve">, </w:t>
      </w:r>
      <w:r w:rsidRPr="008F3EDE">
        <w:rPr>
          <w:rFonts w:ascii="Arial" w:hAnsi="Arial" w:cs="Arial"/>
          <w:sz w:val="16"/>
          <w:szCs w:val="16"/>
        </w:rPr>
        <w:t>to the extent that the leave is likely to be taken during service rather tha</w:t>
      </w:r>
      <w:r w:rsidR="00A613E4" w:rsidRPr="008F3EDE">
        <w:rPr>
          <w:rFonts w:ascii="Arial" w:hAnsi="Arial" w:cs="Arial"/>
          <w:sz w:val="16"/>
          <w:szCs w:val="16"/>
        </w:rPr>
        <w:t>n paid out on termination.</w:t>
      </w:r>
    </w:p>
    <w:p w14:paraId="01A8235C" w14:textId="1A02CFB3" w:rsidR="00EC7045" w:rsidRPr="008F3EDE" w:rsidRDefault="00BD0DF0" w:rsidP="00A613E4">
      <w:pPr>
        <w:spacing w:before="160" w:after="160"/>
        <w:jc w:val="both"/>
        <w:rPr>
          <w:rFonts w:ascii="Arial" w:hAnsi="Arial" w:cs="Arial"/>
          <w:sz w:val="16"/>
          <w:szCs w:val="16"/>
        </w:rPr>
      </w:pPr>
      <w:r w:rsidRPr="008F3EDE">
        <w:rPr>
          <w:rFonts w:ascii="Arial" w:hAnsi="Arial" w:cs="Arial"/>
          <w:sz w:val="16"/>
          <w:szCs w:val="16"/>
        </w:rPr>
        <w:t>T</w:t>
      </w:r>
      <w:r w:rsidR="004F190E" w:rsidRPr="008F3EDE">
        <w:rPr>
          <w:rFonts w:ascii="Arial" w:hAnsi="Arial" w:cs="Arial"/>
          <w:sz w:val="16"/>
          <w:szCs w:val="16"/>
        </w:rPr>
        <w:t xml:space="preserve">he liability for long service leave has been determined </w:t>
      </w:r>
      <w:r w:rsidR="006126A1" w:rsidRPr="008F3EDE">
        <w:rPr>
          <w:rFonts w:ascii="Arial" w:hAnsi="Arial" w:cs="Arial"/>
          <w:sz w:val="16"/>
          <w:szCs w:val="16"/>
        </w:rPr>
        <w:t xml:space="preserve">by using the </w:t>
      </w:r>
      <w:r w:rsidR="00BF4939" w:rsidRPr="008F3EDE">
        <w:rPr>
          <w:rFonts w:ascii="Arial" w:hAnsi="Arial" w:cs="Arial"/>
          <w:sz w:val="16"/>
          <w:szCs w:val="16"/>
        </w:rPr>
        <w:t>Department of Finance’s</w:t>
      </w:r>
      <w:r w:rsidR="006126A1" w:rsidRPr="008F3EDE">
        <w:rPr>
          <w:rFonts w:ascii="Arial" w:hAnsi="Arial" w:cs="Arial"/>
          <w:sz w:val="16"/>
          <w:szCs w:val="16"/>
        </w:rPr>
        <w:t xml:space="preserve"> Short Hand Method</w:t>
      </w:r>
      <w:r w:rsidR="0079457C" w:rsidRPr="008F3EDE">
        <w:rPr>
          <w:rFonts w:ascii="Arial" w:hAnsi="Arial" w:cs="Arial"/>
          <w:sz w:val="16"/>
          <w:szCs w:val="16"/>
        </w:rPr>
        <w:t xml:space="preserve"> as at </w:t>
      </w:r>
      <w:r w:rsidR="00381285">
        <w:rPr>
          <w:rFonts w:ascii="Arial" w:hAnsi="Arial" w:cs="Arial"/>
          <w:sz w:val="16"/>
          <w:szCs w:val="16"/>
        </w:rPr>
        <w:t>30 June 2015</w:t>
      </w:r>
      <w:r w:rsidR="00F60017" w:rsidRPr="008F3EDE">
        <w:rPr>
          <w:rFonts w:ascii="Arial" w:hAnsi="Arial" w:cs="Arial"/>
          <w:sz w:val="16"/>
          <w:szCs w:val="16"/>
        </w:rPr>
        <w:t>, as outlined in the F</w:t>
      </w:r>
      <w:r w:rsidR="009700BF">
        <w:rPr>
          <w:rFonts w:ascii="Arial" w:hAnsi="Arial" w:cs="Arial"/>
          <w:sz w:val="16"/>
          <w:szCs w:val="16"/>
        </w:rPr>
        <w:t>RR</w:t>
      </w:r>
      <w:r w:rsidR="00B64D0D" w:rsidRPr="008F3EDE">
        <w:rPr>
          <w:rFonts w:ascii="Arial" w:hAnsi="Arial" w:cs="Arial"/>
          <w:sz w:val="16"/>
          <w:szCs w:val="16"/>
        </w:rPr>
        <w:t xml:space="preserve">. </w:t>
      </w:r>
      <w:r w:rsidR="004F190E" w:rsidRPr="008F3EDE">
        <w:rPr>
          <w:rFonts w:ascii="Arial" w:hAnsi="Arial" w:cs="Arial"/>
          <w:sz w:val="16"/>
          <w:szCs w:val="16"/>
        </w:rPr>
        <w:t xml:space="preserve">The estimate of the present value of the liability takes into account </w:t>
      </w:r>
      <w:r w:rsidR="00033212" w:rsidRPr="008F3EDE">
        <w:rPr>
          <w:rFonts w:ascii="Arial" w:hAnsi="Arial" w:cs="Arial"/>
          <w:sz w:val="16"/>
          <w:szCs w:val="16"/>
        </w:rPr>
        <w:t xml:space="preserve">expected </w:t>
      </w:r>
      <w:r w:rsidR="004F190E" w:rsidRPr="008F3EDE">
        <w:rPr>
          <w:rFonts w:ascii="Arial" w:hAnsi="Arial" w:cs="Arial"/>
          <w:sz w:val="16"/>
          <w:szCs w:val="16"/>
        </w:rPr>
        <w:t>attrition rates and pay inc</w:t>
      </w:r>
      <w:r w:rsidR="00033212" w:rsidRPr="008F3EDE">
        <w:rPr>
          <w:rFonts w:ascii="Arial" w:hAnsi="Arial" w:cs="Arial"/>
          <w:sz w:val="16"/>
          <w:szCs w:val="16"/>
        </w:rPr>
        <w:t>reases through promotion</w:t>
      </w:r>
      <w:r w:rsidR="002C246B" w:rsidRPr="008F3EDE">
        <w:rPr>
          <w:rFonts w:ascii="Arial" w:hAnsi="Arial" w:cs="Arial"/>
          <w:sz w:val="16"/>
          <w:szCs w:val="16"/>
        </w:rPr>
        <w:t xml:space="preserve"> and inflation</w:t>
      </w:r>
      <w:r w:rsidR="00A613E4" w:rsidRPr="008F3EDE">
        <w:rPr>
          <w:rFonts w:ascii="Arial" w:hAnsi="Arial" w:cs="Arial"/>
          <w:sz w:val="16"/>
          <w:szCs w:val="16"/>
        </w:rPr>
        <w:t>.</w:t>
      </w:r>
    </w:p>
    <w:p w14:paraId="2A612CC8" w14:textId="77777777" w:rsidR="003E36B9"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Separation and Redundancy</w:t>
      </w:r>
    </w:p>
    <w:p w14:paraId="6CFFBC83" w14:textId="5DFC0B00" w:rsidR="004F190E" w:rsidRPr="008F3EDE" w:rsidRDefault="000664B1" w:rsidP="00A613E4">
      <w:pPr>
        <w:spacing w:before="160" w:after="160"/>
        <w:jc w:val="both"/>
        <w:rPr>
          <w:rFonts w:ascii="Arial" w:hAnsi="Arial" w:cs="Arial"/>
          <w:sz w:val="16"/>
          <w:szCs w:val="16"/>
        </w:rPr>
      </w:pPr>
      <w:r w:rsidRPr="000664B1">
        <w:rPr>
          <w:rFonts w:ascii="Arial" w:hAnsi="Arial" w:cs="Arial"/>
          <w:sz w:val="16"/>
          <w:szCs w:val="16"/>
        </w:rPr>
        <w:t>Provision is made for separation and redundancy benefit payments.</w:t>
      </w:r>
      <w:r>
        <w:rPr>
          <w:rFonts w:ascii="Arial" w:hAnsi="Arial" w:cs="Arial"/>
          <w:sz w:val="16"/>
          <w:szCs w:val="16"/>
        </w:rPr>
        <w:t xml:space="preserve"> </w:t>
      </w:r>
      <w:r w:rsidR="003E36B9" w:rsidRPr="008F3EDE">
        <w:rPr>
          <w:rFonts w:ascii="Arial" w:hAnsi="Arial" w:cs="Arial"/>
          <w:sz w:val="16"/>
          <w:szCs w:val="16"/>
        </w:rPr>
        <w:t>The Department</w:t>
      </w:r>
      <w:r w:rsidR="004F190E" w:rsidRPr="008F3EDE">
        <w:rPr>
          <w:rFonts w:ascii="Arial" w:hAnsi="Arial" w:cs="Arial"/>
          <w:sz w:val="16"/>
          <w:szCs w:val="16"/>
        </w:rPr>
        <w:t xml:space="preserve"> recognises a </w:t>
      </w:r>
      <w:r w:rsidR="00035DD9" w:rsidRPr="008F3EDE">
        <w:rPr>
          <w:rFonts w:ascii="Arial" w:hAnsi="Arial" w:cs="Arial"/>
          <w:sz w:val="16"/>
          <w:szCs w:val="16"/>
        </w:rPr>
        <w:t>payable</w:t>
      </w:r>
      <w:r w:rsidR="008F3EDE">
        <w:rPr>
          <w:rFonts w:ascii="Arial" w:hAnsi="Arial" w:cs="Arial"/>
          <w:sz w:val="16"/>
          <w:szCs w:val="16"/>
        </w:rPr>
        <w:t xml:space="preserve"> or provision</w:t>
      </w:r>
      <w:r w:rsidR="004F190E" w:rsidRPr="008F3EDE">
        <w:rPr>
          <w:rFonts w:ascii="Arial" w:hAnsi="Arial" w:cs="Arial"/>
          <w:sz w:val="16"/>
          <w:szCs w:val="16"/>
        </w:rPr>
        <w:t xml:space="preserve"> for termination when it has developed a detailed formal plan for the terminations and has informed those employees affected that it wi</w:t>
      </w:r>
      <w:r w:rsidR="00A613E4" w:rsidRPr="008F3EDE">
        <w:rPr>
          <w:rFonts w:ascii="Arial" w:hAnsi="Arial" w:cs="Arial"/>
          <w:sz w:val="16"/>
          <w:szCs w:val="16"/>
        </w:rPr>
        <w:t>ll carry out the terminations.</w:t>
      </w:r>
      <w:r w:rsidR="005774B3" w:rsidRPr="008F3EDE">
        <w:rPr>
          <w:rFonts w:ascii="Arial" w:hAnsi="Arial" w:cs="Arial"/>
          <w:sz w:val="16"/>
          <w:szCs w:val="16"/>
        </w:rPr>
        <w:t xml:space="preserve"> </w:t>
      </w:r>
      <w:r w:rsidR="00A613E4" w:rsidRPr="008F3EDE">
        <w:rPr>
          <w:rFonts w:ascii="Arial" w:hAnsi="Arial" w:cs="Arial"/>
          <w:sz w:val="16"/>
          <w:szCs w:val="16"/>
        </w:rPr>
        <w:tab/>
      </w:r>
    </w:p>
    <w:p w14:paraId="29EFDA5A" w14:textId="77777777" w:rsidR="003E36B9"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Superannuation</w:t>
      </w:r>
    </w:p>
    <w:p w14:paraId="71986803"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 xml:space="preserve">Staff of </w:t>
      </w:r>
      <w:r w:rsidR="003E36B9" w:rsidRPr="008F3EDE">
        <w:rPr>
          <w:rFonts w:ascii="Arial" w:hAnsi="Arial" w:cs="Arial"/>
          <w:sz w:val="16"/>
          <w:szCs w:val="16"/>
        </w:rPr>
        <w:t>the Department</w:t>
      </w:r>
      <w:r w:rsidRPr="008F3EDE">
        <w:rPr>
          <w:rFonts w:ascii="Arial" w:hAnsi="Arial" w:cs="Arial"/>
          <w:sz w:val="16"/>
          <w:szCs w:val="16"/>
        </w:rPr>
        <w:t xml:space="preserve"> are members of the Commonwealth Superannuation Scheme (CSS), the Public Sector Superannuation Scheme (PSS)</w:t>
      </w:r>
      <w:r w:rsidR="00F40D39" w:rsidRPr="008F3EDE">
        <w:rPr>
          <w:rFonts w:ascii="Arial" w:hAnsi="Arial" w:cs="Arial"/>
          <w:sz w:val="16"/>
          <w:szCs w:val="16"/>
        </w:rPr>
        <w:t>,</w:t>
      </w:r>
      <w:r w:rsidRPr="008F3EDE">
        <w:rPr>
          <w:rFonts w:ascii="Arial" w:hAnsi="Arial" w:cs="Arial"/>
          <w:sz w:val="16"/>
          <w:szCs w:val="16"/>
        </w:rPr>
        <w:t xml:space="preserve"> the </w:t>
      </w:r>
      <w:r w:rsidR="00A613E4" w:rsidRPr="008F3EDE">
        <w:rPr>
          <w:rFonts w:ascii="Arial" w:hAnsi="Arial" w:cs="Arial"/>
          <w:sz w:val="16"/>
          <w:szCs w:val="16"/>
        </w:rPr>
        <w:t>PSS accumulation plan (</w:t>
      </w:r>
      <w:proofErr w:type="spellStart"/>
      <w:r w:rsidR="00A613E4" w:rsidRPr="008F3EDE">
        <w:rPr>
          <w:rFonts w:ascii="Arial" w:hAnsi="Arial" w:cs="Arial"/>
          <w:sz w:val="16"/>
          <w:szCs w:val="16"/>
        </w:rPr>
        <w:t>PSSap</w:t>
      </w:r>
      <w:proofErr w:type="spellEnd"/>
      <w:r w:rsidR="00A613E4" w:rsidRPr="008F3EDE">
        <w:rPr>
          <w:rFonts w:ascii="Arial" w:hAnsi="Arial" w:cs="Arial"/>
          <w:sz w:val="16"/>
          <w:szCs w:val="16"/>
        </w:rPr>
        <w:t>)</w:t>
      </w:r>
      <w:r w:rsidR="00F40D39" w:rsidRPr="008F3EDE">
        <w:rPr>
          <w:rFonts w:ascii="Arial" w:hAnsi="Arial" w:cs="Arial"/>
          <w:sz w:val="16"/>
          <w:szCs w:val="16"/>
        </w:rPr>
        <w:t xml:space="preserve"> or </w:t>
      </w:r>
      <w:r w:rsidR="00387AC7" w:rsidRPr="008F3EDE">
        <w:rPr>
          <w:rFonts w:ascii="Arial" w:hAnsi="Arial" w:cs="Arial"/>
          <w:sz w:val="16"/>
          <w:szCs w:val="16"/>
        </w:rPr>
        <w:t xml:space="preserve">other superannuation fund </w:t>
      </w:r>
      <w:r w:rsidR="00F40D39" w:rsidRPr="008F3EDE">
        <w:rPr>
          <w:rFonts w:ascii="Arial" w:hAnsi="Arial" w:cs="Arial"/>
          <w:sz w:val="16"/>
          <w:szCs w:val="16"/>
        </w:rPr>
        <w:t>as elected by staff</w:t>
      </w:r>
      <w:r w:rsidR="00A613E4" w:rsidRPr="008F3EDE">
        <w:rPr>
          <w:rFonts w:ascii="Arial" w:hAnsi="Arial" w:cs="Arial"/>
          <w:sz w:val="16"/>
          <w:szCs w:val="16"/>
        </w:rPr>
        <w:t>.</w:t>
      </w:r>
    </w:p>
    <w:p w14:paraId="7EDB3991"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The CSS and PSS</w:t>
      </w:r>
      <w:r w:rsidR="00033212" w:rsidRPr="008F3EDE">
        <w:rPr>
          <w:rFonts w:ascii="Arial" w:hAnsi="Arial" w:cs="Arial"/>
          <w:sz w:val="16"/>
          <w:szCs w:val="16"/>
        </w:rPr>
        <w:t xml:space="preserve"> are defined benefit schemes of</w:t>
      </w:r>
      <w:r w:rsidRPr="008F3EDE">
        <w:rPr>
          <w:rFonts w:ascii="Arial" w:hAnsi="Arial" w:cs="Arial"/>
          <w:sz w:val="16"/>
          <w:szCs w:val="16"/>
        </w:rPr>
        <w:t xml:space="preserve"> the </w:t>
      </w:r>
      <w:r w:rsidR="00A0408C" w:rsidRPr="008F3EDE">
        <w:rPr>
          <w:rFonts w:ascii="Arial" w:hAnsi="Arial" w:cs="Arial"/>
          <w:sz w:val="16"/>
          <w:szCs w:val="16"/>
        </w:rPr>
        <w:t>Government</w:t>
      </w:r>
      <w:r w:rsidR="0023364A" w:rsidRPr="008F3EDE">
        <w:rPr>
          <w:rFonts w:ascii="Arial" w:hAnsi="Arial" w:cs="Arial"/>
          <w:sz w:val="16"/>
          <w:szCs w:val="16"/>
        </w:rPr>
        <w:t xml:space="preserve">. </w:t>
      </w:r>
      <w:r w:rsidRPr="008F3EDE">
        <w:rPr>
          <w:rFonts w:ascii="Arial" w:hAnsi="Arial" w:cs="Arial"/>
          <w:sz w:val="16"/>
          <w:szCs w:val="16"/>
        </w:rPr>
        <w:t xml:space="preserve">The </w:t>
      </w:r>
      <w:proofErr w:type="spellStart"/>
      <w:r w:rsidRPr="008F3EDE">
        <w:rPr>
          <w:rFonts w:ascii="Arial" w:hAnsi="Arial" w:cs="Arial"/>
          <w:sz w:val="16"/>
          <w:szCs w:val="16"/>
        </w:rPr>
        <w:t>PSSap</w:t>
      </w:r>
      <w:proofErr w:type="spellEnd"/>
      <w:r w:rsidRPr="008F3EDE">
        <w:rPr>
          <w:rFonts w:ascii="Arial" w:hAnsi="Arial" w:cs="Arial"/>
          <w:sz w:val="16"/>
          <w:szCs w:val="16"/>
        </w:rPr>
        <w:t xml:space="preserve"> is </w:t>
      </w:r>
      <w:r w:rsidR="00A613E4" w:rsidRPr="008F3EDE">
        <w:rPr>
          <w:rFonts w:ascii="Arial" w:hAnsi="Arial" w:cs="Arial"/>
          <w:sz w:val="16"/>
          <w:szCs w:val="16"/>
        </w:rPr>
        <w:t>a defined contribution scheme.</w:t>
      </w:r>
      <w:r w:rsidR="00A613E4" w:rsidRPr="008F3EDE">
        <w:rPr>
          <w:rFonts w:ascii="Arial" w:hAnsi="Arial" w:cs="Arial"/>
          <w:sz w:val="16"/>
          <w:szCs w:val="16"/>
        </w:rPr>
        <w:tab/>
      </w:r>
    </w:p>
    <w:p w14:paraId="3B3C60E5" w14:textId="6B95BBD3" w:rsidR="007355D6"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The liability for defined</w:t>
      </w:r>
      <w:r w:rsidR="00D84F3A" w:rsidRPr="008F3EDE">
        <w:rPr>
          <w:rFonts w:ascii="Arial" w:hAnsi="Arial" w:cs="Arial"/>
          <w:sz w:val="16"/>
          <w:szCs w:val="16"/>
        </w:rPr>
        <w:t xml:space="preserve"> benefits is recognised in the </w:t>
      </w:r>
      <w:r w:rsidR="00E77FA1" w:rsidRPr="008F3EDE">
        <w:rPr>
          <w:rFonts w:ascii="Arial" w:hAnsi="Arial" w:cs="Arial"/>
          <w:sz w:val="16"/>
          <w:szCs w:val="16"/>
        </w:rPr>
        <w:t>f</w:t>
      </w:r>
      <w:r w:rsidR="00D84F3A" w:rsidRPr="008F3EDE">
        <w:rPr>
          <w:rFonts w:ascii="Arial" w:hAnsi="Arial" w:cs="Arial"/>
          <w:sz w:val="16"/>
          <w:szCs w:val="16"/>
        </w:rPr>
        <w:t xml:space="preserve">inancial </w:t>
      </w:r>
      <w:r w:rsidR="00E77FA1" w:rsidRPr="008F3EDE">
        <w:rPr>
          <w:rFonts w:ascii="Arial" w:hAnsi="Arial" w:cs="Arial"/>
          <w:sz w:val="16"/>
          <w:szCs w:val="16"/>
        </w:rPr>
        <w:t>s</w:t>
      </w:r>
      <w:r w:rsidRPr="008F3EDE">
        <w:rPr>
          <w:rFonts w:ascii="Arial" w:hAnsi="Arial" w:cs="Arial"/>
          <w:sz w:val="16"/>
          <w:szCs w:val="16"/>
        </w:rPr>
        <w:t xml:space="preserve">tatements of the </w:t>
      </w:r>
      <w:r w:rsidR="000664B1">
        <w:rPr>
          <w:rFonts w:ascii="Arial" w:hAnsi="Arial" w:cs="Arial"/>
          <w:sz w:val="16"/>
          <w:szCs w:val="16"/>
        </w:rPr>
        <w:t xml:space="preserve">Australian </w:t>
      </w:r>
      <w:r w:rsidR="00A0408C" w:rsidRPr="008F3EDE">
        <w:rPr>
          <w:rFonts w:ascii="Arial" w:hAnsi="Arial" w:cs="Arial"/>
          <w:sz w:val="16"/>
          <w:szCs w:val="16"/>
        </w:rPr>
        <w:t>Government</w:t>
      </w:r>
      <w:r w:rsidRPr="008F3EDE">
        <w:rPr>
          <w:rFonts w:ascii="Arial" w:hAnsi="Arial" w:cs="Arial"/>
          <w:sz w:val="16"/>
          <w:szCs w:val="16"/>
        </w:rPr>
        <w:t xml:space="preserve"> and is settled by the </w:t>
      </w:r>
      <w:r w:rsidR="000664B1">
        <w:rPr>
          <w:rFonts w:ascii="Arial" w:hAnsi="Arial" w:cs="Arial"/>
          <w:sz w:val="16"/>
          <w:szCs w:val="16"/>
        </w:rPr>
        <w:t xml:space="preserve">Australian </w:t>
      </w:r>
      <w:r w:rsidR="00A0408C" w:rsidRPr="008F3EDE">
        <w:rPr>
          <w:rFonts w:ascii="Arial" w:hAnsi="Arial" w:cs="Arial"/>
          <w:sz w:val="16"/>
          <w:szCs w:val="16"/>
        </w:rPr>
        <w:t>Government</w:t>
      </w:r>
      <w:r w:rsidR="0023364A" w:rsidRPr="008F3EDE">
        <w:rPr>
          <w:rFonts w:ascii="Arial" w:hAnsi="Arial" w:cs="Arial"/>
          <w:sz w:val="16"/>
          <w:szCs w:val="16"/>
        </w:rPr>
        <w:t xml:space="preserve"> in due course. </w:t>
      </w:r>
      <w:r w:rsidRPr="008F3EDE">
        <w:rPr>
          <w:rFonts w:ascii="Arial" w:hAnsi="Arial" w:cs="Arial"/>
          <w:sz w:val="16"/>
          <w:szCs w:val="16"/>
        </w:rPr>
        <w:t>This</w:t>
      </w:r>
      <w:r w:rsidR="00033212" w:rsidRPr="008F3EDE">
        <w:rPr>
          <w:rFonts w:ascii="Arial" w:hAnsi="Arial" w:cs="Arial"/>
          <w:sz w:val="16"/>
          <w:szCs w:val="16"/>
        </w:rPr>
        <w:t xml:space="preserve"> </w:t>
      </w:r>
      <w:r w:rsidRPr="008F3EDE">
        <w:rPr>
          <w:rFonts w:ascii="Arial" w:hAnsi="Arial" w:cs="Arial"/>
          <w:sz w:val="16"/>
          <w:szCs w:val="16"/>
        </w:rPr>
        <w:t xml:space="preserve">liability is reported </w:t>
      </w:r>
      <w:r w:rsidR="007355D6" w:rsidRPr="008F3EDE">
        <w:rPr>
          <w:rFonts w:ascii="Arial" w:hAnsi="Arial" w:cs="Arial"/>
          <w:sz w:val="16"/>
          <w:szCs w:val="16"/>
        </w:rPr>
        <w:t xml:space="preserve">in </w:t>
      </w:r>
      <w:r w:rsidRPr="008F3EDE">
        <w:rPr>
          <w:rFonts w:ascii="Arial" w:hAnsi="Arial" w:cs="Arial"/>
          <w:sz w:val="16"/>
          <w:szCs w:val="16"/>
        </w:rPr>
        <w:t>the Department of Finance</w:t>
      </w:r>
      <w:r w:rsidR="007355D6" w:rsidRPr="008F3EDE">
        <w:rPr>
          <w:rFonts w:ascii="Arial" w:hAnsi="Arial" w:cs="Arial"/>
          <w:sz w:val="16"/>
          <w:szCs w:val="16"/>
        </w:rPr>
        <w:t>’s</w:t>
      </w:r>
      <w:r w:rsidR="003D4291" w:rsidRPr="008F3EDE">
        <w:rPr>
          <w:rFonts w:ascii="Arial" w:hAnsi="Arial" w:cs="Arial"/>
          <w:sz w:val="16"/>
          <w:szCs w:val="16"/>
        </w:rPr>
        <w:t xml:space="preserve"> </w:t>
      </w:r>
      <w:r w:rsidR="00E77FA1" w:rsidRPr="008F3EDE">
        <w:rPr>
          <w:rFonts w:ascii="Arial" w:hAnsi="Arial" w:cs="Arial"/>
          <w:sz w:val="16"/>
          <w:szCs w:val="16"/>
        </w:rPr>
        <w:t>a</w:t>
      </w:r>
      <w:r w:rsidR="00A613E4" w:rsidRPr="008F3EDE">
        <w:rPr>
          <w:rFonts w:ascii="Arial" w:hAnsi="Arial" w:cs="Arial"/>
          <w:sz w:val="16"/>
          <w:szCs w:val="16"/>
        </w:rPr>
        <w:t xml:space="preserve">dministered </w:t>
      </w:r>
      <w:r w:rsidR="007355D6" w:rsidRPr="008F3EDE">
        <w:rPr>
          <w:rFonts w:ascii="Arial" w:hAnsi="Arial" w:cs="Arial"/>
          <w:sz w:val="16"/>
          <w:szCs w:val="16"/>
        </w:rPr>
        <w:t>schedules and notes</w:t>
      </w:r>
      <w:r w:rsidR="00A613E4" w:rsidRPr="008F3EDE">
        <w:rPr>
          <w:rFonts w:ascii="Arial" w:hAnsi="Arial" w:cs="Arial"/>
          <w:sz w:val="16"/>
          <w:szCs w:val="16"/>
        </w:rPr>
        <w:t>.</w:t>
      </w:r>
    </w:p>
    <w:p w14:paraId="165DF65A" w14:textId="77777777" w:rsidR="00B544D4" w:rsidRPr="008F3EDE" w:rsidRDefault="003E36B9" w:rsidP="00A613E4">
      <w:pPr>
        <w:spacing w:before="160" w:after="160"/>
        <w:jc w:val="both"/>
        <w:rPr>
          <w:rFonts w:ascii="Arial" w:hAnsi="Arial" w:cs="Arial"/>
          <w:sz w:val="16"/>
          <w:szCs w:val="16"/>
        </w:rPr>
      </w:pPr>
      <w:r w:rsidRPr="008F3EDE">
        <w:rPr>
          <w:rFonts w:ascii="Arial" w:hAnsi="Arial" w:cs="Arial"/>
          <w:sz w:val="16"/>
          <w:szCs w:val="16"/>
        </w:rPr>
        <w:t>The Department</w:t>
      </w:r>
      <w:r w:rsidR="004F190E" w:rsidRPr="008F3EDE">
        <w:rPr>
          <w:rFonts w:ascii="Arial" w:hAnsi="Arial" w:cs="Arial"/>
          <w:sz w:val="16"/>
          <w:szCs w:val="16"/>
        </w:rPr>
        <w:t xml:space="preserve"> makes employer contributions to the employee</w:t>
      </w:r>
      <w:r w:rsidR="00E77FA1" w:rsidRPr="008F3EDE">
        <w:rPr>
          <w:rFonts w:ascii="Arial" w:hAnsi="Arial" w:cs="Arial"/>
          <w:sz w:val="16"/>
          <w:szCs w:val="16"/>
        </w:rPr>
        <w:t>s’</w:t>
      </w:r>
      <w:r w:rsidR="004F190E" w:rsidRPr="008F3EDE">
        <w:rPr>
          <w:rFonts w:ascii="Arial" w:hAnsi="Arial" w:cs="Arial"/>
          <w:sz w:val="16"/>
          <w:szCs w:val="16"/>
        </w:rPr>
        <w:t xml:space="preserve"> superannuation scheme at rates determined by an actuary to be sufficient to meet the current cost to the </w:t>
      </w:r>
      <w:r w:rsidR="00A0408C" w:rsidRPr="008F3EDE">
        <w:rPr>
          <w:rFonts w:ascii="Arial" w:hAnsi="Arial" w:cs="Arial"/>
          <w:sz w:val="16"/>
          <w:szCs w:val="16"/>
        </w:rPr>
        <w:t>Government</w:t>
      </w:r>
      <w:r w:rsidR="00E77FA1" w:rsidRPr="008F3EDE">
        <w:rPr>
          <w:rFonts w:ascii="Arial" w:hAnsi="Arial" w:cs="Arial"/>
          <w:sz w:val="16"/>
          <w:szCs w:val="16"/>
        </w:rPr>
        <w:t>.</w:t>
      </w:r>
      <w:r w:rsidR="0023364A" w:rsidRPr="008F3EDE">
        <w:rPr>
          <w:rFonts w:ascii="Arial" w:hAnsi="Arial" w:cs="Arial"/>
          <w:sz w:val="16"/>
          <w:szCs w:val="16"/>
        </w:rPr>
        <w:t xml:space="preserve"> </w:t>
      </w:r>
      <w:r w:rsidR="00B544D4" w:rsidRPr="008F3EDE">
        <w:rPr>
          <w:rFonts w:ascii="Arial" w:hAnsi="Arial" w:cs="Arial"/>
          <w:sz w:val="16"/>
          <w:szCs w:val="16"/>
        </w:rPr>
        <w:t>The Department</w:t>
      </w:r>
      <w:r w:rsidR="004F190E" w:rsidRPr="008F3EDE">
        <w:rPr>
          <w:rFonts w:ascii="Arial" w:hAnsi="Arial" w:cs="Arial"/>
          <w:sz w:val="16"/>
          <w:szCs w:val="16"/>
        </w:rPr>
        <w:t xml:space="preserve"> accounts for the contributions as if they were contributions </w:t>
      </w:r>
      <w:r w:rsidR="00A613E4" w:rsidRPr="008F3EDE">
        <w:rPr>
          <w:rFonts w:ascii="Arial" w:hAnsi="Arial" w:cs="Arial"/>
          <w:sz w:val="16"/>
          <w:szCs w:val="16"/>
        </w:rPr>
        <w:t>to defined contribution plans.</w:t>
      </w:r>
    </w:p>
    <w:p w14:paraId="2DC0A746" w14:textId="77777777" w:rsidR="00823DD8" w:rsidRDefault="00823DD8" w:rsidP="00A613E4">
      <w:pPr>
        <w:spacing w:before="160" w:after="160"/>
        <w:jc w:val="both"/>
        <w:rPr>
          <w:rFonts w:ascii="Arial" w:hAnsi="Arial" w:cs="Arial"/>
          <w:sz w:val="16"/>
          <w:szCs w:val="16"/>
        </w:rPr>
      </w:pPr>
      <w:r w:rsidRPr="008F3EDE">
        <w:rPr>
          <w:rFonts w:ascii="Arial" w:hAnsi="Arial" w:cs="Arial"/>
          <w:sz w:val="16"/>
          <w:szCs w:val="16"/>
        </w:rPr>
        <w:t>The liability for superannuation recognised as at 30 June represents outstanding contributions for the final fortnight of the year.</w:t>
      </w:r>
      <w:r w:rsidRPr="008F3EDE">
        <w:rPr>
          <w:rFonts w:ascii="Arial" w:hAnsi="Arial" w:cs="Arial"/>
          <w:sz w:val="16"/>
          <w:szCs w:val="16"/>
        </w:rPr>
        <w:tab/>
      </w:r>
    </w:p>
    <w:p w14:paraId="4EA17BE8" w14:textId="77777777" w:rsidR="00CE4146" w:rsidRPr="00AE0BE7" w:rsidRDefault="00CE4146" w:rsidP="00A613E4">
      <w:pPr>
        <w:spacing w:before="160" w:after="160"/>
        <w:jc w:val="both"/>
        <w:rPr>
          <w:rFonts w:ascii="Arial" w:hAnsi="Arial" w:cs="Arial"/>
          <w:sz w:val="16"/>
          <w:szCs w:val="16"/>
          <w:highlight w:val="yellow"/>
        </w:rPr>
      </w:pPr>
    </w:p>
    <w:p w14:paraId="52DDF455" w14:textId="77777777" w:rsidR="00B544D4" w:rsidRPr="008F3EDE" w:rsidRDefault="00A613E4" w:rsidP="00A613E4">
      <w:pPr>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lastRenderedPageBreak/>
        <w:t>Leases</w:t>
      </w:r>
    </w:p>
    <w:p w14:paraId="27F33ACB"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A distinction is made between financ</w:t>
      </w:r>
      <w:r w:rsidR="0023364A" w:rsidRPr="008F3EDE">
        <w:rPr>
          <w:rFonts w:ascii="Arial" w:hAnsi="Arial" w:cs="Arial"/>
          <w:sz w:val="16"/>
          <w:szCs w:val="16"/>
        </w:rPr>
        <w:t xml:space="preserve">e leases and operating leases. </w:t>
      </w:r>
      <w:r w:rsidRPr="008F3EDE">
        <w:rPr>
          <w:rFonts w:ascii="Arial" w:hAnsi="Arial" w:cs="Arial"/>
          <w:sz w:val="16"/>
          <w:szCs w:val="16"/>
        </w:rPr>
        <w:t xml:space="preserve">Finance leases effectively transfer from the lessor </w:t>
      </w:r>
      <w:r w:rsidR="006D3DE3" w:rsidRPr="008F3EDE">
        <w:rPr>
          <w:rFonts w:ascii="Arial" w:hAnsi="Arial" w:cs="Arial"/>
          <w:sz w:val="16"/>
          <w:szCs w:val="16"/>
        </w:rPr>
        <w:t>t</w:t>
      </w:r>
      <w:r w:rsidR="00B3662E" w:rsidRPr="008F3EDE">
        <w:rPr>
          <w:rFonts w:ascii="Arial" w:hAnsi="Arial" w:cs="Arial"/>
          <w:sz w:val="16"/>
          <w:szCs w:val="16"/>
        </w:rPr>
        <w:t xml:space="preserve">o the lessee substantially all </w:t>
      </w:r>
      <w:r w:rsidRPr="008F3EDE">
        <w:rPr>
          <w:rFonts w:ascii="Arial" w:hAnsi="Arial" w:cs="Arial"/>
          <w:sz w:val="16"/>
          <w:szCs w:val="16"/>
        </w:rPr>
        <w:t xml:space="preserve">the risks and rewards incidental </w:t>
      </w:r>
      <w:r w:rsidR="00B64D0D" w:rsidRPr="008F3EDE">
        <w:rPr>
          <w:rFonts w:ascii="Arial" w:hAnsi="Arial" w:cs="Arial"/>
          <w:sz w:val="16"/>
          <w:szCs w:val="16"/>
        </w:rPr>
        <w:t xml:space="preserve">to ownership of leased assets. </w:t>
      </w:r>
      <w:r w:rsidRPr="008F3EDE">
        <w:rPr>
          <w:rFonts w:ascii="Arial" w:hAnsi="Arial" w:cs="Arial"/>
          <w:sz w:val="16"/>
          <w:szCs w:val="16"/>
        </w:rPr>
        <w:t>An operating lease is a leas</w:t>
      </w:r>
      <w:r w:rsidR="0023364A" w:rsidRPr="008F3EDE">
        <w:rPr>
          <w:rFonts w:ascii="Arial" w:hAnsi="Arial" w:cs="Arial"/>
          <w:sz w:val="16"/>
          <w:szCs w:val="16"/>
        </w:rPr>
        <w:t xml:space="preserve">e that is not a finance lease. </w:t>
      </w:r>
      <w:r w:rsidRPr="008F3EDE">
        <w:rPr>
          <w:rFonts w:ascii="Arial" w:hAnsi="Arial" w:cs="Arial"/>
          <w:sz w:val="16"/>
          <w:szCs w:val="16"/>
        </w:rPr>
        <w:t>In operating leases, the lessor effectively retains substantiall</w:t>
      </w:r>
      <w:r w:rsidR="006E7315" w:rsidRPr="008F3EDE">
        <w:rPr>
          <w:rFonts w:ascii="Arial" w:hAnsi="Arial" w:cs="Arial"/>
          <w:sz w:val="16"/>
          <w:szCs w:val="16"/>
        </w:rPr>
        <w:t>y all such risks and benefits.</w:t>
      </w:r>
    </w:p>
    <w:p w14:paraId="6A538FA7" w14:textId="77777777" w:rsidR="000664B1" w:rsidRDefault="0079457C" w:rsidP="00A613E4">
      <w:pPr>
        <w:spacing w:before="160" w:after="160"/>
        <w:jc w:val="both"/>
        <w:rPr>
          <w:rFonts w:ascii="Arial" w:hAnsi="Arial" w:cs="Arial"/>
          <w:sz w:val="16"/>
          <w:szCs w:val="16"/>
        </w:rPr>
      </w:pPr>
      <w:r w:rsidRPr="008F3EDE">
        <w:rPr>
          <w:rFonts w:ascii="Arial" w:hAnsi="Arial" w:cs="Arial"/>
          <w:sz w:val="16"/>
          <w:szCs w:val="16"/>
        </w:rPr>
        <w:t>Where a</w:t>
      </w:r>
      <w:r w:rsidR="004F190E" w:rsidRPr="008F3EDE">
        <w:rPr>
          <w:rFonts w:ascii="Arial" w:hAnsi="Arial" w:cs="Arial"/>
          <w:sz w:val="16"/>
          <w:szCs w:val="16"/>
        </w:rPr>
        <w:t>n asset is acquired by means of a finance lease, the asset is capitalised at either the fair value of the lease property or, if lower, the present value of minimum lease payments at the inception of the contract</w:t>
      </w:r>
      <w:r w:rsidR="006D3DE3" w:rsidRPr="008F3EDE">
        <w:rPr>
          <w:rFonts w:ascii="Arial" w:hAnsi="Arial" w:cs="Arial"/>
          <w:sz w:val="16"/>
          <w:szCs w:val="16"/>
        </w:rPr>
        <w:t>.</w:t>
      </w:r>
      <w:r w:rsidR="00B64D0D" w:rsidRPr="008F3EDE">
        <w:rPr>
          <w:rFonts w:ascii="Arial" w:hAnsi="Arial" w:cs="Arial"/>
          <w:sz w:val="16"/>
          <w:szCs w:val="16"/>
        </w:rPr>
        <w:t xml:space="preserve"> </w:t>
      </w:r>
      <w:r w:rsidR="006D3DE3" w:rsidRPr="008F3EDE">
        <w:rPr>
          <w:rFonts w:ascii="Arial" w:hAnsi="Arial" w:cs="Arial"/>
          <w:sz w:val="16"/>
          <w:szCs w:val="16"/>
        </w:rPr>
        <w:t>A</w:t>
      </w:r>
      <w:r w:rsidR="004F190E" w:rsidRPr="008F3EDE">
        <w:rPr>
          <w:rFonts w:ascii="Arial" w:hAnsi="Arial" w:cs="Arial"/>
          <w:sz w:val="16"/>
          <w:szCs w:val="16"/>
        </w:rPr>
        <w:t xml:space="preserve"> liability is recognised at the same </w:t>
      </w:r>
      <w:r w:rsidR="00A963A5" w:rsidRPr="008F3EDE">
        <w:rPr>
          <w:rFonts w:ascii="Arial" w:hAnsi="Arial" w:cs="Arial"/>
          <w:sz w:val="16"/>
          <w:szCs w:val="16"/>
        </w:rPr>
        <w:t>time and for the same amount.</w:t>
      </w:r>
      <w:r w:rsidR="00354364" w:rsidRPr="008F3EDE">
        <w:rPr>
          <w:rFonts w:ascii="Arial" w:hAnsi="Arial" w:cs="Arial"/>
          <w:sz w:val="16"/>
          <w:szCs w:val="16"/>
        </w:rPr>
        <w:t xml:space="preserve"> </w:t>
      </w:r>
      <w:r w:rsidR="00B64D0D" w:rsidRPr="008F3EDE">
        <w:rPr>
          <w:rFonts w:ascii="Arial" w:hAnsi="Arial" w:cs="Arial"/>
          <w:sz w:val="16"/>
          <w:szCs w:val="16"/>
        </w:rPr>
        <w:t xml:space="preserve"> </w:t>
      </w:r>
    </w:p>
    <w:p w14:paraId="39235663" w14:textId="22BAD934" w:rsidR="00B71C7D"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The discount rate used is the intere</w:t>
      </w:r>
      <w:r w:rsidR="00B64D0D" w:rsidRPr="008F3EDE">
        <w:rPr>
          <w:rFonts w:ascii="Arial" w:hAnsi="Arial" w:cs="Arial"/>
          <w:sz w:val="16"/>
          <w:szCs w:val="16"/>
        </w:rPr>
        <w:t xml:space="preserve">st rate implicit in the lease. </w:t>
      </w:r>
      <w:r w:rsidRPr="008F3EDE">
        <w:rPr>
          <w:rFonts w:ascii="Arial" w:hAnsi="Arial" w:cs="Arial"/>
          <w:sz w:val="16"/>
          <w:szCs w:val="16"/>
        </w:rPr>
        <w:t xml:space="preserve">Leased assets are amortised over the </w:t>
      </w:r>
      <w:r w:rsidR="0079457C" w:rsidRPr="008F3EDE">
        <w:rPr>
          <w:rFonts w:ascii="Arial" w:hAnsi="Arial" w:cs="Arial"/>
          <w:sz w:val="16"/>
          <w:szCs w:val="16"/>
        </w:rPr>
        <w:t>period of the lease.</w:t>
      </w:r>
      <w:r w:rsidR="0023364A" w:rsidRPr="008F3EDE">
        <w:rPr>
          <w:rFonts w:ascii="Arial" w:hAnsi="Arial" w:cs="Arial"/>
          <w:sz w:val="16"/>
          <w:szCs w:val="16"/>
        </w:rPr>
        <w:t xml:space="preserve"> </w:t>
      </w:r>
      <w:r w:rsidRPr="008F3EDE">
        <w:rPr>
          <w:rFonts w:ascii="Arial" w:hAnsi="Arial" w:cs="Arial"/>
          <w:sz w:val="16"/>
          <w:szCs w:val="16"/>
        </w:rPr>
        <w:t xml:space="preserve">Lease payments are </w:t>
      </w:r>
      <w:r w:rsidR="00620809" w:rsidRPr="008F3EDE">
        <w:rPr>
          <w:rFonts w:ascii="Arial" w:hAnsi="Arial" w:cs="Arial"/>
          <w:sz w:val="16"/>
          <w:szCs w:val="16"/>
        </w:rPr>
        <w:t>allocated between the principal component and the interest expense.</w:t>
      </w:r>
    </w:p>
    <w:p w14:paraId="1BB5E93C" w14:textId="77777777" w:rsidR="004F190E" w:rsidRPr="008F3EDE" w:rsidRDefault="004F190E" w:rsidP="00A613E4">
      <w:pPr>
        <w:spacing w:before="160" w:after="160"/>
        <w:jc w:val="both"/>
        <w:rPr>
          <w:rFonts w:ascii="Arial" w:hAnsi="Arial" w:cs="Arial"/>
          <w:sz w:val="16"/>
          <w:szCs w:val="16"/>
        </w:rPr>
      </w:pPr>
      <w:r w:rsidRPr="008F3EDE">
        <w:rPr>
          <w:rFonts w:ascii="Arial" w:hAnsi="Arial" w:cs="Arial"/>
          <w:sz w:val="16"/>
          <w:szCs w:val="16"/>
        </w:rPr>
        <w:t>Operating lease payments are expensed on a straight line basis representative of the pattern of benefits d</w:t>
      </w:r>
      <w:r w:rsidR="00A613E4" w:rsidRPr="008F3EDE">
        <w:rPr>
          <w:rFonts w:ascii="Arial" w:hAnsi="Arial" w:cs="Arial"/>
          <w:sz w:val="16"/>
          <w:szCs w:val="16"/>
        </w:rPr>
        <w:t>erived from the leased assets.</w:t>
      </w:r>
    </w:p>
    <w:p w14:paraId="2CC17166" w14:textId="77777777" w:rsidR="00620809" w:rsidRDefault="00620809" w:rsidP="00A613E4">
      <w:pPr>
        <w:spacing w:before="160" w:after="160"/>
        <w:jc w:val="both"/>
        <w:rPr>
          <w:rFonts w:ascii="Arial" w:hAnsi="Arial" w:cs="Arial"/>
          <w:sz w:val="16"/>
          <w:szCs w:val="16"/>
        </w:rPr>
      </w:pPr>
      <w:r w:rsidRPr="008F3EDE">
        <w:rPr>
          <w:rFonts w:ascii="Arial" w:hAnsi="Arial" w:cs="Arial"/>
          <w:sz w:val="16"/>
          <w:szCs w:val="16"/>
        </w:rPr>
        <w:t>Operating lease incentives are recognised as a liability when received and subsequently reduced by allocating lease payments between rental expense and reduction of the liability.</w:t>
      </w:r>
    </w:p>
    <w:p w14:paraId="39B04B4D" w14:textId="05CED177" w:rsidR="0056534D" w:rsidRPr="008F3EDE" w:rsidRDefault="0056534D" w:rsidP="0056534D">
      <w:pPr>
        <w:numPr>
          <w:ilvl w:val="1"/>
          <w:numId w:val="1"/>
        </w:numPr>
        <w:tabs>
          <w:tab w:val="num" w:pos="0"/>
        </w:tabs>
        <w:spacing w:before="200" w:after="200"/>
        <w:ind w:left="482" w:hanging="482"/>
        <w:rPr>
          <w:rFonts w:ascii="Arial" w:hAnsi="Arial" w:cs="Arial"/>
          <w:b/>
          <w:sz w:val="16"/>
          <w:szCs w:val="16"/>
        </w:rPr>
      </w:pPr>
      <w:r>
        <w:rPr>
          <w:rFonts w:ascii="Arial" w:hAnsi="Arial" w:cs="Arial"/>
          <w:b/>
          <w:sz w:val="16"/>
          <w:szCs w:val="16"/>
        </w:rPr>
        <w:t>Fair Value Measurement</w:t>
      </w:r>
    </w:p>
    <w:p w14:paraId="6EC940D5" w14:textId="7A96AFAD" w:rsidR="0056534D" w:rsidRPr="00FC3C87" w:rsidRDefault="0056534D" w:rsidP="00FC3C87">
      <w:pPr>
        <w:rPr>
          <w:rFonts w:ascii="Arial" w:hAnsi="Arial" w:cs="Arial"/>
          <w:sz w:val="16"/>
          <w:szCs w:val="16"/>
        </w:rPr>
      </w:pPr>
      <w:r w:rsidRPr="00FC3C87">
        <w:rPr>
          <w:rFonts w:ascii="Arial" w:hAnsi="Arial" w:cs="Arial"/>
          <w:sz w:val="16"/>
          <w:szCs w:val="16"/>
        </w:rPr>
        <w:t xml:space="preserve">The </w:t>
      </w:r>
      <w:r>
        <w:rPr>
          <w:rFonts w:ascii="Arial" w:hAnsi="Arial" w:cs="Arial"/>
          <w:sz w:val="16"/>
          <w:szCs w:val="16"/>
        </w:rPr>
        <w:t>Department</w:t>
      </w:r>
      <w:r w:rsidRPr="00FC3C87">
        <w:rPr>
          <w:rFonts w:ascii="Arial" w:hAnsi="Arial" w:cs="Arial"/>
          <w:sz w:val="16"/>
          <w:szCs w:val="16"/>
        </w:rPr>
        <w:t xml:space="preserve"> deems transfers between levels of the fair value hierarchy to have occurred at </w:t>
      </w:r>
      <w:r>
        <w:rPr>
          <w:rFonts w:ascii="Arial" w:hAnsi="Arial" w:cs="Arial"/>
          <w:sz w:val="16"/>
          <w:szCs w:val="16"/>
        </w:rPr>
        <w:t>the end of the reporting period.</w:t>
      </w:r>
    </w:p>
    <w:p w14:paraId="14281E4A" w14:textId="77777777" w:rsidR="00B544D4" w:rsidRPr="008F3EDE" w:rsidRDefault="00A613E4" w:rsidP="00A613E4">
      <w:pPr>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t>Cash</w:t>
      </w:r>
    </w:p>
    <w:p w14:paraId="621EB441" w14:textId="77777777" w:rsidR="00C80A72" w:rsidRPr="008F3EDE" w:rsidRDefault="0041146E" w:rsidP="00C80A72">
      <w:pPr>
        <w:jc w:val="both"/>
        <w:rPr>
          <w:rFonts w:ascii="Arial" w:hAnsi="Arial" w:cs="Arial"/>
          <w:sz w:val="16"/>
          <w:szCs w:val="16"/>
        </w:rPr>
      </w:pPr>
      <w:r w:rsidRPr="008F3EDE">
        <w:rPr>
          <w:rFonts w:ascii="Arial" w:hAnsi="Arial" w:cs="Arial"/>
          <w:sz w:val="16"/>
          <w:szCs w:val="16"/>
        </w:rPr>
        <w:t>Cash is recognised at its nominal amount. Cash and cash equivalents include:</w:t>
      </w:r>
    </w:p>
    <w:p w14:paraId="4EF6045E" w14:textId="77777777" w:rsidR="00652D33" w:rsidRPr="008F3EDE" w:rsidRDefault="0041146E" w:rsidP="00652D33">
      <w:pPr>
        <w:numPr>
          <w:ilvl w:val="0"/>
          <w:numId w:val="7"/>
        </w:numPr>
        <w:ind w:left="357" w:hanging="357"/>
        <w:jc w:val="both"/>
        <w:rPr>
          <w:rFonts w:ascii="Arial" w:hAnsi="Arial" w:cs="Arial"/>
          <w:sz w:val="16"/>
          <w:szCs w:val="16"/>
        </w:rPr>
      </w:pPr>
      <w:r w:rsidRPr="008F3EDE">
        <w:rPr>
          <w:rFonts w:ascii="Arial" w:hAnsi="Arial" w:cs="Arial"/>
          <w:sz w:val="16"/>
          <w:szCs w:val="16"/>
        </w:rPr>
        <w:t>Cash on hand;</w:t>
      </w:r>
      <w:r w:rsidR="005406FC">
        <w:rPr>
          <w:rFonts w:ascii="Arial" w:hAnsi="Arial" w:cs="Arial"/>
          <w:sz w:val="16"/>
          <w:szCs w:val="16"/>
        </w:rPr>
        <w:t xml:space="preserve"> and</w:t>
      </w:r>
    </w:p>
    <w:p w14:paraId="4F12736C" w14:textId="77777777" w:rsidR="00652D33" w:rsidRPr="008F3EDE" w:rsidRDefault="0041146E" w:rsidP="00652D33">
      <w:pPr>
        <w:numPr>
          <w:ilvl w:val="0"/>
          <w:numId w:val="7"/>
        </w:numPr>
        <w:ind w:left="357" w:hanging="357"/>
        <w:jc w:val="both"/>
        <w:rPr>
          <w:rFonts w:ascii="Arial" w:hAnsi="Arial" w:cs="Arial"/>
          <w:sz w:val="16"/>
          <w:szCs w:val="16"/>
        </w:rPr>
      </w:pPr>
      <w:r w:rsidRPr="008F3EDE">
        <w:rPr>
          <w:rFonts w:ascii="Arial" w:hAnsi="Arial" w:cs="Arial"/>
          <w:sz w:val="16"/>
          <w:szCs w:val="16"/>
        </w:rPr>
        <w:t>Cash in special accounts.</w:t>
      </w:r>
    </w:p>
    <w:p w14:paraId="11E2D7F2" w14:textId="77777777" w:rsidR="00B544D4" w:rsidRPr="008F3EDE" w:rsidRDefault="004F190E" w:rsidP="00A43A29">
      <w:pPr>
        <w:keepNext/>
        <w:keepLines/>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t xml:space="preserve">Financial </w:t>
      </w:r>
      <w:r w:rsidR="006126A1" w:rsidRPr="008F3EDE">
        <w:rPr>
          <w:rFonts w:ascii="Arial" w:hAnsi="Arial" w:cs="Arial"/>
          <w:b/>
          <w:sz w:val="16"/>
          <w:szCs w:val="16"/>
        </w:rPr>
        <w:t>A</w:t>
      </w:r>
      <w:r w:rsidR="006E5318" w:rsidRPr="008F3EDE">
        <w:rPr>
          <w:rFonts w:ascii="Arial" w:hAnsi="Arial" w:cs="Arial"/>
          <w:b/>
          <w:sz w:val="16"/>
          <w:szCs w:val="16"/>
        </w:rPr>
        <w:t>ssets</w:t>
      </w:r>
    </w:p>
    <w:p w14:paraId="46830CFF" w14:textId="6641DC45" w:rsidR="00620599" w:rsidRPr="008F3EDE" w:rsidRDefault="001851B3" w:rsidP="00620599">
      <w:pPr>
        <w:keepNext/>
        <w:keepLines/>
        <w:spacing w:before="160" w:after="160"/>
        <w:jc w:val="both"/>
        <w:rPr>
          <w:rFonts w:ascii="Arial" w:hAnsi="Arial" w:cs="Arial"/>
          <w:sz w:val="16"/>
          <w:szCs w:val="16"/>
        </w:rPr>
      </w:pPr>
      <w:r w:rsidRPr="008F3EDE">
        <w:rPr>
          <w:rFonts w:ascii="Arial" w:hAnsi="Arial" w:cs="Arial"/>
          <w:sz w:val="16"/>
          <w:szCs w:val="16"/>
        </w:rPr>
        <w:t>The Department classifies</w:t>
      </w:r>
      <w:r w:rsidR="004F190E" w:rsidRPr="008F3EDE">
        <w:rPr>
          <w:rFonts w:ascii="Arial" w:hAnsi="Arial" w:cs="Arial"/>
          <w:sz w:val="16"/>
          <w:szCs w:val="16"/>
        </w:rPr>
        <w:t xml:space="preserve"> financial assets </w:t>
      </w:r>
      <w:r w:rsidR="00CA7B7E" w:rsidRPr="008F3EDE">
        <w:rPr>
          <w:rFonts w:ascii="Arial" w:hAnsi="Arial" w:cs="Arial"/>
          <w:sz w:val="16"/>
          <w:szCs w:val="16"/>
        </w:rPr>
        <w:t xml:space="preserve">as </w:t>
      </w:r>
      <w:r w:rsidR="00A2531E" w:rsidRPr="008F3EDE">
        <w:rPr>
          <w:rFonts w:ascii="Arial" w:hAnsi="Arial" w:cs="Arial"/>
          <w:sz w:val="16"/>
          <w:szCs w:val="16"/>
        </w:rPr>
        <w:t xml:space="preserve">‘cash and cash equivalents’, </w:t>
      </w:r>
      <w:r w:rsidR="00CA7B7E" w:rsidRPr="008F3EDE">
        <w:rPr>
          <w:rFonts w:ascii="Arial" w:hAnsi="Arial" w:cs="Arial"/>
          <w:sz w:val="16"/>
          <w:szCs w:val="16"/>
        </w:rPr>
        <w:t>‘</w:t>
      </w:r>
      <w:r w:rsidR="00550138">
        <w:rPr>
          <w:rFonts w:ascii="Arial" w:hAnsi="Arial" w:cs="Arial"/>
          <w:sz w:val="16"/>
          <w:szCs w:val="16"/>
        </w:rPr>
        <w:t>trade</w:t>
      </w:r>
      <w:r w:rsidR="004F190E" w:rsidRPr="008F3EDE">
        <w:rPr>
          <w:rFonts w:ascii="Arial" w:hAnsi="Arial" w:cs="Arial"/>
          <w:sz w:val="16"/>
          <w:szCs w:val="16"/>
        </w:rPr>
        <w:t xml:space="preserve"> and </w:t>
      </w:r>
      <w:r w:rsidR="00550138">
        <w:rPr>
          <w:rFonts w:ascii="Arial" w:hAnsi="Arial" w:cs="Arial"/>
          <w:sz w:val="16"/>
          <w:szCs w:val="16"/>
        </w:rPr>
        <w:t xml:space="preserve">other </w:t>
      </w:r>
      <w:r w:rsidR="004F190E" w:rsidRPr="008F3EDE">
        <w:rPr>
          <w:rFonts w:ascii="Arial" w:hAnsi="Arial" w:cs="Arial"/>
          <w:sz w:val="16"/>
          <w:szCs w:val="16"/>
        </w:rPr>
        <w:t>receivables’</w:t>
      </w:r>
      <w:r w:rsidR="00550138">
        <w:rPr>
          <w:rFonts w:ascii="Arial" w:hAnsi="Arial" w:cs="Arial"/>
          <w:sz w:val="16"/>
          <w:szCs w:val="16"/>
        </w:rPr>
        <w:t xml:space="preserve"> and ‘other financial assets’</w:t>
      </w:r>
      <w:r w:rsidR="004F190E" w:rsidRPr="008F3EDE">
        <w:rPr>
          <w:rFonts w:ascii="Arial" w:hAnsi="Arial" w:cs="Arial"/>
          <w:sz w:val="16"/>
          <w:szCs w:val="16"/>
        </w:rPr>
        <w:t>.</w:t>
      </w:r>
      <w:r w:rsidR="00B64D0D" w:rsidRPr="008F3EDE">
        <w:rPr>
          <w:rFonts w:ascii="Arial" w:hAnsi="Arial" w:cs="Arial"/>
          <w:sz w:val="16"/>
          <w:szCs w:val="16"/>
        </w:rPr>
        <w:t xml:space="preserve"> </w:t>
      </w:r>
      <w:r w:rsidR="00BD0DF0" w:rsidRPr="008F3EDE">
        <w:rPr>
          <w:rFonts w:ascii="Arial" w:hAnsi="Arial" w:cs="Arial"/>
          <w:sz w:val="16"/>
          <w:szCs w:val="16"/>
        </w:rPr>
        <w:t>The classification depends on the nature and purpose of the financial assets and is determined at the time of initial recognition.</w:t>
      </w:r>
    </w:p>
    <w:p w14:paraId="2C966150" w14:textId="77777777" w:rsidR="007355D6" w:rsidRPr="008F3EDE" w:rsidRDefault="004037C2">
      <w:pPr>
        <w:keepNext/>
        <w:keepLines/>
        <w:spacing w:before="160" w:after="160"/>
        <w:jc w:val="both"/>
        <w:rPr>
          <w:rFonts w:ascii="Arial" w:hAnsi="Arial" w:cs="Arial"/>
          <w:i/>
          <w:sz w:val="16"/>
          <w:szCs w:val="16"/>
        </w:rPr>
      </w:pPr>
      <w:r w:rsidRPr="008F3EDE">
        <w:rPr>
          <w:rFonts w:ascii="Arial" w:hAnsi="Arial" w:cs="Arial"/>
          <w:i/>
          <w:sz w:val="16"/>
          <w:szCs w:val="16"/>
        </w:rPr>
        <w:t>Loans and Receivables</w:t>
      </w:r>
    </w:p>
    <w:p w14:paraId="20200944" w14:textId="766F81CE" w:rsidR="007355D6" w:rsidRPr="008F3EDE" w:rsidRDefault="004F190E">
      <w:pPr>
        <w:keepNext/>
        <w:keepLines/>
        <w:spacing w:before="160" w:after="160"/>
        <w:jc w:val="both"/>
        <w:rPr>
          <w:rFonts w:ascii="Arial" w:hAnsi="Arial" w:cs="Arial"/>
          <w:sz w:val="16"/>
          <w:szCs w:val="16"/>
        </w:rPr>
      </w:pPr>
      <w:r w:rsidRPr="008F3EDE">
        <w:rPr>
          <w:rFonts w:ascii="Arial" w:hAnsi="Arial" w:cs="Arial"/>
          <w:sz w:val="16"/>
          <w:szCs w:val="16"/>
        </w:rPr>
        <w:t>Trade receivables, loans and other receivables that have fixed or determinable payments that are not quoted in an active market are classifi</w:t>
      </w:r>
      <w:r w:rsidR="0023364A" w:rsidRPr="008F3EDE">
        <w:rPr>
          <w:rFonts w:ascii="Arial" w:hAnsi="Arial" w:cs="Arial"/>
          <w:sz w:val="16"/>
          <w:szCs w:val="16"/>
        </w:rPr>
        <w:t>ed as ‘</w:t>
      </w:r>
      <w:r w:rsidR="00550138">
        <w:rPr>
          <w:rFonts w:ascii="Arial" w:hAnsi="Arial" w:cs="Arial"/>
          <w:sz w:val="16"/>
          <w:szCs w:val="16"/>
        </w:rPr>
        <w:t>trade and other</w:t>
      </w:r>
      <w:r w:rsidR="0023364A" w:rsidRPr="008F3EDE">
        <w:rPr>
          <w:rFonts w:ascii="Arial" w:hAnsi="Arial" w:cs="Arial"/>
          <w:sz w:val="16"/>
          <w:szCs w:val="16"/>
        </w:rPr>
        <w:t xml:space="preserve"> receivables’. </w:t>
      </w:r>
    </w:p>
    <w:p w14:paraId="081028F5" w14:textId="77777777" w:rsidR="00B544D4"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Impairment of Financial Assets</w:t>
      </w:r>
    </w:p>
    <w:p w14:paraId="6EFFFBC5" w14:textId="77777777" w:rsidR="00AD04CF" w:rsidRDefault="004F190E" w:rsidP="006E5318">
      <w:pPr>
        <w:spacing w:before="160" w:after="160"/>
        <w:jc w:val="both"/>
        <w:rPr>
          <w:rFonts w:ascii="Arial" w:hAnsi="Arial" w:cs="Arial"/>
          <w:sz w:val="16"/>
          <w:szCs w:val="16"/>
        </w:rPr>
      </w:pPr>
      <w:r w:rsidRPr="008F3EDE">
        <w:rPr>
          <w:rFonts w:ascii="Arial" w:hAnsi="Arial" w:cs="Arial"/>
          <w:sz w:val="16"/>
          <w:szCs w:val="16"/>
        </w:rPr>
        <w:t>Financial assets are assessed for im</w:t>
      </w:r>
      <w:r w:rsidR="006E5318" w:rsidRPr="008F3EDE">
        <w:rPr>
          <w:rFonts w:ascii="Arial" w:hAnsi="Arial" w:cs="Arial"/>
          <w:sz w:val="16"/>
          <w:szCs w:val="16"/>
        </w:rPr>
        <w:t xml:space="preserve">pairment at </w:t>
      </w:r>
      <w:r w:rsidR="00D816B0" w:rsidRPr="008F3EDE">
        <w:rPr>
          <w:rFonts w:ascii="Arial" w:hAnsi="Arial" w:cs="Arial"/>
          <w:sz w:val="16"/>
          <w:szCs w:val="16"/>
        </w:rPr>
        <w:t xml:space="preserve">the end of </w:t>
      </w:r>
      <w:r w:rsidR="006E5318" w:rsidRPr="008F3EDE">
        <w:rPr>
          <w:rFonts w:ascii="Arial" w:hAnsi="Arial" w:cs="Arial"/>
          <w:sz w:val="16"/>
          <w:szCs w:val="16"/>
        </w:rPr>
        <w:t xml:space="preserve">each </w:t>
      </w:r>
      <w:r w:rsidR="00D816B0" w:rsidRPr="008F3EDE">
        <w:rPr>
          <w:rFonts w:ascii="Arial" w:hAnsi="Arial" w:cs="Arial"/>
          <w:sz w:val="16"/>
          <w:szCs w:val="16"/>
        </w:rPr>
        <w:t>reporting period</w:t>
      </w:r>
      <w:r w:rsidR="006E5318" w:rsidRPr="008F3EDE">
        <w:rPr>
          <w:rFonts w:ascii="Arial" w:hAnsi="Arial" w:cs="Arial"/>
          <w:sz w:val="16"/>
          <w:szCs w:val="16"/>
        </w:rPr>
        <w:t>.</w:t>
      </w:r>
      <w:r w:rsidR="00620599" w:rsidRPr="008F3EDE">
        <w:rPr>
          <w:rFonts w:ascii="Arial" w:hAnsi="Arial" w:cs="Arial"/>
          <w:sz w:val="16"/>
          <w:szCs w:val="16"/>
        </w:rPr>
        <w:t xml:space="preserve"> If there is objective evidence that an impairment loss has been incurred, the amount of the loss is measured as the difference between the </w:t>
      </w:r>
      <w:proofErr w:type="gramStart"/>
      <w:r w:rsidR="00620599" w:rsidRPr="008F3EDE">
        <w:rPr>
          <w:rFonts w:ascii="Arial" w:hAnsi="Arial" w:cs="Arial"/>
          <w:sz w:val="16"/>
          <w:szCs w:val="16"/>
        </w:rPr>
        <w:t>asset’s</w:t>
      </w:r>
      <w:proofErr w:type="gramEnd"/>
      <w:r w:rsidR="00620599" w:rsidRPr="008F3EDE">
        <w:rPr>
          <w:rFonts w:ascii="Arial" w:hAnsi="Arial" w:cs="Arial"/>
          <w:sz w:val="16"/>
          <w:szCs w:val="16"/>
        </w:rPr>
        <w:t xml:space="preserve"> carrying amount and the estimated cash flows. The carrying amount is reduced by way of an allowance account. The loss is recognised in the Statement of Comprehensive Income.</w:t>
      </w:r>
    </w:p>
    <w:p w14:paraId="6D6A9A51" w14:textId="77777777" w:rsidR="00B544D4" w:rsidRPr="008F3EDE" w:rsidRDefault="006E5318" w:rsidP="006E5318">
      <w:pPr>
        <w:numPr>
          <w:ilvl w:val="1"/>
          <w:numId w:val="1"/>
        </w:numPr>
        <w:tabs>
          <w:tab w:val="num" w:pos="0"/>
        </w:tabs>
        <w:spacing w:before="200" w:after="200"/>
        <w:ind w:left="482" w:hanging="482"/>
        <w:rPr>
          <w:rFonts w:ascii="Arial" w:hAnsi="Arial" w:cs="Arial"/>
          <w:b/>
          <w:sz w:val="16"/>
          <w:szCs w:val="16"/>
        </w:rPr>
      </w:pPr>
      <w:r w:rsidRPr="008F3EDE">
        <w:rPr>
          <w:rFonts w:ascii="Arial" w:hAnsi="Arial" w:cs="Arial"/>
          <w:b/>
          <w:sz w:val="16"/>
          <w:szCs w:val="16"/>
        </w:rPr>
        <w:t>Financial Liabilities</w:t>
      </w:r>
    </w:p>
    <w:p w14:paraId="2DAF090B" w14:textId="77777777" w:rsidR="00B544D4" w:rsidRPr="008F3EDE" w:rsidRDefault="00A2531E" w:rsidP="006E5318">
      <w:pPr>
        <w:spacing w:before="160" w:after="160"/>
        <w:jc w:val="both"/>
        <w:rPr>
          <w:rFonts w:ascii="Arial" w:hAnsi="Arial" w:cs="Arial"/>
          <w:sz w:val="16"/>
          <w:szCs w:val="16"/>
        </w:rPr>
      </w:pPr>
      <w:r w:rsidRPr="008F3EDE">
        <w:rPr>
          <w:rFonts w:ascii="Arial" w:hAnsi="Arial" w:cs="Arial"/>
          <w:sz w:val="16"/>
          <w:szCs w:val="16"/>
        </w:rPr>
        <w:t>The Department</w:t>
      </w:r>
      <w:r w:rsidR="006D3DE3" w:rsidRPr="008F3EDE">
        <w:rPr>
          <w:rFonts w:ascii="Arial" w:hAnsi="Arial" w:cs="Arial"/>
          <w:sz w:val="16"/>
          <w:szCs w:val="16"/>
        </w:rPr>
        <w:t>’</w:t>
      </w:r>
      <w:r w:rsidRPr="008F3EDE">
        <w:rPr>
          <w:rFonts w:ascii="Arial" w:hAnsi="Arial" w:cs="Arial"/>
          <w:sz w:val="16"/>
          <w:szCs w:val="16"/>
        </w:rPr>
        <w:t>s f</w:t>
      </w:r>
      <w:r w:rsidR="004F190E" w:rsidRPr="008F3EDE">
        <w:rPr>
          <w:rFonts w:ascii="Arial" w:hAnsi="Arial" w:cs="Arial"/>
          <w:sz w:val="16"/>
          <w:szCs w:val="16"/>
        </w:rPr>
        <w:t xml:space="preserve">inancial liabilities are classified as </w:t>
      </w:r>
      <w:r w:rsidRPr="008F3EDE">
        <w:rPr>
          <w:rFonts w:ascii="Arial" w:hAnsi="Arial" w:cs="Arial"/>
          <w:sz w:val="16"/>
          <w:szCs w:val="16"/>
        </w:rPr>
        <w:t>‘</w:t>
      </w:r>
      <w:r w:rsidR="006E5318" w:rsidRPr="008F3EDE">
        <w:rPr>
          <w:rFonts w:ascii="Arial" w:hAnsi="Arial" w:cs="Arial"/>
          <w:sz w:val="16"/>
          <w:szCs w:val="16"/>
        </w:rPr>
        <w:t>other financial liabilities</w:t>
      </w:r>
      <w:r w:rsidRPr="008F3EDE">
        <w:rPr>
          <w:rFonts w:ascii="Arial" w:hAnsi="Arial" w:cs="Arial"/>
          <w:sz w:val="16"/>
          <w:szCs w:val="16"/>
        </w:rPr>
        <w:t>’</w:t>
      </w:r>
      <w:r w:rsidR="006E5318" w:rsidRPr="008F3EDE">
        <w:rPr>
          <w:rFonts w:ascii="Arial" w:hAnsi="Arial" w:cs="Arial"/>
          <w:sz w:val="16"/>
          <w:szCs w:val="16"/>
        </w:rPr>
        <w:t>.</w:t>
      </w:r>
    </w:p>
    <w:p w14:paraId="2EFAA8F7" w14:textId="77777777" w:rsidR="006A45C0" w:rsidRPr="008F3EDE" w:rsidRDefault="004F190E" w:rsidP="00D94D68">
      <w:pPr>
        <w:spacing w:before="160" w:after="160"/>
        <w:jc w:val="both"/>
        <w:rPr>
          <w:rFonts w:ascii="Arial" w:hAnsi="Arial" w:cs="Arial"/>
          <w:sz w:val="16"/>
          <w:szCs w:val="16"/>
        </w:rPr>
      </w:pPr>
      <w:r w:rsidRPr="008F3EDE">
        <w:rPr>
          <w:rFonts w:ascii="Arial" w:hAnsi="Arial" w:cs="Arial"/>
          <w:sz w:val="16"/>
          <w:szCs w:val="16"/>
        </w:rPr>
        <w:t>Other financial liabilities, including borrowings, are initially measured at fair va</w:t>
      </w:r>
      <w:r w:rsidR="00B64D0D" w:rsidRPr="008F3EDE">
        <w:rPr>
          <w:rFonts w:ascii="Arial" w:hAnsi="Arial" w:cs="Arial"/>
          <w:sz w:val="16"/>
          <w:szCs w:val="16"/>
        </w:rPr>
        <w:t xml:space="preserve">lue, net of transaction costs. </w:t>
      </w:r>
      <w:r w:rsidR="00B3662E" w:rsidRPr="008F3EDE">
        <w:rPr>
          <w:rFonts w:ascii="Arial" w:hAnsi="Arial" w:cs="Arial"/>
          <w:sz w:val="16"/>
          <w:szCs w:val="16"/>
        </w:rPr>
        <w:t>These</w:t>
      </w:r>
      <w:r w:rsidR="006A45C0" w:rsidRPr="008F3EDE">
        <w:rPr>
          <w:rFonts w:ascii="Arial" w:hAnsi="Arial" w:cs="Arial"/>
          <w:sz w:val="16"/>
          <w:szCs w:val="16"/>
        </w:rPr>
        <w:t xml:space="preserve"> liabilities are subsequently measured at amortised cost using the effective interest method, with interest expense recognised on an effective yield basis.</w:t>
      </w:r>
    </w:p>
    <w:p w14:paraId="6130C786" w14:textId="77777777" w:rsidR="00CF28CB" w:rsidRPr="008F3EDE" w:rsidRDefault="004F190E" w:rsidP="00D94D68">
      <w:pPr>
        <w:spacing w:before="160" w:after="160"/>
        <w:jc w:val="both"/>
        <w:rPr>
          <w:rFonts w:ascii="Arial" w:hAnsi="Arial" w:cs="Arial"/>
          <w:i/>
          <w:sz w:val="16"/>
          <w:szCs w:val="16"/>
        </w:rPr>
      </w:pPr>
      <w:r w:rsidRPr="008F3EDE">
        <w:rPr>
          <w:rFonts w:ascii="Arial" w:hAnsi="Arial" w:cs="Arial"/>
          <w:sz w:val="16"/>
          <w:szCs w:val="16"/>
        </w:rPr>
        <w:t>The effective interest method is a method of calculating the amortised cost of a financial liability and of allocating interest exp</w:t>
      </w:r>
      <w:r w:rsidR="0023364A" w:rsidRPr="008F3EDE">
        <w:rPr>
          <w:rFonts w:ascii="Arial" w:hAnsi="Arial" w:cs="Arial"/>
          <w:sz w:val="16"/>
          <w:szCs w:val="16"/>
        </w:rPr>
        <w:t xml:space="preserve">ense over the relevant period. </w:t>
      </w:r>
      <w:r w:rsidRPr="008F3EDE">
        <w:rPr>
          <w:rFonts w:ascii="Arial" w:hAnsi="Arial" w:cs="Arial"/>
          <w:sz w:val="16"/>
          <w:szCs w:val="16"/>
        </w:rPr>
        <w:t>The effective interest rate is the rate that exactly discounts estimated future cash payments through the expected life of the financial liability, or, where appropriate, a shorter period.</w:t>
      </w:r>
    </w:p>
    <w:p w14:paraId="27633793" w14:textId="77777777" w:rsidR="00EE3E54"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Supplier and Other Payables</w:t>
      </w:r>
    </w:p>
    <w:p w14:paraId="2457B85A" w14:textId="77777777" w:rsidR="00EE3E54" w:rsidRPr="008F3EDE" w:rsidRDefault="004F190E" w:rsidP="006E5318">
      <w:pPr>
        <w:spacing w:before="160" w:after="160"/>
        <w:jc w:val="both"/>
        <w:rPr>
          <w:rFonts w:ascii="Arial" w:hAnsi="Arial" w:cs="Arial"/>
          <w:sz w:val="16"/>
          <w:szCs w:val="16"/>
        </w:rPr>
      </w:pPr>
      <w:r w:rsidRPr="008F3EDE">
        <w:rPr>
          <w:rFonts w:ascii="Arial" w:hAnsi="Arial" w:cs="Arial"/>
          <w:sz w:val="16"/>
          <w:szCs w:val="16"/>
        </w:rPr>
        <w:t>Supplier and other payables are</w:t>
      </w:r>
      <w:r w:rsidR="0023364A" w:rsidRPr="008F3EDE">
        <w:rPr>
          <w:rFonts w:ascii="Arial" w:hAnsi="Arial" w:cs="Arial"/>
          <w:sz w:val="16"/>
          <w:szCs w:val="16"/>
        </w:rPr>
        <w:t xml:space="preserve"> recognised at amortised cost. </w:t>
      </w:r>
      <w:r w:rsidRPr="008F3EDE">
        <w:rPr>
          <w:rFonts w:ascii="Arial" w:hAnsi="Arial" w:cs="Arial"/>
          <w:sz w:val="16"/>
          <w:szCs w:val="16"/>
        </w:rPr>
        <w:t>Liabilities are recognised to the extent that the goods or services have been received (and irrespective of havi</w:t>
      </w:r>
      <w:r w:rsidR="006E5318" w:rsidRPr="008F3EDE">
        <w:rPr>
          <w:rFonts w:ascii="Arial" w:hAnsi="Arial" w:cs="Arial"/>
          <w:sz w:val="16"/>
          <w:szCs w:val="16"/>
        </w:rPr>
        <w:t>ng been invoiced).</w:t>
      </w:r>
    </w:p>
    <w:p w14:paraId="54482624" w14:textId="77777777" w:rsidR="00AB3E4E" w:rsidRPr="008F3EDE" w:rsidRDefault="004037C2" w:rsidP="00D94D68">
      <w:pPr>
        <w:spacing w:before="160" w:after="160"/>
        <w:jc w:val="both"/>
        <w:rPr>
          <w:rFonts w:ascii="Arial" w:hAnsi="Arial" w:cs="Arial"/>
          <w:i/>
          <w:sz w:val="16"/>
          <w:szCs w:val="16"/>
        </w:rPr>
      </w:pPr>
      <w:r w:rsidRPr="008F3EDE">
        <w:rPr>
          <w:rFonts w:ascii="Arial" w:hAnsi="Arial" w:cs="Arial"/>
          <w:i/>
          <w:sz w:val="16"/>
          <w:szCs w:val="16"/>
        </w:rPr>
        <w:t>Grants and Subsidies Payable</w:t>
      </w:r>
    </w:p>
    <w:p w14:paraId="6EEC1DEC" w14:textId="77777777" w:rsidR="00EE3E54" w:rsidRDefault="00AB3E4E" w:rsidP="006E5318">
      <w:pPr>
        <w:spacing w:before="160" w:after="160"/>
        <w:jc w:val="both"/>
        <w:rPr>
          <w:rFonts w:ascii="Arial" w:hAnsi="Arial" w:cs="Arial"/>
          <w:sz w:val="16"/>
          <w:szCs w:val="16"/>
        </w:rPr>
      </w:pPr>
      <w:r w:rsidRPr="008F3EDE">
        <w:rPr>
          <w:rFonts w:ascii="Arial" w:hAnsi="Arial" w:cs="Arial"/>
          <w:sz w:val="16"/>
          <w:szCs w:val="16"/>
        </w:rPr>
        <w:t xml:space="preserve">Grants and subsidies made by the Department are recognised as liabilities and expenses only at the time that the recipient </w:t>
      </w:r>
      <w:r w:rsidR="00BA099B" w:rsidRPr="008F3EDE">
        <w:rPr>
          <w:rFonts w:ascii="Arial" w:hAnsi="Arial" w:cs="Arial"/>
          <w:sz w:val="16"/>
          <w:szCs w:val="16"/>
        </w:rPr>
        <w:t>has met</w:t>
      </w:r>
      <w:r w:rsidRPr="008F3EDE">
        <w:rPr>
          <w:rFonts w:ascii="Arial" w:hAnsi="Arial" w:cs="Arial"/>
          <w:sz w:val="16"/>
          <w:szCs w:val="16"/>
        </w:rPr>
        <w:t xml:space="preserve"> all obligations and conditions required in the grant or subsidy agreement.</w:t>
      </w:r>
    </w:p>
    <w:p w14:paraId="7344E7AF" w14:textId="77777777" w:rsidR="006A45C0" w:rsidRPr="008F3EDE" w:rsidRDefault="006A45C0" w:rsidP="006A45C0">
      <w:pPr>
        <w:spacing w:before="160" w:after="160"/>
        <w:jc w:val="both"/>
        <w:rPr>
          <w:rFonts w:ascii="Arial" w:hAnsi="Arial" w:cs="Arial"/>
          <w:i/>
          <w:sz w:val="16"/>
          <w:szCs w:val="16"/>
        </w:rPr>
      </w:pPr>
      <w:r w:rsidRPr="008F3EDE">
        <w:rPr>
          <w:rFonts w:ascii="Arial" w:hAnsi="Arial" w:cs="Arial"/>
          <w:i/>
          <w:sz w:val="16"/>
          <w:szCs w:val="16"/>
        </w:rPr>
        <w:t>Parental Leave Payments Scheme</w:t>
      </w:r>
    </w:p>
    <w:p w14:paraId="357915A4" w14:textId="77777777" w:rsidR="006A45C0" w:rsidRDefault="006A45C0" w:rsidP="00A2531E">
      <w:pPr>
        <w:spacing w:before="160" w:after="160"/>
        <w:jc w:val="both"/>
        <w:rPr>
          <w:rFonts w:ascii="Arial" w:hAnsi="Arial" w:cs="Arial"/>
          <w:sz w:val="16"/>
          <w:szCs w:val="16"/>
        </w:rPr>
      </w:pPr>
      <w:r w:rsidRPr="008F3EDE">
        <w:rPr>
          <w:rFonts w:ascii="Arial" w:hAnsi="Arial" w:cs="Arial"/>
          <w:sz w:val="16"/>
          <w:szCs w:val="16"/>
        </w:rPr>
        <w:t>The Department offset</w:t>
      </w:r>
      <w:r w:rsidR="00476233" w:rsidRPr="008F3EDE">
        <w:rPr>
          <w:rFonts w:ascii="Arial" w:hAnsi="Arial" w:cs="Arial"/>
          <w:sz w:val="16"/>
          <w:szCs w:val="16"/>
        </w:rPr>
        <w:t>s</w:t>
      </w:r>
      <w:r w:rsidRPr="008F3EDE">
        <w:rPr>
          <w:rFonts w:ascii="Arial" w:hAnsi="Arial" w:cs="Arial"/>
          <w:sz w:val="16"/>
          <w:szCs w:val="16"/>
        </w:rPr>
        <w:t xml:space="preserve"> amounts received under Parental Leave Payments Scheme (for payment to employees) by amounts paid to employees under that scheme, because these transactions are only incidental to the main revenue-generating activities of the Department. Amount</w:t>
      </w:r>
      <w:r w:rsidR="002A4091" w:rsidRPr="008F3EDE">
        <w:rPr>
          <w:rFonts w:ascii="Arial" w:hAnsi="Arial" w:cs="Arial"/>
          <w:sz w:val="16"/>
          <w:szCs w:val="16"/>
        </w:rPr>
        <w:t>s</w:t>
      </w:r>
      <w:r w:rsidRPr="008F3EDE">
        <w:rPr>
          <w:rFonts w:ascii="Arial" w:hAnsi="Arial" w:cs="Arial"/>
          <w:sz w:val="16"/>
          <w:szCs w:val="16"/>
        </w:rPr>
        <w:t xml:space="preserve"> received by the Department not yet paid to employees are presented gross as cash and a liability (payable). Amounts attributable to the scheme only appear in the financial statements to the extent that they remain unpaid at year end.</w:t>
      </w:r>
      <w:r w:rsidR="00B64D0D" w:rsidRPr="008F3EDE">
        <w:rPr>
          <w:rFonts w:ascii="Arial" w:hAnsi="Arial" w:cs="Arial"/>
          <w:sz w:val="16"/>
          <w:szCs w:val="16"/>
        </w:rPr>
        <w:t xml:space="preserve"> </w:t>
      </w:r>
    </w:p>
    <w:p w14:paraId="6A247BBC" w14:textId="77777777" w:rsidR="00941E78" w:rsidRPr="008F3EDE" w:rsidRDefault="00941E78" w:rsidP="00A2531E">
      <w:pPr>
        <w:spacing w:before="160" w:after="160"/>
        <w:jc w:val="both"/>
        <w:rPr>
          <w:rFonts w:ascii="Arial" w:hAnsi="Arial" w:cs="Arial"/>
          <w:sz w:val="16"/>
          <w:szCs w:val="16"/>
        </w:rPr>
      </w:pPr>
    </w:p>
    <w:p w14:paraId="0140122B" w14:textId="77777777" w:rsidR="00AB3E4E" w:rsidRPr="00A639C1" w:rsidRDefault="004F190E" w:rsidP="006E5318">
      <w:pPr>
        <w:numPr>
          <w:ilvl w:val="1"/>
          <w:numId w:val="1"/>
        </w:numPr>
        <w:tabs>
          <w:tab w:val="num" w:pos="0"/>
        </w:tabs>
        <w:spacing w:before="200" w:after="200"/>
        <w:ind w:left="482" w:hanging="482"/>
        <w:rPr>
          <w:rFonts w:ascii="Arial" w:hAnsi="Arial" w:cs="Arial"/>
          <w:b/>
          <w:sz w:val="16"/>
          <w:szCs w:val="16"/>
        </w:rPr>
      </w:pPr>
      <w:r w:rsidRPr="00A639C1">
        <w:rPr>
          <w:rFonts w:ascii="Arial" w:hAnsi="Arial" w:cs="Arial"/>
          <w:b/>
          <w:sz w:val="16"/>
          <w:szCs w:val="16"/>
        </w:rPr>
        <w:lastRenderedPageBreak/>
        <w:t>Contingent Lia</w:t>
      </w:r>
      <w:r w:rsidR="006E5318" w:rsidRPr="00A639C1">
        <w:rPr>
          <w:rFonts w:ascii="Arial" w:hAnsi="Arial" w:cs="Arial"/>
          <w:b/>
          <w:sz w:val="16"/>
          <w:szCs w:val="16"/>
        </w:rPr>
        <w:t>bilities and Contingent Assets</w:t>
      </w:r>
    </w:p>
    <w:p w14:paraId="1205AA14" w14:textId="2ED3B0CD" w:rsidR="00DF60DD" w:rsidRDefault="004F190E" w:rsidP="006E5318">
      <w:pPr>
        <w:spacing w:before="160" w:after="160"/>
        <w:jc w:val="both"/>
        <w:rPr>
          <w:rFonts w:ascii="Arial" w:hAnsi="Arial" w:cs="Arial"/>
          <w:sz w:val="16"/>
          <w:szCs w:val="16"/>
        </w:rPr>
      </w:pPr>
      <w:r w:rsidRPr="00A639C1">
        <w:rPr>
          <w:rFonts w:ascii="Arial" w:hAnsi="Arial" w:cs="Arial"/>
          <w:sz w:val="16"/>
          <w:szCs w:val="16"/>
        </w:rPr>
        <w:t xml:space="preserve">Contingent </w:t>
      </w:r>
      <w:r w:rsidR="0055722D" w:rsidRPr="00A639C1">
        <w:rPr>
          <w:rFonts w:ascii="Arial" w:hAnsi="Arial" w:cs="Arial"/>
          <w:sz w:val="16"/>
          <w:szCs w:val="16"/>
        </w:rPr>
        <w:t>l</w:t>
      </w:r>
      <w:r w:rsidRPr="00A639C1">
        <w:rPr>
          <w:rFonts w:ascii="Arial" w:hAnsi="Arial" w:cs="Arial"/>
          <w:sz w:val="16"/>
          <w:szCs w:val="16"/>
        </w:rPr>
        <w:t xml:space="preserve">iabilities and </w:t>
      </w:r>
      <w:r w:rsidR="0055722D" w:rsidRPr="00A639C1">
        <w:rPr>
          <w:rFonts w:ascii="Arial" w:hAnsi="Arial" w:cs="Arial"/>
          <w:sz w:val="16"/>
          <w:szCs w:val="16"/>
        </w:rPr>
        <w:t>c</w:t>
      </w:r>
      <w:r w:rsidRPr="00A639C1">
        <w:rPr>
          <w:rFonts w:ascii="Arial" w:hAnsi="Arial" w:cs="Arial"/>
          <w:sz w:val="16"/>
          <w:szCs w:val="16"/>
        </w:rPr>
        <w:t xml:space="preserve">ontingent </w:t>
      </w:r>
      <w:r w:rsidR="0055722D" w:rsidRPr="00A639C1">
        <w:rPr>
          <w:rFonts w:ascii="Arial" w:hAnsi="Arial" w:cs="Arial"/>
          <w:sz w:val="16"/>
          <w:szCs w:val="16"/>
        </w:rPr>
        <w:t>a</w:t>
      </w:r>
      <w:r w:rsidRPr="00A639C1">
        <w:rPr>
          <w:rFonts w:ascii="Arial" w:hAnsi="Arial" w:cs="Arial"/>
          <w:sz w:val="16"/>
          <w:szCs w:val="16"/>
        </w:rPr>
        <w:t xml:space="preserve">ssets are not recognised in the </w:t>
      </w:r>
      <w:r w:rsidR="00A639C1" w:rsidRPr="00A639C1">
        <w:rPr>
          <w:rFonts w:ascii="Arial" w:hAnsi="Arial" w:cs="Arial"/>
          <w:sz w:val="16"/>
          <w:szCs w:val="16"/>
        </w:rPr>
        <w:t>Statement of Financial Position</w:t>
      </w:r>
      <w:r w:rsidRPr="00A639C1">
        <w:rPr>
          <w:rFonts w:ascii="Arial" w:hAnsi="Arial" w:cs="Arial"/>
          <w:sz w:val="16"/>
          <w:szCs w:val="16"/>
        </w:rPr>
        <w:t xml:space="preserve"> but are reported in the</w:t>
      </w:r>
      <w:r w:rsidR="0023364A" w:rsidRPr="00A639C1">
        <w:rPr>
          <w:rFonts w:ascii="Arial" w:hAnsi="Arial" w:cs="Arial"/>
          <w:sz w:val="16"/>
          <w:szCs w:val="16"/>
        </w:rPr>
        <w:t xml:space="preserve"> notes. </w:t>
      </w:r>
      <w:r w:rsidRPr="00A639C1">
        <w:rPr>
          <w:rFonts w:ascii="Arial" w:hAnsi="Arial" w:cs="Arial"/>
          <w:sz w:val="16"/>
          <w:szCs w:val="16"/>
        </w:rPr>
        <w:t>They may arise from uncertainty as to the existence of a liability or asset</w:t>
      </w:r>
      <w:r w:rsidR="006D3DE3" w:rsidRPr="00A639C1">
        <w:rPr>
          <w:rFonts w:ascii="Arial" w:hAnsi="Arial" w:cs="Arial"/>
          <w:sz w:val="16"/>
          <w:szCs w:val="16"/>
        </w:rPr>
        <w:t xml:space="preserve">, </w:t>
      </w:r>
      <w:r w:rsidRPr="00A639C1">
        <w:rPr>
          <w:rFonts w:ascii="Arial" w:hAnsi="Arial" w:cs="Arial"/>
          <w:sz w:val="16"/>
          <w:szCs w:val="16"/>
        </w:rPr>
        <w:t>or represent an asset or liability in respect of which the amount c</w:t>
      </w:r>
      <w:r w:rsidR="0023364A" w:rsidRPr="00A639C1">
        <w:rPr>
          <w:rFonts w:ascii="Arial" w:hAnsi="Arial" w:cs="Arial"/>
          <w:sz w:val="16"/>
          <w:szCs w:val="16"/>
        </w:rPr>
        <w:t xml:space="preserve">annot be reliably measured. </w:t>
      </w:r>
      <w:r w:rsidRPr="00A639C1">
        <w:rPr>
          <w:rFonts w:ascii="Arial" w:hAnsi="Arial" w:cs="Arial"/>
          <w:sz w:val="16"/>
          <w:szCs w:val="16"/>
        </w:rPr>
        <w:t>Contingent assets are disclosed when settlement is probable but not virtually certain and contingent liabilities are disclosed when settlement is</w:t>
      </w:r>
      <w:r w:rsidR="006E5318" w:rsidRPr="00A639C1">
        <w:rPr>
          <w:rFonts w:ascii="Arial" w:hAnsi="Arial" w:cs="Arial"/>
          <w:sz w:val="16"/>
          <w:szCs w:val="16"/>
        </w:rPr>
        <w:t xml:space="preserve"> greater than remote.</w:t>
      </w:r>
    </w:p>
    <w:p w14:paraId="72C9D154" w14:textId="77777777" w:rsidR="004F190E" w:rsidRPr="00A639C1" w:rsidRDefault="004F190E" w:rsidP="006E5318">
      <w:pPr>
        <w:numPr>
          <w:ilvl w:val="1"/>
          <w:numId w:val="1"/>
        </w:numPr>
        <w:tabs>
          <w:tab w:val="num" w:pos="0"/>
        </w:tabs>
        <w:spacing w:before="200" w:after="200"/>
        <w:ind w:left="482" w:hanging="482"/>
        <w:rPr>
          <w:rFonts w:ascii="Arial" w:hAnsi="Arial" w:cs="Arial"/>
          <w:b/>
          <w:sz w:val="16"/>
          <w:szCs w:val="16"/>
        </w:rPr>
      </w:pPr>
      <w:r w:rsidRPr="00A639C1">
        <w:rPr>
          <w:rFonts w:ascii="Arial" w:hAnsi="Arial" w:cs="Arial"/>
          <w:b/>
          <w:sz w:val="16"/>
          <w:szCs w:val="16"/>
        </w:rPr>
        <w:t>Acquisition of Assets</w:t>
      </w:r>
    </w:p>
    <w:p w14:paraId="43706DB0"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Assets are recorded at cost on acqui</w:t>
      </w:r>
      <w:r w:rsidR="0023364A" w:rsidRPr="00A639C1">
        <w:rPr>
          <w:rFonts w:ascii="Arial" w:hAnsi="Arial" w:cs="Arial"/>
          <w:sz w:val="16"/>
          <w:szCs w:val="16"/>
        </w:rPr>
        <w:t xml:space="preserve">sition except as stated below. </w:t>
      </w:r>
      <w:r w:rsidRPr="00A639C1">
        <w:rPr>
          <w:rFonts w:ascii="Arial" w:hAnsi="Arial" w:cs="Arial"/>
          <w:sz w:val="16"/>
          <w:szCs w:val="16"/>
        </w:rPr>
        <w:t>The cost of acquisition includes the fair value of assets transferred in exchan</w:t>
      </w:r>
      <w:r w:rsidR="0023364A" w:rsidRPr="00A639C1">
        <w:rPr>
          <w:rFonts w:ascii="Arial" w:hAnsi="Arial" w:cs="Arial"/>
          <w:sz w:val="16"/>
          <w:szCs w:val="16"/>
        </w:rPr>
        <w:t xml:space="preserve">ge and liabilities undertaken. </w:t>
      </w:r>
      <w:r w:rsidRPr="00A639C1">
        <w:rPr>
          <w:rFonts w:ascii="Arial" w:hAnsi="Arial" w:cs="Arial"/>
          <w:sz w:val="16"/>
          <w:szCs w:val="16"/>
        </w:rPr>
        <w:t>Financial assets are initially measured at their fair value plus transa</w:t>
      </w:r>
      <w:r w:rsidR="00A25761" w:rsidRPr="00A639C1">
        <w:rPr>
          <w:rFonts w:ascii="Arial" w:hAnsi="Arial" w:cs="Arial"/>
          <w:sz w:val="16"/>
          <w:szCs w:val="16"/>
        </w:rPr>
        <w:t>ction costs where appropriate.</w:t>
      </w:r>
    </w:p>
    <w:p w14:paraId="4B2CE19D" w14:textId="77777777" w:rsidR="00242E31"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 xml:space="preserve">Assets acquired at no cost, or for nominal consideration, are initially recognised as assets and </w:t>
      </w:r>
      <w:r w:rsidR="0038678F" w:rsidRPr="00A639C1">
        <w:rPr>
          <w:rFonts w:ascii="Arial" w:hAnsi="Arial" w:cs="Arial"/>
          <w:sz w:val="16"/>
          <w:szCs w:val="16"/>
        </w:rPr>
        <w:t>income</w:t>
      </w:r>
      <w:r w:rsidRPr="00A639C1">
        <w:rPr>
          <w:rFonts w:ascii="Arial" w:hAnsi="Arial" w:cs="Arial"/>
          <w:sz w:val="16"/>
          <w:szCs w:val="16"/>
        </w:rPr>
        <w:t xml:space="preserve"> at their fair value at the date of acquisition, unless acquired as a consequence of restructuring o</w:t>
      </w:r>
      <w:r w:rsidR="0023364A" w:rsidRPr="00A639C1">
        <w:rPr>
          <w:rFonts w:ascii="Arial" w:hAnsi="Arial" w:cs="Arial"/>
          <w:sz w:val="16"/>
          <w:szCs w:val="16"/>
        </w:rPr>
        <w:t xml:space="preserve">f administrative arrangements. </w:t>
      </w:r>
      <w:r w:rsidRPr="00A639C1">
        <w:rPr>
          <w:rFonts w:ascii="Arial" w:hAnsi="Arial" w:cs="Arial"/>
          <w:sz w:val="16"/>
          <w:szCs w:val="16"/>
        </w:rPr>
        <w:t xml:space="preserve">In the latter case, assets are initially recognised as contributions by owners at the amounts at which they were recognised in the </w:t>
      </w:r>
      <w:r w:rsidR="0038678F" w:rsidRPr="00A639C1">
        <w:rPr>
          <w:rFonts w:ascii="Arial" w:hAnsi="Arial" w:cs="Arial"/>
          <w:sz w:val="16"/>
          <w:szCs w:val="16"/>
        </w:rPr>
        <w:t xml:space="preserve">transferor’s </w:t>
      </w:r>
      <w:r w:rsidRPr="00A639C1">
        <w:rPr>
          <w:rFonts w:ascii="Arial" w:hAnsi="Arial" w:cs="Arial"/>
          <w:sz w:val="16"/>
          <w:szCs w:val="16"/>
        </w:rPr>
        <w:t>accounts immediate</w:t>
      </w:r>
      <w:r w:rsidR="00A25761" w:rsidRPr="00A639C1">
        <w:rPr>
          <w:rFonts w:ascii="Arial" w:hAnsi="Arial" w:cs="Arial"/>
          <w:sz w:val="16"/>
          <w:szCs w:val="16"/>
        </w:rPr>
        <w:t>ly prior to the restructuring.</w:t>
      </w:r>
    </w:p>
    <w:p w14:paraId="13D8145C" w14:textId="77777777" w:rsidR="00EA1445" w:rsidRPr="00A639C1" w:rsidRDefault="00043247">
      <w:pPr>
        <w:keepNext/>
        <w:keepLines/>
        <w:numPr>
          <w:ilvl w:val="1"/>
          <w:numId w:val="1"/>
        </w:numPr>
        <w:tabs>
          <w:tab w:val="num" w:pos="0"/>
        </w:tabs>
        <w:spacing w:before="200" w:after="200"/>
        <w:ind w:left="482" w:hanging="482"/>
        <w:rPr>
          <w:rFonts w:ascii="Arial" w:hAnsi="Arial" w:cs="Arial"/>
          <w:b/>
          <w:sz w:val="16"/>
          <w:szCs w:val="16"/>
        </w:rPr>
      </w:pPr>
      <w:r w:rsidRPr="00A639C1">
        <w:rPr>
          <w:rFonts w:ascii="Arial" w:hAnsi="Arial" w:cs="Arial"/>
          <w:b/>
          <w:sz w:val="16"/>
          <w:szCs w:val="16"/>
        </w:rPr>
        <w:t>Property</w:t>
      </w:r>
      <w:r w:rsidR="004F190E" w:rsidRPr="00A639C1">
        <w:rPr>
          <w:rFonts w:ascii="Arial" w:hAnsi="Arial" w:cs="Arial"/>
          <w:b/>
          <w:sz w:val="16"/>
          <w:szCs w:val="16"/>
        </w:rPr>
        <w:t xml:space="preserve">, Plant and Equipment </w:t>
      </w:r>
    </w:p>
    <w:p w14:paraId="6391DC78" w14:textId="77777777" w:rsidR="00EA1445" w:rsidRPr="00A639C1" w:rsidRDefault="004037C2">
      <w:pPr>
        <w:keepNext/>
        <w:keepLines/>
        <w:spacing w:before="160" w:after="160"/>
        <w:jc w:val="both"/>
        <w:rPr>
          <w:rFonts w:ascii="Arial" w:hAnsi="Arial" w:cs="Arial"/>
          <w:i/>
          <w:sz w:val="16"/>
          <w:szCs w:val="16"/>
        </w:rPr>
      </w:pPr>
      <w:r w:rsidRPr="00A639C1">
        <w:rPr>
          <w:rFonts w:ascii="Arial" w:hAnsi="Arial" w:cs="Arial"/>
          <w:i/>
          <w:sz w:val="16"/>
          <w:szCs w:val="16"/>
        </w:rPr>
        <w:t>Asset Recognition Threshold</w:t>
      </w:r>
    </w:p>
    <w:p w14:paraId="6DC3D9A2" w14:textId="55D11DDC" w:rsidR="00EA1445" w:rsidRPr="00A639C1" w:rsidRDefault="004F190E">
      <w:pPr>
        <w:keepNext/>
        <w:keepLines/>
        <w:spacing w:before="160" w:after="160"/>
        <w:jc w:val="both"/>
        <w:rPr>
          <w:rFonts w:ascii="Arial" w:hAnsi="Arial" w:cs="Arial"/>
          <w:sz w:val="16"/>
          <w:szCs w:val="16"/>
        </w:rPr>
      </w:pPr>
      <w:r w:rsidRPr="00A639C1">
        <w:rPr>
          <w:rFonts w:ascii="Arial" w:hAnsi="Arial" w:cs="Arial"/>
          <w:sz w:val="16"/>
          <w:szCs w:val="16"/>
        </w:rPr>
        <w:t xml:space="preserve">Purchases of </w:t>
      </w:r>
      <w:r w:rsidR="0038678F" w:rsidRPr="00A639C1">
        <w:rPr>
          <w:rFonts w:ascii="Arial" w:hAnsi="Arial" w:cs="Arial"/>
          <w:sz w:val="16"/>
          <w:szCs w:val="16"/>
        </w:rPr>
        <w:t>property</w:t>
      </w:r>
      <w:r w:rsidRPr="00A639C1">
        <w:rPr>
          <w:rFonts w:ascii="Arial" w:hAnsi="Arial" w:cs="Arial"/>
          <w:sz w:val="16"/>
          <w:szCs w:val="16"/>
        </w:rPr>
        <w:t xml:space="preserve">, plant and equipment are recognised initially at cost in the </w:t>
      </w:r>
      <w:r w:rsidR="00530A8D">
        <w:rPr>
          <w:rFonts w:ascii="Arial" w:hAnsi="Arial" w:cs="Arial"/>
          <w:sz w:val="16"/>
          <w:szCs w:val="16"/>
        </w:rPr>
        <w:t>Statement of Financial Position</w:t>
      </w:r>
      <w:r w:rsidRPr="00A639C1">
        <w:rPr>
          <w:rFonts w:ascii="Arial" w:hAnsi="Arial" w:cs="Arial"/>
          <w:sz w:val="16"/>
          <w:szCs w:val="16"/>
        </w:rPr>
        <w:t>, except f</w:t>
      </w:r>
      <w:r w:rsidR="00AB3E4E" w:rsidRPr="00A639C1">
        <w:rPr>
          <w:rFonts w:ascii="Arial" w:hAnsi="Arial" w:cs="Arial"/>
          <w:sz w:val="16"/>
          <w:szCs w:val="16"/>
        </w:rPr>
        <w:t xml:space="preserve">or purchases costing less than </w:t>
      </w:r>
      <w:r w:rsidRPr="00A639C1">
        <w:rPr>
          <w:rFonts w:ascii="Arial" w:hAnsi="Arial" w:cs="Arial"/>
          <w:sz w:val="16"/>
          <w:szCs w:val="16"/>
        </w:rPr>
        <w:t>$</w:t>
      </w:r>
      <w:r w:rsidR="00AB3E4E" w:rsidRPr="00A639C1">
        <w:rPr>
          <w:rFonts w:ascii="Arial" w:hAnsi="Arial" w:cs="Arial"/>
          <w:sz w:val="16"/>
          <w:szCs w:val="16"/>
        </w:rPr>
        <w:t>2,000</w:t>
      </w:r>
      <w:r w:rsidRPr="00A639C1">
        <w:rPr>
          <w:rFonts w:ascii="Arial" w:hAnsi="Arial" w:cs="Arial"/>
          <w:sz w:val="16"/>
          <w:szCs w:val="16"/>
        </w:rPr>
        <w:t>, which are expensed in the year of acquisition (other than where they form par</w:t>
      </w:r>
      <w:r w:rsidR="00EB5720" w:rsidRPr="00A639C1">
        <w:rPr>
          <w:rFonts w:ascii="Arial" w:hAnsi="Arial" w:cs="Arial"/>
          <w:sz w:val="16"/>
          <w:szCs w:val="16"/>
        </w:rPr>
        <w:t xml:space="preserve">t of a </w:t>
      </w:r>
      <w:r w:rsidR="007A2FFF" w:rsidRPr="00A639C1">
        <w:rPr>
          <w:rFonts w:ascii="Arial" w:hAnsi="Arial" w:cs="Arial"/>
          <w:sz w:val="16"/>
          <w:szCs w:val="16"/>
        </w:rPr>
        <w:t xml:space="preserve">related </w:t>
      </w:r>
      <w:r w:rsidR="00EB5720" w:rsidRPr="00A639C1">
        <w:rPr>
          <w:rFonts w:ascii="Arial" w:hAnsi="Arial" w:cs="Arial"/>
          <w:sz w:val="16"/>
          <w:szCs w:val="16"/>
        </w:rPr>
        <w:t xml:space="preserve">group </w:t>
      </w:r>
      <w:r w:rsidR="007A2FFF" w:rsidRPr="00A639C1">
        <w:rPr>
          <w:rFonts w:ascii="Arial" w:hAnsi="Arial" w:cs="Arial"/>
          <w:sz w:val="16"/>
          <w:szCs w:val="16"/>
        </w:rPr>
        <w:t>t</w:t>
      </w:r>
      <w:r w:rsidR="00EB5720" w:rsidRPr="00A639C1">
        <w:rPr>
          <w:rFonts w:ascii="Arial" w:hAnsi="Arial" w:cs="Arial"/>
          <w:sz w:val="16"/>
          <w:szCs w:val="16"/>
        </w:rPr>
        <w:t>hat</w:t>
      </w:r>
      <w:r w:rsidR="00A25761" w:rsidRPr="00A639C1">
        <w:rPr>
          <w:rFonts w:ascii="Arial" w:hAnsi="Arial" w:cs="Arial"/>
          <w:sz w:val="16"/>
          <w:szCs w:val="16"/>
        </w:rPr>
        <w:t xml:space="preserve"> </w:t>
      </w:r>
      <w:r w:rsidR="007A2FFF" w:rsidRPr="00A639C1">
        <w:rPr>
          <w:rFonts w:ascii="Arial" w:hAnsi="Arial" w:cs="Arial"/>
          <w:sz w:val="16"/>
          <w:szCs w:val="16"/>
        </w:rPr>
        <w:t>is</w:t>
      </w:r>
      <w:r w:rsidR="00A25761" w:rsidRPr="00A639C1">
        <w:rPr>
          <w:rFonts w:ascii="Arial" w:hAnsi="Arial" w:cs="Arial"/>
          <w:sz w:val="16"/>
          <w:szCs w:val="16"/>
        </w:rPr>
        <w:t xml:space="preserve"> significant in total).</w:t>
      </w:r>
    </w:p>
    <w:p w14:paraId="0D81073A" w14:textId="77777777" w:rsidR="00B33933"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The initial cost of an asset includes an estimate of the cost of dismantling and removing the item and restoring th</w:t>
      </w:r>
      <w:r w:rsidR="0023364A" w:rsidRPr="00A639C1">
        <w:rPr>
          <w:rFonts w:ascii="Arial" w:hAnsi="Arial" w:cs="Arial"/>
          <w:sz w:val="16"/>
          <w:szCs w:val="16"/>
        </w:rPr>
        <w:t xml:space="preserve">e site on which it is located. </w:t>
      </w:r>
      <w:r w:rsidRPr="00A639C1">
        <w:rPr>
          <w:rFonts w:ascii="Arial" w:hAnsi="Arial" w:cs="Arial"/>
          <w:sz w:val="16"/>
          <w:szCs w:val="16"/>
        </w:rPr>
        <w:t>This is particularly relevant to ‘make</w:t>
      </w:r>
      <w:r w:rsidR="00204DFB" w:rsidRPr="00A639C1">
        <w:rPr>
          <w:rFonts w:ascii="Arial" w:hAnsi="Arial" w:cs="Arial"/>
          <w:sz w:val="16"/>
          <w:szCs w:val="16"/>
        </w:rPr>
        <w:t>-</w:t>
      </w:r>
      <w:r w:rsidRPr="00A639C1">
        <w:rPr>
          <w:rFonts w:ascii="Arial" w:hAnsi="Arial" w:cs="Arial"/>
          <w:sz w:val="16"/>
          <w:szCs w:val="16"/>
        </w:rPr>
        <w:t xml:space="preserve">good’ provisions in </w:t>
      </w:r>
      <w:r w:rsidR="00AB3E4E" w:rsidRPr="00A639C1">
        <w:rPr>
          <w:rFonts w:ascii="Arial" w:hAnsi="Arial" w:cs="Arial"/>
          <w:sz w:val="16"/>
          <w:szCs w:val="16"/>
        </w:rPr>
        <w:t>property leases</w:t>
      </w:r>
      <w:r w:rsidRPr="00A639C1">
        <w:rPr>
          <w:rFonts w:ascii="Arial" w:hAnsi="Arial" w:cs="Arial"/>
          <w:sz w:val="16"/>
          <w:szCs w:val="16"/>
        </w:rPr>
        <w:t xml:space="preserve"> taken up by </w:t>
      </w:r>
      <w:r w:rsidR="00AB3E4E" w:rsidRPr="00A639C1">
        <w:rPr>
          <w:rFonts w:ascii="Arial" w:hAnsi="Arial" w:cs="Arial"/>
          <w:sz w:val="16"/>
          <w:szCs w:val="16"/>
        </w:rPr>
        <w:t>the Department</w:t>
      </w:r>
      <w:r w:rsidR="00EB5720" w:rsidRPr="00A639C1">
        <w:rPr>
          <w:rFonts w:ascii="Arial" w:hAnsi="Arial" w:cs="Arial"/>
          <w:sz w:val="16"/>
          <w:szCs w:val="16"/>
        </w:rPr>
        <w:t xml:space="preserve"> where </w:t>
      </w:r>
      <w:r w:rsidRPr="00A639C1">
        <w:rPr>
          <w:rFonts w:ascii="Arial" w:hAnsi="Arial" w:cs="Arial"/>
          <w:sz w:val="16"/>
          <w:szCs w:val="16"/>
        </w:rPr>
        <w:t>an obligation</w:t>
      </w:r>
      <w:r w:rsidR="00EB5720" w:rsidRPr="00A639C1">
        <w:rPr>
          <w:rFonts w:ascii="Arial" w:hAnsi="Arial" w:cs="Arial"/>
          <w:sz w:val="16"/>
          <w:szCs w:val="16"/>
        </w:rPr>
        <w:t xml:space="preserve"> exists</w:t>
      </w:r>
      <w:r w:rsidRPr="00A639C1">
        <w:rPr>
          <w:rFonts w:ascii="Arial" w:hAnsi="Arial" w:cs="Arial"/>
          <w:sz w:val="16"/>
          <w:szCs w:val="16"/>
        </w:rPr>
        <w:t xml:space="preserve"> to </w:t>
      </w:r>
      <w:r w:rsidR="00AB3E4E" w:rsidRPr="00A639C1">
        <w:rPr>
          <w:rFonts w:ascii="Arial" w:hAnsi="Arial" w:cs="Arial"/>
          <w:sz w:val="16"/>
          <w:szCs w:val="16"/>
        </w:rPr>
        <w:t>restore the property to its original condition</w:t>
      </w:r>
      <w:r w:rsidR="0023364A" w:rsidRPr="00A639C1">
        <w:rPr>
          <w:rFonts w:ascii="Arial" w:hAnsi="Arial" w:cs="Arial"/>
          <w:sz w:val="16"/>
          <w:szCs w:val="16"/>
        </w:rPr>
        <w:t xml:space="preserve">. </w:t>
      </w:r>
      <w:r w:rsidRPr="00A639C1">
        <w:rPr>
          <w:rFonts w:ascii="Arial" w:hAnsi="Arial" w:cs="Arial"/>
          <w:sz w:val="16"/>
          <w:szCs w:val="16"/>
        </w:rPr>
        <w:t xml:space="preserve">These costs are included in the value of </w:t>
      </w:r>
      <w:r w:rsidR="00AB3E4E" w:rsidRPr="00A639C1">
        <w:rPr>
          <w:rFonts w:ascii="Arial" w:hAnsi="Arial" w:cs="Arial"/>
          <w:sz w:val="16"/>
          <w:szCs w:val="16"/>
        </w:rPr>
        <w:t>the Department’s leasehold improvements</w:t>
      </w:r>
      <w:r w:rsidRPr="00A639C1">
        <w:rPr>
          <w:rFonts w:ascii="Arial" w:hAnsi="Arial" w:cs="Arial"/>
          <w:sz w:val="16"/>
          <w:szCs w:val="16"/>
        </w:rPr>
        <w:t xml:space="preserve"> with a corre</w:t>
      </w:r>
      <w:r w:rsidR="0023364A" w:rsidRPr="00A639C1">
        <w:rPr>
          <w:rFonts w:ascii="Arial" w:hAnsi="Arial" w:cs="Arial"/>
          <w:sz w:val="16"/>
          <w:szCs w:val="16"/>
        </w:rPr>
        <w:t>sponding provision for the ‘</w:t>
      </w:r>
      <w:r w:rsidR="00204DFB" w:rsidRPr="00A639C1">
        <w:rPr>
          <w:rFonts w:ascii="Arial" w:hAnsi="Arial" w:cs="Arial"/>
          <w:sz w:val="16"/>
          <w:szCs w:val="16"/>
        </w:rPr>
        <w:t>make-good</w:t>
      </w:r>
      <w:r w:rsidRPr="00A639C1">
        <w:rPr>
          <w:rFonts w:ascii="Arial" w:hAnsi="Arial" w:cs="Arial"/>
          <w:sz w:val="16"/>
          <w:szCs w:val="16"/>
        </w:rPr>
        <w:t>’ recognised.</w:t>
      </w:r>
    </w:p>
    <w:p w14:paraId="29FEFAC9" w14:textId="77777777" w:rsidR="004F190E" w:rsidRPr="00A639C1" w:rsidRDefault="004037C2" w:rsidP="000120F9">
      <w:pPr>
        <w:jc w:val="both"/>
        <w:rPr>
          <w:rFonts w:ascii="Arial" w:hAnsi="Arial" w:cs="Arial"/>
          <w:i/>
          <w:sz w:val="16"/>
          <w:szCs w:val="16"/>
        </w:rPr>
      </w:pPr>
      <w:r w:rsidRPr="00A639C1">
        <w:rPr>
          <w:rFonts w:ascii="Arial" w:hAnsi="Arial" w:cs="Arial"/>
          <w:i/>
          <w:sz w:val="16"/>
          <w:szCs w:val="16"/>
        </w:rPr>
        <w:t>Revaluations</w:t>
      </w:r>
    </w:p>
    <w:p w14:paraId="35E7CC22"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Fair values for each class of asset are determined as shown below:</w:t>
      </w:r>
      <w:r w:rsidRPr="00A639C1">
        <w:rPr>
          <w:rFonts w:ascii="Arial" w:hAnsi="Arial" w:cs="Arial"/>
          <w:sz w:val="16"/>
          <w:szCs w:val="16"/>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212"/>
      </w:tblGrid>
      <w:tr w:rsidR="00AB3E4E" w:rsidRPr="00A639C1" w14:paraId="35956558" w14:textId="77777777" w:rsidTr="000A3B6E">
        <w:tc>
          <w:tcPr>
            <w:tcW w:w="3240" w:type="dxa"/>
          </w:tcPr>
          <w:p w14:paraId="188F0966" w14:textId="77777777" w:rsidR="00AB3E4E" w:rsidRPr="00A639C1" w:rsidRDefault="00AB3E4E" w:rsidP="008B3658">
            <w:pPr>
              <w:jc w:val="both"/>
              <w:rPr>
                <w:rFonts w:ascii="Arial" w:hAnsi="Arial" w:cs="Arial"/>
                <w:b/>
                <w:i/>
                <w:sz w:val="16"/>
                <w:szCs w:val="16"/>
              </w:rPr>
            </w:pPr>
            <w:r w:rsidRPr="00A639C1">
              <w:rPr>
                <w:rFonts w:ascii="Arial" w:hAnsi="Arial" w:cs="Arial"/>
                <w:b/>
                <w:i/>
                <w:sz w:val="16"/>
                <w:szCs w:val="16"/>
              </w:rPr>
              <w:t>Asset Class</w:t>
            </w:r>
          </w:p>
        </w:tc>
        <w:tc>
          <w:tcPr>
            <w:tcW w:w="3212" w:type="dxa"/>
          </w:tcPr>
          <w:p w14:paraId="426847C0" w14:textId="77777777" w:rsidR="00AB3E4E" w:rsidRPr="00A639C1" w:rsidRDefault="00AB3E4E" w:rsidP="008B3658">
            <w:pPr>
              <w:jc w:val="both"/>
              <w:rPr>
                <w:rFonts w:ascii="Arial" w:hAnsi="Arial" w:cs="Arial"/>
                <w:b/>
                <w:i/>
                <w:sz w:val="16"/>
                <w:szCs w:val="16"/>
              </w:rPr>
            </w:pPr>
            <w:r w:rsidRPr="00A639C1">
              <w:rPr>
                <w:rFonts w:ascii="Arial" w:hAnsi="Arial" w:cs="Arial"/>
                <w:b/>
                <w:i/>
                <w:sz w:val="16"/>
                <w:szCs w:val="16"/>
              </w:rPr>
              <w:t>Fair value measured at:</w:t>
            </w:r>
          </w:p>
        </w:tc>
      </w:tr>
      <w:tr w:rsidR="00AB3E4E" w:rsidRPr="00A639C1" w14:paraId="24F55A5C" w14:textId="77777777" w:rsidTr="000A3B6E">
        <w:tc>
          <w:tcPr>
            <w:tcW w:w="3240" w:type="dxa"/>
          </w:tcPr>
          <w:p w14:paraId="3F5DBD95" w14:textId="77777777" w:rsidR="00AB3E4E" w:rsidRPr="00A639C1" w:rsidRDefault="00F576ED" w:rsidP="00F576ED">
            <w:pPr>
              <w:rPr>
                <w:rFonts w:ascii="Arial" w:hAnsi="Arial" w:cs="Arial"/>
                <w:sz w:val="16"/>
                <w:szCs w:val="16"/>
              </w:rPr>
            </w:pPr>
            <w:r w:rsidRPr="00A639C1">
              <w:rPr>
                <w:rFonts w:ascii="Arial" w:hAnsi="Arial" w:cs="Arial"/>
                <w:sz w:val="16"/>
                <w:szCs w:val="16"/>
              </w:rPr>
              <w:t>Land and buildings</w:t>
            </w:r>
          </w:p>
        </w:tc>
        <w:tc>
          <w:tcPr>
            <w:tcW w:w="3212" w:type="dxa"/>
          </w:tcPr>
          <w:p w14:paraId="0A3EC417" w14:textId="77777777" w:rsidR="00AB3E4E" w:rsidRPr="00A639C1" w:rsidRDefault="00AB3E4E" w:rsidP="008B3658">
            <w:pPr>
              <w:jc w:val="both"/>
              <w:rPr>
                <w:rFonts w:ascii="Arial" w:hAnsi="Arial" w:cs="Arial"/>
                <w:sz w:val="16"/>
                <w:szCs w:val="16"/>
              </w:rPr>
            </w:pPr>
            <w:r w:rsidRPr="00A639C1">
              <w:rPr>
                <w:rFonts w:ascii="Arial" w:hAnsi="Arial" w:cs="Arial"/>
                <w:sz w:val="16"/>
                <w:szCs w:val="16"/>
              </w:rPr>
              <w:t>Depreciated replacement cost</w:t>
            </w:r>
          </w:p>
        </w:tc>
      </w:tr>
      <w:tr w:rsidR="00AB3E4E" w:rsidRPr="00A639C1" w14:paraId="5ACB962E" w14:textId="77777777" w:rsidTr="000A3B6E">
        <w:tc>
          <w:tcPr>
            <w:tcW w:w="3240" w:type="dxa"/>
          </w:tcPr>
          <w:p w14:paraId="73983125" w14:textId="77777777" w:rsidR="00AB3E4E" w:rsidRPr="00A639C1" w:rsidRDefault="005E53BF" w:rsidP="008B3658">
            <w:pPr>
              <w:jc w:val="both"/>
              <w:rPr>
                <w:rFonts w:ascii="Arial" w:hAnsi="Arial" w:cs="Arial"/>
                <w:sz w:val="16"/>
                <w:szCs w:val="16"/>
              </w:rPr>
            </w:pPr>
            <w:r w:rsidRPr="00A639C1">
              <w:rPr>
                <w:rFonts w:ascii="Arial" w:hAnsi="Arial" w:cs="Arial"/>
                <w:sz w:val="16"/>
                <w:szCs w:val="16"/>
              </w:rPr>
              <w:t>Property</w:t>
            </w:r>
            <w:r w:rsidR="007B0C2C" w:rsidRPr="00A639C1">
              <w:rPr>
                <w:rFonts w:ascii="Arial" w:hAnsi="Arial" w:cs="Arial"/>
                <w:sz w:val="16"/>
                <w:szCs w:val="16"/>
              </w:rPr>
              <w:t xml:space="preserve">, </w:t>
            </w:r>
            <w:r w:rsidR="0023364A" w:rsidRPr="00A639C1">
              <w:rPr>
                <w:rFonts w:ascii="Arial" w:hAnsi="Arial" w:cs="Arial"/>
                <w:sz w:val="16"/>
                <w:szCs w:val="16"/>
              </w:rPr>
              <w:t>p</w:t>
            </w:r>
            <w:r w:rsidR="00AB3E4E" w:rsidRPr="00A639C1">
              <w:rPr>
                <w:rFonts w:ascii="Arial" w:hAnsi="Arial" w:cs="Arial"/>
                <w:sz w:val="16"/>
                <w:szCs w:val="16"/>
              </w:rPr>
              <w:t>lant and equipment</w:t>
            </w:r>
          </w:p>
        </w:tc>
        <w:tc>
          <w:tcPr>
            <w:tcW w:w="3212" w:type="dxa"/>
          </w:tcPr>
          <w:p w14:paraId="30A23B59" w14:textId="77777777" w:rsidR="00AB3E4E" w:rsidRPr="00A639C1" w:rsidRDefault="00AB3E4E" w:rsidP="00F576ED">
            <w:pPr>
              <w:rPr>
                <w:rFonts w:ascii="Arial" w:hAnsi="Arial" w:cs="Arial"/>
                <w:sz w:val="16"/>
                <w:szCs w:val="16"/>
              </w:rPr>
            </w:pPr>
            <w:r w:rsidRPr="00A639C1">
              <w:rPr>
                <w:rFonts w:ascii="Arial" w:hAnsi="Arial" w:cs="Arial"/>
                <w:sz w:val="16"/>
                <w:szCs w:val="16"/>
              </w:rPr>
              <w:t>Market selling price or depreciated replacement cost</w:t>
            </w:r>
          </w:p>
        </w:tc>
      </w:tr>
    </w:tbl>
    <w:p w14:paraId="4F4D3C2D"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 xml:space="preserve">Following initial recognition at cost, </w:t>
      </w:r>
      <w:r w:rsidR="005E53BF" w:rsidRPr="00A639C1">
        <w:rPr>
          <w:rFonts w:ascii="Arial" w:hAnsi="Arial" w:cs="Arial"/>
          <w:sz w:val="16"/>
          <w:szCs w:val="16"/>
        </w:rPr>
        <w:t>property</w:t>
      </w:r>
      <w:r w:rsidR="00BF4939" w:rsidRPr="00A639C1">
        <w:rPr>
          <w:rFonts w:ascii="Arial" w:hAnsi="Arial" w:cs="Arial"/>
          <w:sz w:val="16"/>
          <w:szCs w:val="16"/>
        </w:rPr>
        <w:t>,</w:t>
      </w:r>
      <w:r w:rsidRPr="00A639C1">
        <w:rPr>
          <w:rFonts w:ascii="Arial" w:hAnsi="Arial" w:cs="Arial"/>
          <w:sz w:val="16"/>
          <w:szCs w:val="16"/>
        </w:rPr>
        <w:t xml:space="preserve"> plant and equipment are carried at fair value less accumulated depreciation and</w:t>
      </w:r>
      <w:r w:rsidR="0023364A" w:rsidRPr="00A639C1">
        <w:rPr>
          <w:rFonts w:ascii="Arial" w:hAnsi="Arial" w:cs="Arial"/>
          <w:sz w:val="16"/>
          <w:szCs w:val="16"/>
        </w:rPr>
        <w:t xml:space="preserve"> accumulated impairment losses. </w:t>
      </w:r>
      <w:r w:rsidRPr="00A639C1">
        <w:rPr>
          <w:rFonts w:ascii="Arial" w:hAnsi="Arial" w:cs="Arial"/>
          <w:sz w:val="16"/>
          <w:szCs w:val="16"/>
        </w:rPr>
        <w:t>Valuations are conducted with sufficient frequency to ensure that the carrying amounts of assets do not di</w:t>
      </w:r>
      <w:r w:rsidR="00EB5720" w:rsidRPr="00A639C1">
        <w:rPr>
          <w:rFonts w:ascii="Arial" w:hAnsi="Arial" w:cs="Arial"/>
          <w:sz w:val="16"/>
          <w:szCs w:val="16"/>
        </w:rPr>
        <w:t>ffer materially from the assets</w:t>
      </w:r>
      <w:r w:rsidR="005E53BF" w:rsidRPr="00A639C1">
        <w:rPr>
          <w:rFonts w:ascii="Arial" w:hAnsi="Arial" w:cs="Arial"/>
          <w:sz w:val="16"/>
          <w:szCs w:val="16"/>
        </w:rPr>
        <w:t>’</w:t>
      </w:r>
      <w:r w:rsidRPr="00A639C1">
        <w:rPr>
          <w:rFonts w:ascii="Arial" w:hAnsi="Arial" w:cs="Arial"/>
          <w:sz w:val="16"/>
          <w:szCs w:val="16"/>
        </w:rPr>
        <w:t xml:space="preserve"> fair va</w:t>
      </w:r>
      <w:r w:rsidR="0023364A" w:rsidRPr="00A639C1">
        <w:rPr>
          <w:rFonts w:ascii="Arial" w:hAnsi="Arial" w:cs="Arial"/>
          <w:sz w:val="16"/>
          <w:szCs w:val="16"/>
        </w:rPr>
        <w:t xml:space="preserve">lues as at the reporting date. </w:t>
      </w:r>
      <w:r w:rsidRPr="00A639C1">
        <w:rPr>
          <w:rFonts w:ascii="Arial" w:hAnsi="Arial" w:cs="Arial"/>
          <w:sz w:val="16"/>
          <w:szCs w:val="16"/>
        </w:rPr>
        <w:t>The regularity of independent valuations depends upon the volatility of movements in market va</w:t>
      </w:r>
      <w:r w:rsidR="00A25761" w:rsidRPr="00A639C1">
        <w:rPr>
          <w:rFonts w:ascii="Arial" w:hAnsi="Arial" w:cs="Arial"/>
          <w:sz w:val="16"/>
          <w:szCs w:val="16"/>
        </w:rPr>
        <w:t>lues for the relevant assets.</w:t>
      </w:r>
    </w:p>
    <w:p w14:paraId="610A5F8A" w14:textId="77777777" w:rsidR="00C226E3"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Revaluation adjustme</w:t>
      </w:r>
      <w:r w:rsidR="0023364A" w:rsidRPr="00A639C1">
        <w:rPr>
          <w:rFonts w:ascii="Arial" w:hAnsi="Arial" w:cs="Arial"/>
          <w:sz w:val="16"/>
          <w:szCs w:val="16"/>
        </w:rPr>
        <w:t xml:space="preserve">nts are made on a class basis. </w:t>
      </w:r>
      <w:r w:rsidRPr="00A639C1">
        <w:rPr>
          <w:rFonts w:ascii="Arial" w:hAnsi="Arial" w:cs="Arial"/>
          <w:sz w:val="16"/>
          <w:szCs w:val="16"/>
        </w:rPr>
        <w:t xml:space="preserve">Any revaluation increment is credited to equity under the heading of asset revaluation reserve except to the extent that it reverses a previous revaluation decrement of the same asset class that was previously recognised through </w:t>
      </w:r>
      <w:r w:rsidR="00EB5720" w:rsidRPr="00A639C1">
        <w:rPr>
          <w:rFonts w:ascii="Arial" w:hAnsi="Arial" w:cs="Arial"/>
          <w:sz w:val="16"/>
          <w:szCs w:val="16"/>
        </w:rPr>
        <w:t xml:space="preserve">the </w:t>
      </w:r>
      <w:r w:rsidR="00BF4939" w:rsidRPr="00A639C1">
        <w:rPr>
          <w:rFonts w:ascii="Arial" w:hAnsi="Arial" w:cs="Arial"/>
          <w:sz w:val="16"/>
          <w:szCs w:val="16"/>
        </w:rPr>
        <w:t xml:space="preserve">Statement of Comprehensive </w:t>
      </w:r>
      <w:r w:rsidR="00EB5720" w:rsidRPr="00A639C1">
        <w:rPr>
          <w:rFonts w:ascii="Arial" w:hAnsi="Arial" w:cs="Arial"/>
          <w:sz w:val="16"/>
          <w:szCs w:val="16"/>
        </w:rPr>
        <w:t>Income</w:t>
      </w:r>
      <w:r w:rsidR="0023364A" w:rsidRPr="00A639C1">
        <w:rPr>
          <w:rFonts w:ascii="Arial" w:hAnsi="Arial" w:cs="Arial"/>
          <w:sz w:val="16"/>
          <w:szCs w:val="16"/>
        </w:rPr>
        <w:t xml:space="preserve">. </w:t>
      </w:r>
      <w:r w:rsidRPr="00A639C1">
        <w:rPr>
          <w:rFonts w:ascii="Arial" w:hAnsi="Arial" w:cs="Arial"/>
          <w:sz w:val="16"/>
          <w:szCs w:val="16"/>
        </w:rPr>
        <w:t xml:space="preserve">Revaluation decrements for a class of assets are recognised directly through </w:t>
      </w:r>
      <w:r w:rsidR="00EB5720" w:rsidRPr="00A639C1">
        <w:rPr>
          <w:rFonts w:ascii="Arial" w:hAnsi="Arial" w:cs="Arial"/>
          <w:sz w:val="16"/>
          <w:szCs w:val="16"/>
        </w:rPr>
        <w:t xml:space="preserve">the </w:t>
      </w:r>
      <w:r w:rsidR="00BF4939" w:rsidRPr="00A639C1">
        <w:rPr>
          <w:rFonts w:ascii="Arial" w:hAnsi="Arial" w:cs="Arial"/>
          <w:sz w:val="16"/>
          <w:szCs w:val="16"/>
        </w:rPr>
        <w:t xml:space="preserve">Statement of Comprehensive </w:t>
      </w:r>
      <w:r w:rsidR="00EB5720" w:rsidRPr="00A639C1">
        <w:rPr>
          <w:rFonts w:ascii="Arial" w:hAnsi="Arial" w:cs="Arial"/>
          <w:sz w:val="16"/>
          <w:szCs w:val="16"/>
        </w:rPr>
        <w:t>Income</w:t>
      </w:r>
      <w:r w:rsidR="002726BE" w:rsidRPr="00A639C1">
        <w:rPr>
          <w:rFonts w:ascii="Arial" w:hAnsi="Arial" w:cs="Arial"/>
          <w:sz w:val="16"/>
          <w:szCs w:val="16"/>
        </w:rPr>
        <w:t>,</w:t>
      </w:r>
      <w:r w:rsidRPr="00A639C1">
        <w:rPr>
          <w:rFonts w:ascii="Arial" w:hAnsi="Arial" w:cs="Arial"/>
          <w:sz w:val="16"/>
          <w:szCs w:val="16"/>
        </w:rPr>
        <w:t xml:space="preserve"> except to the extent that they reverse a previous revalua</w:t>
      </w:r>
      <w:r w:rsidR="00A25761" w:rsidRPr="00A639C1">
        <w:rPr>
          <w:rFonts w:ascii="Arial" w:hAnsi="Arial" w:cs="Arial"/>
          <w:sz w:val="16"/>
          <w:szCs w:val="16"/>
        </w:rPr>
        <w:t>tion increment for that class.</w:t>
      </w:r>
    </w:p>
    <w:p w14:paraId="66001F20" w14:textId="77777777" w:rsidR="004F190E" w:rsidRDefault="004F190E" w:rsidP="00A25761">
      <w:pPr>
        <w:spacing w:before="160" w:after="160"/>
        <w:jc w:val="both"/>
        <w:rPr>
          <w:rFonts w:ascii="Arial" w:hAnsi="Arial" w:cs="Arial"/>
          <w:sz w:val="16"/>
          <w:szCs w:val="16"/>
        </w:rPr>
      </w:pPr>
      <w:r w:rsidRPr="00A639C1">
        <w:rPr>
          <w:rFonts w:ascii="Arial" w:hAnsi="Arial" w:cs="Arial"/>
          <w:sz w:val="16"/>
          <w:szCs w:val="16"/>
        </w:rPr>
        <w:t>Any accumulated depreciation as at the revaluation date is eliminated against the gross carrying amount of the asset and the asset re</w:t>
      </w:r>
      <w:r w:rsidR="00A25761" w:rsidRPr="00A639C1">
        <w:rPr>
          <w:rFonts w:ascii="Arial" w:hAnsi="Arial" w:cs="Arial"/>
          <w:sz w:val="16"/>
          <w:szCs w:val="16"/>
        </w:rPr>
        <w:t>stated to the revalued amount.</w:t>
      </w:r>
    </w:p>
    <w:p w14:paraId="5A93DFDE" w14:textId="4B8DC768" w:rsidR="00F00921" w:rsidRPr="00A639C1" w:rsidRDefault="00F00921" w:rsidP="00A25761">
      <w:pPr>
        <w:spacing w:before="160" w:after="160"/>
        <w:jc w:val="both"/>
        <w:rPr>
          <w:rFonts w:ascii="Arial" w:hAnsi="Arial" w:cs="Arial"/>
          <w:sz w:val="16"/>
          <w:szCs w:val="16"/>
        </w:rPr>
      </w:pPr>
      <w:r>
        <w:rPr>
          <w:rFonts w:ascii="Arial" w:hAnsi="Arial" w:cs="Arial"/>
          <w:sz w:val="16"/>
          <w:szCs w:val="16"/>
        </w:rPr>
        <w:t>Assets purchased during the financial year are excluded from asset revaluation as they represent fair value</w:t>
      </w:r>
      <w:r w:rsidR="00D26354">
        <w:rPr>
          <w:rFonts w:ascii="Arial" w:hAnsi="Arial" w:cs="Arial"/>
          <w:sz w:val="16"/>
          <w:szCs w:val="16"/>
        </w:rPr>
        <w:t>.</w:t>
      </w:r>
    </w:p>
    <w:p w14:paraId="60BB43F7" w14:textId="77777777" w:rsidR="00C226E3" w:rsidRPr="00A639C1" w:rsidRDefault="004037C2" w:rsidP="00D94D68">
      <w:pPr>
        <w:spacing w:before="160" w:after="160"/>
        <w:jc w:val="both"/>
        <w:rPr>
          <w:rFonts w:ascii="Arial" w:hAnsi="Arial" w:cs="Arial"/>
          <w:i/>
          <w:sz w:val="16"/>
          <w:szCs w:val="16"/>
        </w:rPr>
      </w:pPr>
      <w:r w:rsidRPr="00A639C1">
        <w:rPr>
          <w:rFonts w:ascii="Arial" w:hAnsi="Arial" w:cs="Arial"/>
          <w:i/>
          <w:sz w:val="16"/>
          <w:szCs w:val="16"/>
        </w:rPr>
        <w:t>Depreciation</w:t>
      </w:r>
    </w:p>
    <w:p w14:paraId="0B2B4103"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 xml:space="preserve">Depreciable </w:t>
      </w:r>
      <w:r w:rsidR="00B4784C" w:rsidRPr="00A639C1">
        <w:rPr>
          <w:rFonts w:ascii="Arial" w:hAnsi="Arial" w:cs="Arial"/>
          <w:sz w:val="16"/>
          <w:szCs w:val="16"/>
        </w:rPr>
        <w:t>property</w:t>
      </w:r>
      <w:r w:rsidR="006D3DE3" w:rsidRPr="00A639C1">
        <w:rPr>
          <w:rFonts w:ascii="Arial" w:hAnsi="Arial" w:cs="Arial"/>
          <w:sz w:val="16"/>
          <w:szCs w:val="16"/>
        </w:rPr>
        <w:t xml:space="preserve">, </w:t>
      </w:r>
      <w:r w:rsidRPr="00A639C1">
        <w:rPr>
          <w:rFonts w:ascii="Arial" w:hAnsi="Arial" w:cs="Arial"/>
          <w:sz w:val="16"/>
          <w:szCs w:val="16"/>
        </w:rPr>
        <w:t xml:space="preserve">plant and equipment are written-off to their estimated residual values over their estimated useful lives to </w:t>
      </w:r>
      <w:r w:rsidR="00C226E3" w:rsidRPr="00A639C1">
        <w:rPr>
          <w:rFonts w:ascii="Arial" w:hAnsi="Arial" w:cs="Arial"/>
          <w:sz w:val="16"/>
          <w:szCs w:val="16"/>
        </w:rPr>
        <w:t>the Department</w:t>
      </w:r>
      <w:r w:rsidRPr="00A639C1">
        <w:rPr>
          <w:rFonts w:ascii="Arial" w:hAnsi="Arial" w:cs="Arial"/>
          <w:sz w:val="16"/>
          <w:szCs w:val="16"/>
        </w:rPr>
        <w:t xml:space="preserve"> using, in all cases, the straight-l</w:t>
      </w:r>
      <w:r w:rsidR="00A25761" w:rsidRPr="00A639C1">
        <w:rPr>
          <w:rFonts w:ascii="Arial" w:hAnsi="Arial" w:cs="Arial"/>
          <w:sz w:val="16"/>
          <w:szCs w:val="16"/>
        </w:rPr>
        <w:t>ine method of depreciation.</w:t>
      </w:r>
    </w:p>
    <w:p w14:paraId="1569C13F" w14:textId="77777777" w:rsidR="006A45C0" w:rsidRDefault="004F190E" w:rsidP="00A25761">
      <w:pPr>
        <w:spacing w:before="160" w:after="160"/>
        <w:jc w:val="both"/>
        <w:rPr>
          <w:rFonts w:ascii="Arial" w:hAnsi="Arial" w:cs="Arial"/>
          <w:sz w:val="16"/>
          <w:szCs w:val="16"/>
        </w:rPr>
      </w:pPr>
      <w:r w:rsidRPr="00A639C1">
        <w:rPr>
          <w:rFonts w:ascii="Arial" w:hAnsi="Arial" w:cs="Arial"/>
          <w:sz w:val="16"/>
          <w:szCs w:val="16"/>
        </w:rPr>
        <w:t>Depreciation rates (useful lives), residual values and methods are reviewed at each reporting date and necessary adjustments are recognised in the current, or current and future repo</w:t>
      </w:r>
      <w:r w:rsidR="00A25761" w:rsidRPr="00A639C1">
        <w:rPr>
          <w:rFonts w:ascii="Arial" w:hAnsi="Arial" w:cs="Arial"/>
          <w:sz w:val="16"/>
          <w:szCs w:val="16"/>
        </w:rPr>
        <w:t>rting periods, as appropriate.</w:t>
      </w:r>
    </w:p>
    <w:p w14:paraId="1527475C" w14:textId="77777777" w:rsidR="00AA7AAD"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 xml:space="preserve">Depreciation rates applying to each class of depreciable asset are based </w:t>
      </w:r>
      <w:r w:rsidR="00A25761" w:rsidRPr="00A639C1">
        <w:rPr>
          <w:rFonts w:ascii="Arial" w:hAnsi="Arial" w:cs="Arial"/>
          <w:sz w:val="16"/>
          <w:szCs w:val="16"/>
        </w:rPr>
        <w:t>on the following useful lives:</w:t>
      </w:r>
    </w:p>
    <w:tbl>
      <w:tblPr>
        <w:tblW w:w="9771" w:type="dxa"/>
        <w:tblInd w:w="108" w:type="dxa"/>
        <w:tblLook w:val="01E0" w:firstRow="1" w:lastRow="1" w:firstColumn="1" w:lastColumn="1" w:noHBand="0" w:noVBand="0"/>
      </w:tblPr>
      <w:tblGrid>
        <w:gridCol w:w="4153"/>
        <w:gridCol w:w="1896"/>
        <w:gridCol w:w="1861"/>
        <w:gridCol w:w="1861"/>
      </w:tblGrid>
      <w:tr w:rsidR="00453547" w:rsidRPr="00453547" w14:paraId="55106424" w14:textId="77777777" w:rsidTr="00453547">
        <w:trPr>
          <w:trHeight w:val="184"/>
        </w:trPr>
        <w:tc>
          <w:tcPr>
            <w:tcW w:w="4153" w:type="dxa"/>
          </w:tcPr>
          <w:p w14:paraId="1EE9541D" w14:textId="77777777" w:rsidR="00356941" w:rsidRPr="00453547" w:rsidRDefault="00356941" w:rsidP="00356941">
            <w:pPr>
              <w:jc w:val="both"/>
              <w:rPr>
                <w:rFonts w:ascii="Arial" w:hAnsi="Arial" w:cs="Arial"/>
                <w:sz w:val="16"/>
                <w:szCs w:val="16"/>
              </w:rPr>
            </w:pPr>
          </w:p>
        </w:tc>
        <w:tc>
          <w:tcPr>
            <w:tcW w:w="1896" w:type="dxa"/>
          </w:tcPr>
          <w:p w14:paraId="784C9F25" w14:textId="0A3270C8" w:rsidR="00356941" w:rsidRPr="008D58FC" w:rsidRDefault="00356941" w:rsidP="00356941">
            <w:pPr>
              <w:ind w:left="68"/>
              <w:jc w:val="right"/>
              <w:rPr>
                <w:rFonts w:ascii="Arial" w:hAnsi="Arial" w:cs="Arial"/>
                <w:b/>
                <w:sz w:val="16"/>
                <w:szCs w:val="16"/>
              </w:rPr>
            </w:pPr>
            <w:r w:rsidRPr="008D58FC">
              <w:rPr>
                <w:rFonts w:ascii="Arial" w:hAnsi="Arial" w:cs="Arial"/>
                <w:b/>
                <w:sz w:val="16"/>
                <w:szCs w:val="16"/>
              </w:rPr>
              <w:t>2015</w:t>
            </w:r>
          </w:p>
        </w:tc>
        <w:tc>
          <w:tcPr>
            <w:tcW w:w="1861" w:type="dxa"/>
          </w:tcPr>
          <w:p w14:paraId="3E3174CE" w14:textId="16CF9D9C" w:rsidR="00356941" w:rsidRPr="00453547" w:rsidRDefault="00026769" w:rsidP="00356941">
            <w:pPr>
              <w:ind w:left="33"/>
              <w:jc w:val="right"/>
              <w:rPr>
                <w:rFonts w:ascii="Arial" w:hAnsi="Arial" w:cs="Arial"/>
                <w:sz w:val="16"/>
                <w:szCs w:val="16"/>
              </w:rPr>
            </w:pPr>
            <w:r w:rsidRPr="00453547">
              <w:rPr>
                <w:rFonts w:ascii="Arial" w:hAnsi="Arial" w:cs="Arial"/>
                <w:sz w:val="16"/>
                <w:szCs w:val="16"/>
              </w:rPr>
              <w:t xml:space="preserve">   </w:t>
            </w:r>
            <w:r w:rsidR="00356941" w:rsidRPr="00453547">
              <w:rPr>
                <w:rFonts w:ascii="Arial" w:hAnsi="Arial" w:cs="Arial"/>
                <w:sz w:val="16"/>
                <w:szCs w:val="16"/>
              </w:rPr>
              <w:t>2014</w:t>
            </w:r>
          </w:p>
        </w:tc>
        <w:tc>
          <w:tcPr>
            <w:tcW w:w="1861" w:type="dxa"/>
          </w:tcPr>
          <w:p w14:paraId="2E823AA4" w14:textId="17CA126C" w:rsidR="00356941" w:rsidRPr="00453547" w:rsidRDefault="00356941" w:rsidP="00356941">
            <w:pPr>
              <w:ind w:left="33"/>
              <w:jc w:val="right"/>
              <w:rPr>
                <w:rFonts w:ascii="Arial" w:hAnsi="Arial" w:cs="Arial"/>
                <w:sz w:val="16"/>
                <w:szCs w:val="16"/>
              </w:rPr>
            </w:pPr>
          </w:p>
        </w:tc>
      </w:tr>
      <w:tr w:rsidR="00453547" w:rsidRPr="00453547" w14:paraId="7441079B" w14:textId="77777777" w:rsidTr="00453547">
        <w:trPr>
          <w:trHeight w:val="318"/>
        </w:trPr>
        <w:tc>
          <w:tcPr>
            <w:tcW w:w="4153" w:type="dxa"/>
          </w:tcPr>
          <w:p w14:paraId="70DEAC9D" w14:textId="77777777" w:rsidR="00356941" w:rsidRPr="00453547" w:rsidRDefault="00356941" w:rsidP="00356941">
            <w:pPr>
              <w:spacing w:after="120"/>
              <w:jc w:val="both"/>
              <w:rPr>
                <w:rFonts w:ascii="Arial" w:hAnsi="Arial" w:cs="Arial"/>
                <w:sz w:val="16"/>
                <w:szCs w:val="16"/>
              </w:rPr>
            </w:pPr>
            <w:r w:rsidRPr="00453547">
              <w:rPr>
                <w:rFonts w:ascii="Arial" w:hAnsi="Arial" w:cs="Arial"/>
                <w:sz w:val="16"/>
                <w:szCs w:val="16"/>
              </w:rPr>
              <w:t>Land and Buildings</w:t>
            </w:r>
          </w:p>
        </w:tc>
        <w:tc>
          <w:tcPr>
            <w:tcW w:w="1896" w:type="dxa"/>
          </w:tcPr>
          <w:p w14:paraId="299106B0" w14:textId="77777777" w:rsidR="00356941" w:rsidRPr="004D2E72" w:rsidRDefault="00356941" w:rsidP="00356941">
            <w:pPr>
              <w:jc w:val="right"/>
              <w:rPr>
                <w:rFonts w:ascii="Arial" w:hAnsi="Arial" w:cs="Arial"/>
                <w:b/>
                <w:sz w:val="16"/>
                <w:szCs w:val="16"/>
              </w:rPr>
            </w:pPr>
          </w:p>
        </w:tc>
        <w:tc>
          <w:tcPr>
            <w:tcW w:w="1861" w:type="dxa"/>
          </w:tcPr>
          <w:p w14:paraId="5763F1F6" w14:textId="77777777" w:rsidR="00356941" w:rsidRPr="00453547" w:rsidRDefault="00356941" w:rsidP="00356941">
            <w:pPr>
              <w:jc w:val="right"/>
              <w:rPr>
                <w:rFonts w:ascii="Arial" w:hAnsi="Arial" w:cs="Arial"/>
                <w:sz w:val="16"/>
                <w:szCs w:val="16"/>
              </w:rPr>
            </w:pPr>
          </w:p>
        </w:tc>
        <w:tc>
          <w:tcPr>
            <w:tcW w:w="1861" w:type="dxa"/>
          </w:tcPr>
          <w:p w14:paraId="3BBA46F5" w14:textId="0A5AC5D3" w:rsidR="00356941" w:rsidRPr="00453547" w:rsidRDefault="00356941" w:rsidP="00356941">
            <w:pPr>
              <w:jc w:val="right"/>
              <w:rPr>
                <w:rFonts w:ascii="Arial" w:hAnsi="Arial" w:cs="Arial"/>
                <w:sz w:val="16"/>
                <w:szCs w:val="16"/>
              </w:rPr>
            </w:pPr>
          </w:p>
        </w:tc>
      </w:tr>
      <w:tr w:rsidR="00453547" w:rsidRPr="00453547" w14:paraId="2CB8FCFA" w14:textId="77777777" w:rsidTr="00453547">
        <w:trPr>
          <w:trHeight w:val="379"/>
        </w:trPr>
        <w:tc>
          <w:tcPr>
            <w:tcW w:w="4153" w:type="dxa"/>
          </w:tcPr>
          <w:p w14:paraId="7DCDC702" w14:textId="77777777" w:rsidR="00356941" w:rsidRPr="00453547" w:rsidRDefault="00356941" w:rsidP="00356941">
            <w:pPr>
              <w:numPr>
                <w:ilvl w:val="0"/>
                <w:numId w:val="12"/>
              </w:numPr>
              <w:jc w:val="both"/>
              <w:rPr>
                <w:rFonts w:ascii="Arial" w:hAnsi="Arial" w:cs="Arial"/>
                <w:sz w:val="16"/>
                <w:szCs w:val="16"/>
              </w:rPr>
            </w:pPr>
            <w:r w:rsidRPr="00453547">
              <w:rPr>
                <w:rFonts w:ascii="Arial" w:hAnsi="Arial" w:cs="Arial"/>
                <w:sz w:val="16"/>
                <w:szCs w:val="16"/>
              </w:rPr>
              <w:t>Leasehold improvements</w:t>
            </w:r>
          </w:p>
        </w:tc>
        <w:tc>
          <w:tcPr>
            <w:tcW w:w="1896" w:type="dxa"/>
          </w:tcPr>
          <w:p w14:paraId="5A5881C0" w14:textId="77777777" w:rsidR="00356941" w:rsidRPr="004D2E72" w:rsidRDefault="00356941" w:rsidP="00356941">
            <w:pPr>
              <w:jc w:val="right"/>
              <w:rPr>
                <w:rFonts w:ascii="Arial" w:hAnsi="Arial" w:cs="Arial"/>
                <w:b/>
                <w:sz w:val="16"/>
                <w:szCs w:val="16"/>
              </w:rPr>
            </w:pPr>
            <w:r w:rsidRPr="004D2E72">
              <w:rPr>
                <w:rFonts w:ascii="Arial" w:hAnsi="Arial" w:cs="Arial"/>
                <w:b/>
                <w:sz w:val="16"/>
                <w:szCs w:val="16"/>
              </w:rPr>
              <w:t>Lower of 10 years or</w:t>
            </w:r>
            <w:r w:rsidRPr="004D2E72">
              <w:rPr>
                <w:rFonts w:ascii="Arial" w:hAnsi="Arial" w:cs="Arial"/>
                <w:b/>
                <w:sz w:val="16"/>
                <w:szCs w:val="16"/>
              </w:rPr>
              <w:br/>
              <w:t>lease term</w:t>
            </w:r>
          </w:p>
        </w:tc>
        <w:tc>
          <w:tcPr>
            <w:tcW w:w="1861" w:type="dxa"/>
          </w:tcPr>
          <w:p w14:paraId="17062523" w14:textId="35DE1D73" w:rsidR="00356941" w:rsidRPr="00453547" w:rsidRDefault="00026769" w:rsidP="00356941">
            <w:pPr>
              <w:jc w:val="right"/>
              <w:rPr>
                <w:rFonts w:ascii="Arial" w:hAnsi="Arial" w:cs="Arial"/>
                <w:sz w:val="16"/>
                <w:szCs w:val="16"/>
              </w:rPr>
            </w:pPr>
            <w:r w:rsidRPr="00453547">
              <w:rPr>
                <w:rFonts w:ascii="Arial" w:hAnsi="Arial" w:cs="Arial"/>
                <w:sz w:val="16"/>
                <w:szCs w:val="16"/>
              </w:rPr>
              <w:t xml:space="preserve"> </w:t>
            </w:r>
            <w:r w:rsidR="00356941" w:rsidRPr="00453547">
              <w:rPr>
                <w:rFonts w:ascii="Arial" w:hAnsi="Arial" w:cs="Arial"/>
                <w:sz w:val="16"/>
                <w:szCs w:val="16"/>
              </w:rPr>
              <w:t>Lower of 10 years or</w:t>
            </w:r>
            <w:r w:rsidR="00356941" w:rsidRPr="00453547">
              <w:rPr>
                <w:rFonts w:ascii="Arial" w:hAnsi="Arial" w:cs="Arial"/>
                <w:sz w:val="16"/>
                <w:szCs w:val="16"/>
              </w:rPr>
              <w:br/>
              <w:t>lease term</w:t>
            </w:r>
          </w:p>
        </w:tc>
        <w:tc>
          <w:tcPr>
            <w:tcW w:w="1861" w:type="dxa"/>
          </w:tcPr>
          <w:p w14:paraId="10767D7E" w14:textId="3046610E" w:rsidR="00356941" w:rsidRPr="00453547" w:rsidRDefault="00356941" w:rsidP="00356941">
            <w:pPr>
              <w:jc w:val="right"/>
              <w:rPr>
                <w:rFonts w:ascii="Arial" w:hAnsi="Arial" w:cs="Arial"/>
                <w:sz w:val="16"/>
                <w:szCs w:val="16"/>
              </w:rPr>
            </w:pPr>
          </w:p>
        </w:tc>
      </w:tr>
      <w:tr w:rsidR="00453547" w:rsidRPr="00453547" w14:paraId="08F953AE" w14:textId="77777777" w:rsidTr="00453547">
        <w:trPr>
          <w:trHeight w:val="307"/>
        </w:trPr>
        <w:tc>
          <w:tcPr>
            <w:tcW w:w="4153" w:type="dxa"/>
          </w:tcPr>
          <w:p w14:paraId="4FCDD11F" w14:textId="77777777" w:rsidR="00356941" w:rsidRPr="00453547" w:rsidRDefault="00356941" w:rsidP="00356941">
            <w:pPr>
              <w:keepNext/>
              <w:spacing w:after="120"/>
              <w:jc w:val="both"/>
              <w:rPr>
                <w:rFonts w:ascii="Arial" w:hAnsi="Arial" w:cs="Arial"/>
                <w:sz w:val="16"/>
                <w:szCs w:val="16"/>
              </w:rPr>
            </w:pPr>
            <w:r w:rsidRPr="00453547">
              <w:rPr>
                <w:rFonts w:ascii="Arial" w:hAnsi="Arial" w:cs="Arial"/>
                <w:sz w:val="16"/>
                <w:szCs w:val="16"/>
              </w:rPr>
              <w:t>Property, Plant and Equipment</w:t>
            </w:r>
          </w:p>
        </w:tc>
        <w:tc>
          <w:tcPr>
            <w:tcW w:w="1896" w:type="dxa"/>
          </w:tcPr>
          <w:p w14:paraId="25DC64FC" w14:textId="77777777" w:rsidR="00356941" w:rsidRPr="004D2E72" w:rsidRDefault="00356941" w:rsidP="00356941">
            <w:pPr>
              <w:jc w:val="right"/>
              <w:rPr>
                <w:rFonts w:ascii="Arial" w:hAnsi="Arial" w:cs="Arial"/>
                <w:b/>
                <w:sz w:val="16"/>
                <w:szCs w:val="16"/>
              </w:rPr>
            </w:pPr>
          </w:p>
        </w:tc>
        <w:tc>
          <w:tcPr>
            <w:tcW w:w="1861" w:type="dxa"/>
          </w:tcPr>
          <w:p w14:paraId="564996B3" w14:textId="77777777" w:rsidR="00356941" w:rsidRPr="00453547" w:rsidRDefault="00356941" w:rsidP="00356941">
            <w:pPr>
              <w:jc w:val="right"/>
              <w:rPr>
                <w:rFonts w:ascii="Arial" w:hAnsi="Arial" w:cs="Arial"/>
                <w:sz w:val="16"/>
                <w:szCs w:val="16"/>
              </w:rPr>
            </w:pPr>
          </w:p>
        </w:tc>
        <w:tc>
          <w:tcPr>
            <w:tcW w:w="1861" w:type="dxa"/>
          </w:tcPr>
          <w:p w14:paraId="131ADF68" w14:textId="61CB7B64" w:rsidR="00356941" w:rsidRPr="00453547" w:rsidRDefault="00356941" w:rsidP="00356941">
            <w:pPr>
              <w:jc w:val="right"/>
              <w:rPr>
                <w:rFonts w:ascii="Arial" w:hAnsi="Arial" w:cs="Arial"/>
                <w:sz w:val="16"/>
                <w:szCs w:val="16"/>
              </w:rPr>
            </w:pPr>
          </w:p>
        </w:tc>
      </w:tr>
      <w:tr w:rsidR="00453547" w:rsidRPr="00453547" w14:paraId="2AFD681D" w14:textId="77777777" w:rsidTr="00453547">
        <w:trPr>
          <w:trHeight w:val="194"/>
        </w:trPr>
        <w:tc>
          <w:tcPr>
            <w:tcW w:w="4153" w:type="dxa"/>
          </w:tcPr>
          <w:p w14:paraId="600BE4D8" w14:textId="77777777" w:rsidR="00356941" w:rsidRPr="00453547" w:rsidRDefault="00356941" w:rsidP="00356941">
            <w:pPr>
              <w:numPr>
                <w:ilvl w:val="0"/>
                <w:numId w:val="12"/>
              </w:numPr>
              <w:jc w:val="both"/>
              <w:rPr>
                <w:rFonts w:ascii="Arial" w:hAnsi="Arial" w:cs="Arial"/>
                <w:sz w:val="16"/>
                <w:szCs w:val="16"/>
              </w:rPr>
            </w:pPr>
            <w:r w:rsidRPr="00453547">
              <w:rPr>
                <w:rFonts w:ascii="Arial" w:hAnsi="Arial" w:cs="Arial"/>
                <w:sz w:val="16"/>
                <w:szCs w:val="16"/>
              </w:rPr>
              <w:t>Computer equipment</w:t>
            </w:r>
          </w:p>
        </w:tc>
        <w:tc>
          <w:tcPr>
            <w:tcW w:w="1896" w:type="dxa"/>
          </w:tcPr>
          <w:p w14:paraId="435719DF" w14:textId="77777777" w:rsidR="00356941" w:rsidRPr="004D2E72" w:rsidRDefault="00356941" w:rsidP="00356941">
            <w:pPr>
              <w:jc w:val="right"/>
              <w:rPr>
                <w:rFonts w:ascii="Arial" w:hAnsi="Arial" w:cs="Arial"/>
                <w:b/>
                <w:sz w:val="16"/>
                <w:szCs w:val="16"/>
              </w:rPr>
            </w:pPr>
            <w:r w:rsidRPr="004D2E72">
              <w:rPr>
                <w:rFonts w:ascii="Arial" w:hAnsi="Arial" w:cs="Arial"/>
                <w:b/>
                <w:sz w:val="16"/>
                <w:szCs w:val="16"/>
              </w:rPr>
              <w:t>3 to 5 years</w:t>
            </w:r>
          </w:p>
        </w:tc>
        <w:tc>
          <w:tcPr>
            <w:tcW w:w="1861" w:type="dxa"/>
          </w:tcPr>
          <w:p w14:paraId="5B50A50D" w14:textId="26FE7C13" w:rsidR="00356941" w:rsidRPr="00453547" w:rsidRDefault="00356941" w:rsidP="00356941">
            <w:pPr>
              <w:jc w:val="right"/>
              <w:rPr>
                <w:rFonts w:ascii="Arial" w:hAnsi="Arial" w:cs="Arial"/>
                <w:sz w:val="16"/>
                <w:szCs w:val="16"/>
              </w:rPr>
            </w:pPr>
            <w:r w:rsidRPr="00453547">
              <w:rPr>
                <w:rFonts w:ascii="Arial" w:hAnsi="Arial" w:cs="Arial"/>
                <w:sz w:val="16"/>
                <w:szCs w:val="16"/>
              </w:rPr>
              <w:t>3 to 5 years</w:t>
            </w:r>
          </w:p>
        </w:tc>
        <w:tc>
          <w:tcPr>
            <w:tcW w:w="1861" w:type="dxa"/>
          </w:tcPr>
          <w:p w14:paraId="7F884CF6" w14:textId="60273607" w:rsidR="00356941" w:rsidRPr="00453547" w:rsidRDefault="00356941" w:rsidP="00356941">
            <w:pPr>
              <w:jc w:val="right"/>
              <w:rPr>
                <w:rFonts w:ascii="Arial" w:hAnsi="Arial" w:cs="Arial"/>
                <w:sz w:val="16"/>
                <w:szCs w:val="16"/>
              </w:rPr>
            </w:pPr>
          </w:p>
        </w:tc>
      </w:tr>
      <w:tr w:rsidR="00453547" w:rsidRPr="00453547" w14:paraId="5EA2E852" w14:textId="77777777" w:rsidTr="00453547">
        <w:trPr>
          <w:trHeight w:val="205"/>
        </w:trPr>
        <w:tc>
          <w:tcPr>
            <w:tcW w:w="4153" w:type="dxa"/>
          </w:tcPr>
          <w:p w14:paraId="568FE5FE" w14:textId="77777777" w:rsidR="00356941" w:rsidRPr="00453547" w:rsidRDefault="00356941" w:rsidP="00356941">
            <w:pPr>
              <w:numPr>
                <w:ilvl w:val="0"/>
                <w:numId w:val="12"/>
              </w:numPr>
              <w:jc w:val="both"/>
              <w:rPr>
                <w:rFonts w:ascii="Arial" w:hAnsi="Arial" w:cs="Arial"/>
                <w:sz w:val="16"/>
                <w:szCs w:val="16"/>
              </w:rPr>
            </w:pPr>
            <w:r w:rsidRPr="00453547">
              <w:rPr>
                <w:rFonts w:ascii="Arial" w:hAnsi="Arial" w:cs="Arial"/>
                <w:sz w:val="16"/>
                <w:szCs w:val="16"/>
              </w:rPr>
              <w:t>Plant, office equipment, furniture &amp; fittings</w:t>
            </w:r>
          </w:p>
        </w:tc>
        <w:tc>
          <w:tcPr>
            <w:tcW w:w="1896" w:type="dxa"/>
          </w:tcPr>
          <w:p w14:paraId="697729B9" w14:textId="77777777" w:rsidR="00356941" w:rsidRPr="004D2E72" w:rsidRDefault="00356941" w:rsidP="00356941">
            <w:pPr>
              <w:jc w:val="right"/>
              <w:rPr>
                <w:rFonts w:ascii="Arial" w:hAnsi="Arial" w:cs="Arial"/>
                <w:b/>
                <w:sz w:val="16"/>
                <w:szCs w:val="16"/>
              </w:rPr>
            </w:pPr>
            <w:r w:rsidRPr="004D2E72">
              <w:rPr>
                <w:rFonts w:ascii="Arial" w:hAnsi="Arial" w:cs="Arial"/>
                <w:b/>
                <w:sz w:val="16"/>
                <w:szCs w:val="16"/>
              </w:rPr>
              <w:t>5 to 10 years</w:t>
            </w:r>
          </w:p>
        </w:tc>
        <w:tc>
          <w:tcPr>
            <w:tcW w:w="1861" w:type="dxa"/>
          </w:tcPr>
          <w:p w14:paraId="78D33025" w14:textId="0BEAAC9D" w:rsidR="00356941" w:rsidRPr="00453547" w:rsidRDefault="00356941" w:rsidP="00356941">
            <w:pPr>
              <w:jc w:val="right"/>
              <w:rPr>
                <w:rFonts w:ascii="Arial" w:hAnsi="Arial" w:cs="Arial"/>
                <w:sz w:val="16"/>
                <w:szCs w:val="16"/>
              </w:rPr>
            </w:pPr>
            <w:r w:rsidRPr="00453547">
              <w:rPr>
                <w:rFonts w:ascii="Arial" w:hAnsi="Arial" w:cs="Arial"/>
                <w:sz w:val="16"/>
                <w:szCs w:val="16"/>
              </w:rPr>
              <w:t>5 to 10 years</w:t>
            </w:r>
          </w:p>
        </w:tc>
        <w:tc>
          <w:tcPr>
            <w:tcW w:w="1861" w:type="dxa"/>
          </w:tcPr>
          <w:p w14:paraId="1B887FFE" w14:textId="3FD8BCE3" w:rsidR="00356941" w:rsidRPr="00453547" w:rsidRDefault="00356941" w:rsidP="00356941">
            <w:pPr>
              <w:jc w:val="right"/>
              <w:rPr>
                <w:rFonts w:ascii="Arial" w:hAnsi="Arial" w:cs="Arial"/>
                <w:sz w:val="16"/>
                <w:szCs w:val="16"/>
              </w:rPr>
            </w:pPr>
          </w:p>
        </w:tc>
      </w:tr>
    </w:tbl>
    <w:p w14:paraId="2AB782B5" w14:textId="77777777" w:rsidR="009C4D3B" w:rsidRPr="00453547" w:rsidRDefault="004037C2" w:rsidP="00D94D68">
      <w:pPr>
        <w:spacing w:before="160" w:after="160"/>
        <w:jc w:val="both"/>
        <w:rPr>
          <w:rFonts w:ascii="Arial" w:hAnsi="Arial" w:cs="Arial"/>
          <w:i/>
          <w:sz w:val="16"/>
          <w:szCs w:val="16"/>
        </w:rPr>
      </w:pPr>
      <w:r w:rsidRPr="00453547">
        <w:rPr>
          <w:rFonts w:ascii="Arial" w:hAnsi="Arial" w:cs="Arial"/>
          <w:i/>
          <w:sz w:val="16"/>
          <w:szCs w:val="16"/>
        </w:rPr>
        <w:lastRenderedPageBreak/>
        <w:t>Impairment</w:t>
      </w:r>
    </w:p>
    <w:p w14:paraId="5D1E2954"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All assets were assessed f</w:t>
      </w:r>
      <w:r w:rsidR="00CF6BE1" w:rsidRPr="00A639C1">
        <w:rPr>
          <w:rFonts w:ascii="Arial" w:hAnsi="Arial" w:cs="Arial"/>
          <w:sz w:val="16"/>
          <w:szCs w:val="16"/>
        </w:rPr>
        <w:t xml:space="preserve">or impairment at </w:t>
      </w:r>
      <w:r w:rsidR="00381285">
        <w:rPr>
          <w:rFonts w:ascii="Arial" w:hAnsi="Arial" w:cs="Arial"/>
          <w:sz w:val="16"/>
          <w:szCs w:val="16"/>
        </w:rPr>
        <w:t>30 June 2015</w:t>
      </w:r>
      <w:r w:rsidR="0023364A" w:rsidRPr="00A639C1">
        <w:rPr>
          <w:rFonts w:ascii="Arial" w:hAnsi="Arial" w:cs="Arial"/>
          <w:sz w:val="16"/>
          <w:szCs w:val="16"/>
        </w:rPr>
        <w:t xml:space="preserve">. </w:t>
      </w:r>
      <w:r w:rsidRPr="00A639C1">
        <w:rPr>
          <w:rFonts w:ascii="Arial" w:hAnsi="Arial" w:cs="Arial"/>
          <w:sz w:val="16"/>
          <w:szCs w:val="16"/>
        </w:rPr>
        <w:t>Where indications of impairment exist</w:t>
      </w:r>
      <w:r w:rsidR="007606CE" w:rsidRPr="00A639C1">
        <w:rPr>
          <w:rFonts w:ascii="Arial" w:hAnsi="Arial" w:cs="Arial"/>
          <w:sz w:val="16"/>
          <w:szCs w:val="16"/>
        </w:rPr>
        <w:t>ed</w:t>
      </w:r>
      <w:r w:rsidRPr="00A639C1">
        <w:rPr>
          <w:rFonts w:ascii="Arial" w:hAnsi="Arial" w:cs="Arial"/>
          <w:sz w:val="16"/>
          <w:szCs w:val="16"/>
        </w:rPr>
        <w:t>, t</w:t>
      </w:r>
      <w:r w:rsidR="00C339B4" w:rsidRPr="00A639C1">
        <w:rPr>
          <w:rFonts w:ascii="Arial" w:hAnsi="Arial" w:cs="Arial"/>
          <w:sz w:val="16"/>
          <w:szCs w:val="16"/>
        </w:rPr>
        <w:t>he asset’s recoverable amount was</w:t>
      </w:r>
      <w:r w:rsidRPr="00A639C1">
        <w:rPr>
          <w:rFonts w:ascii="Arial" w:hAnsi="Arial" w:cs="Arial"/>
          <w:sz w:val="16"/>
          <w:szCs w:val="16"/>
        </w:rPr>
        <w:t xml:space="preserve"> estimated and an impairment adjustment made if t</w:t>
      </w:r>
      <w:r w:rsidR="00BF4939" w:rsidRPr="00A639C1">
        <w:rPr>
          <w:rFonts w:ascii="Arial" w:hAnsi="Arial" w:cs="Arial"/>
          <w:sz w:val="16"/>
          <w:szCs w:val="16"/>
        </w:rPr>
        <w:t>he asset’s recoverable amount was</w:t>
      </w:r>
      <w:r w:rsidRPr="00A639C1">
        <w:rPr>
          <w:rFonts w:ascii="Arial" w:hAnsi="Arial" w:cs="Arial"/>
          <w:sz w:val="16"/>
          <w:szCs w:val="16"/>
        </w:rPr>
        <w:t xml:space="preserve"> less t</w:t>
      </w:r>
      <w:r w:rsidR="00A25761" w:rsidRPr="00A639C1">
        <w:rPr>
          <w:rFonts w:ascii="Arial" w:hAnsi="Arial" w:cs="Arial"/>
          <w:sz w:val="16"/>
          <w:szCs w:val="16"/>
        </w:rPr>
        <w:t>han its carrying amount.</w:t>
      </w:r>
    </w:p>
    <w:p w14:paraId="6924519B" w14:textId="77777777" w:rsidR="009C4D3B" w:rsidRDefault="004F190E" w:rsidP="00A25761">
      <w:pPr>
        <w:spacing w:before="160" w:after="160"/>
        <w:jc w:val="both"/>
        <w:rPr>
          <w:rFonts w:ascii="Arial" w:hAnsi="Arial" w:cs="Arial"/>
          <w:sz w:val="16"/>
          <w:szCs w:val="16"/>
        </w:rPr>
      </w:pPr>
      <w:r w:rsidRPr="00A639C1">
        <w:rPr>
          <w:rFonts w:ascii="Arial" w:hAnsi="Arial" w:cs="Arial"/>
          <w:sz w:val="16"/>
          <w:szCs w:val="16"/>
        </w:rPr>
        <w:t>The recoverable amount of an asset is the higher of its fair value less costs to sell and its value in use. Value in use is the present value of the future cash flows expected</w:t>
      </w:r>
      <w:r w:rsidR="0023364A" w:rsidRPr="00A639C1">
        <w:rPr>
          <w:rFonts w:ascii="Arial" w:hAnsi="Arial" w:cs="Arial"/>
          <w:sz w:val="16"/>
          <w:szCs w:val="16"/>
        </w:rPr>
        <w:t xml:space="preserve"> to be derived from the asset. </w:t>
      </w:r>
      <w:r w:rsidRPr="00A639C1">
        <w:rPr>
          <w:rFonts w:ascii="Arial" w:hAnsi="Arial" w:cs="Arial"/>
          <w:sz w:val="16"/>
          <w:szCs w:val="16"/>
        </w:rPr>
        <w:t xml:space="preserve">Where the future economic benefit of an asset is not primarily dependent on the asset’s ability to generate future cash flows, and the asset would be replaced if </w:t>
      </w:r>
      <w:r w:rsidR="009C4D3B" w:rsidRPr="00A639C1">
        <w:rPr>
          <w:rFonts w:ascii="Arial" w:hAnsi="Arial" w:cs="Arial"/>
          <w:sz w:val="16"/>
          <w:szCs w:val="16"/>
        </w:rPr>
        <w:t>the Department</w:t>
      </w:r>
      <w:r w:rsidRPr="00A639C1">
        <w:rPr>
          <w:rFonts w:ascii="Arial" w:hAnsi="Arial" w:cs="Arial"/>
          <w:sz w:val="16"/>
          <w:szCs w:val="16"/>
        </w:rPr>
        <w:t xml:space="preserve"> were deprived of the asset, its value in use is taken to be its</w:t>
      </w:r>
      <w:r w:rsidR="00A25761" w:rsidRPr="00A639C1">
        <w:rPr>
          <w:rFonts w:ascii="Arial" w:hAnsi="Arial" w:cs="Arial"/>
          <w:sz w:val="16"/>
          <w:szCs w:val="16"/>
        </w:rPr>
        <w:t xml:space="preserve"> depreciated replacement cost.</w:t>
      </w:r>
    </w:p>
    <w:p w14:paraId="315B9C33" w14:textId="77777777" w:rsidR="007A2FFF" w:rsidRPr="00A639C1" w:rsidRDefault="004037C2" w:rsidP="00A25761">
      <w:pPr>
        <w:spacing w:before="160" w:after="160"/>
        <w:jc w:val="both"/>
        <w:rPr>
          <w:rFonts w:ascii="Arial" w:hAnsi="Arial" w:cs="Arial"/>
          <w:i/>
          <w:sz w:val="16"/>
          <w:szCs w:val="16"/>
        </w:rPr>
      </w:pPr>
      <w:proofErr w:type="spellStart"/>
      <w:r w:rsidRPr="00A639C1">
        <w:rPr>
          <w:rFonts w:ascii="Arial" w:hAnsi="Arial" w:cs="Arial"/>
          <w:i/>
          <w:sz w:val="16"/>
          <w:szCs w:val="16"/>
        </w:rPr>
        <w:t>Derecognition</w:t>
      </w:r>
      <w:proofErr w:type="spellEnd"/>
    </w:p>
    <w:p w14:paraId="228411CB" w14:textId="77777777" w:rsidR="007A2FFF" w:rsidRPr="00A639C1" w:rsidRDefault="007A2FFF" w:rsidP="00A25761">
      <w:pPr>
        <w:spacing w:before="160" w:after="160"/>
        <w:jc w:val="both"/>
        <w:rPr>
          <w:rFonts w:ascii="Arial" w:hAnsi="Arial" w:cs="Arial"/>
          <w:sz w:val="16"/>
          <w:szCs w:val="16"/>
        </w:rPr>
      </w:pPr>
      <w:r w:rsidRPr="00A639C1">
        <w:rPr>
          <w:rFonts w:ascii="Arial" w:hAnsi="Arial" w:cs="Arial"/>
          <w:sz w:val="16"/>
          <w:szCs w:val="16"/>
        </w:rPr>
        <w:t>An item of property, plant and equipment is derecognised upon disposal or when no further future economic benefits are expected from its use or disposal.</w:t>
      </w:r>
    </w:p>
    <w:p w14:paraId="3FAB543D" w14:textId="77777777" w:rsidR="00EA1445" w:rsidRPr="00A639C1" w:rsidRDefault="00A25761">
      <w:pPr>
        <w:keepNext/>
        <w:keepLines/>
        <w:numPr>
          <w:ilvl w:val="1"/>
          <w:numId w:val="1"/>
        </w:numPr>
        <w:tabs>
          <w:tab w:val="num" w:pos="0"/>
        </w:tabs>
        <w:spacing w:before="200" w:after="200"/>
        <w:ind w:left="482" w:hanging="482"/>
        <w:rPr>
          <w:rFonts w:ascii="Arial" w:hAnsi="Arial" w:cs="Arial"/>
          <w:b/>
          <w:sz w:val="16"/>
          <w:szCs w:val="16"/>
        </w:rPr>
      </w:pPr>
      <w:r w:rsidRPr="00A639C1">
        <w:rPr>
          <w:rFonts w:ascii="Arial" w:hAnsi="Arial" w:cs="Arial"/>
          <w:b/>
          <w:sz w:val="16"/>
          <w:szCs w:val="16"/>
        </w:rPr>
        <w:t>Intangibles</w:t>
      </w:r>
    </w:p>
    <w:p w14:paraId="2ACB8A8B" w14:textId="77777777" w:rsidR="00EA1445" w:rsidRPr="00A639C1" w:rsidRDefault="009C4D3B">
      <w:pPr>
        <w:keepNext/>
        <w:keepLines/>
        <w:spacing w:before="160" w:after="160"/>
        <w:jc w:val="both"/>
        <w:rPr>
          <w:rFonts w:ascii="Arial" w:hAnsi="Arial" w:cs="Arial"/>
          <w:sz w:val="16"/>
          <w:szCs w:val="16"/>
        </w:rPr>
      </w:pPr>
      <w:r w:rsidRPr="00A639C1">
        <w:rPr>
          <w:rFonts w:ascii="Arial" w:hAnsi="Arial" w:cs="Arial"/>
          <w:sz w:val="16"/>
          <w:szCs w:val="16"/>
        </w:rPr>
        <w:t>The Department</w:t>
      </w:r>
      <w:r w:rsidR="00167593" w:rsidRPr="00A639C1">
        <w:rPr>
          <w:rFonts w:ascii="Arial" w:hAnsi="Arial" w:cs="Arial"/>
          <w:sz w:val="16"/>
          <w:szCs w:val="16"/>
        </w:rPr>
        <w:t>’s intangibles comprise</w:t>
      </w:r>
      <w:r w:rsidR="000120F9" w:rsidRPr="00A639C1">
        <w:rPr>
          <w:rFonts w:ascii="Arial" w:hAnsi="Arial" w:cs="Arial"/>
          <w:sz w:val="16"/>
          <w:szCs w:val="16"/>
        </w:rPr>
        <w:t xml:space="preserve"> software externally purchased and </w:t>
      </w:r>
      <w:r w:rsidR="004F190E" w:rsidRPr="00A639C1">
        <w:rPr>
          <w:rFonts w:ascii="Arial" w:hAnsi="Arial" w:cs="Arial"/>
          <w:sz w:val="16"/>
          <w:szCs w:val="16"/>
        </w:rPr>
        <w:t>internally de</w:t>
      </w:r>
      <w:r w:rsidR="000120F9" w:rsidRPr="00A639C1">
        <w:rPr>
          <w:rFonts w:ascii="Arial" w:hAnsi="Arial" w:cs="Arial"/>
          <w:sz w:val="16"/>
          <w:szCs w:val="16"/>
        </w:rPr>
        <w:t xml:space="preserve">veloped </w:t>
      </w:r>
      <w:r w:rsidR="00BF4939" w:rsidRPr="00A639C1">
        <w:rPr>
          <w:rFonts w:ascii="Arial" w:hAnsi="Arial" w:cs="Arial"/>
          <w:sz w:val="16"/>
          <w:szCs w:val="16"/>
        </w:rPr>
        <w:t>software</w:t>
      </w:r>
      <w:r w:rsidR="000120F9" w:rsidRPr="00A639C1">
        <w:rPr>
          <w:rFonts w:ascii="Arial" w:hAnsi="Arial" w:cs="Arial"/>
          <w:sz w:val="16"/>
          <w:szCs w:val="16"/>
        </w:rPr>
        <w:t>.</w:t>
      </w:r>
      <w:r w:rsidR="009B1B30" w:rsidRPr="00A639C1">
        <w:rPr>
          <w:rFonts w:ascii="Arial" w:hAnsi="Arial" w:cs="Arial"/>
          <w:sz w:val="16"/>
          <w:szCs w:val="16"/>
        </w:rPr>
        <w:t xml:space="preserve"> </w:t>
      </w:r>
      <w:r w:rsidR="004F190E" w:rsidRPr="00A639C1">
        <w:rPr>
          <w:rFonts w:ascii="Arial" w:hAnsi="Arial" w:cs="Arial"/>
          <w:sz w:val="16"/>
          <w:szCs w:val="16"/>
        </w:rPr>
        <w:t xml:space="preserve">These assets are carried at cost less accumulated amortisation and </w:t>
      </w:r>
      <w:r w:rsidR="00F0370C" w:rsidRPr="00A639C1">
        <w:rPr>
          <w:rFonts w:ascii="Arial" w:hAnsi="Arial" w:cs="Arial"/>
          <w:sz w:val="16"/>
          <w:szCs w:val="16"/>
        </w:rPr>
        <w:t>accumulated impairment losses. S</w:t>
      </w:r>
      <w:r w:rsidR="004F190E" w:rsidRPr="00A639C1">
        <w:rPr>
          <w:rFonts w:ascii="Arial" w:hAnsi="Arial" w:cs="Arial"/>
          <w:sz w:val="16"/>
          <w:szCs w:val="16"/>
        </w:rPr>
        <w:t>oftware is amortised on a straight-line basis over its anti</w:t>
      </w:r>
      <w:r w:rsidR="0023364A" w:rsidRPr="00A639C1">
        <w:rPr>
          <w:rFonts w:ascii="Arial" w:hAnsi="Arial" w:cs="Arial"/>
          <w:sz w:val="16"/>
          <w:szCs w:val="16"/>
        </w:rPr>
        <w:t>cipated useful life.</w:t>
      </w:r>
    </w:p>
    <w:p w14:paraId="5D8EBCED" w14:textId="77777777" w:rsidR="00AE0EE2" w:rsidRPr="00A639C1" w:rsidRDefault="004F190E" w:rsidP="00A43A29">
      <w:pPr>
        <w:keepNext/>
        <w:keepLines/>
        <w:spacing w:before="160" w:after="160"/>
        <w:jc w:val="both"/>
        <w:rPr>
          <w:rFonts w:ascii="Arial" w:hAnsi="Arial" w:cs="Arial"/>
          <w:sz w:val="16"/>
          <w:szCs w:val="16"/>
        </w:rPr>
      </w:pPr>
      <w:r w:rsidRPr="00A639C1">
        <w:rPr>
          <w:rFonts w:ascii="Arial" w:hAnsi="Arial" w:cs="Arial"/>
          <w:sz w:val="16"/>
          <w:szCs w:val="16"/>
        </w:rPr>
        <w:t xml:space="preserve">The useful lives of </w:t>
      </w:r>
      <w:r w:rsidR="009C4D3B" w:rsidRPr="00A639C1">
        <w:rPr>
          <w:rFonts w:ascii="Arial" w:hAnsi="Arial" w:cs="Arial"/>
          <w:sz w:val="16"/>
          <w:szCs w:val="16"/>
        </w:rPr>
        <w:t>the Department</w:t>
      </w:r>
      <w:r w:rsidRPr="00A639C1">
        <w:rPr>
          <w:rFonts w:ascii="Arial" w:hAnsi="Arial" w:cs="Arial"/>
          <w:sz w:val="16"/>
          <w:szCs w:val="16"/>
        </w:rPr>
        <w:t>’s software are</w:t>
      </w:r>
      <w:r w:rsidR="009C4D3B" w:rsidRPr="00A639C1">
        <w:rPr>
          <w:rFonts w:ascii="Arial" w:hAnsi="Arial" w:cs="Arial"/>
          <w:sz w:val="16"/>
          <w:szCs w:val="16"/>
        </w:rPr>
        <w:t>:</w:t>
      </w:r>
    </w:p>
    <w:tbl>
      <w:tblPr>
        <w:tblW w:w="9303" w:type="dxa"/>
        <w:tblInd w:w="108" w:type="dxa"/>
        <w:tblLook w:val="01E0" w:firstRow="1" w:lastRow="1" w:firstColumn="1" w:lastColumn="1" w:noHBand="0" w:noVBand="0"/>
      </w:tblPr>
      <w:tblGrid>
        <w:gridCol w:w="5245"/>
        <w:gridCol w:w="1382"/>
        <w:gridCol w:w="1338"/>
        <w:gridCol w:w="1338"/>
      </w:tblGrid>
      <w:tr w:rsidR="00412E50" w:rsidRPr="00A639C1" w14:paraId="08C51A58" w14:textId="77777777" w:rsidTr="00412E50">
        <w:tc>
          <w:tcPr>
            <w:tcW w:w="5245" w:type="dxa"/>
          </w:tcPr>
          <w:p w14:paraId="47F2C669" w14:textId="77777777" w:rsidR="00412E50" w:rsidRPr="00A639C1" w:rsidRDefault="00412E50" w:rsidP="00412E50">
            <w:pPr>
              <w:keepNext/>
              <w:keepLines/>
              <w:jc w:val="both"/>
              <w:rPr>
                <w:rFonts w:ascii="Arial" w:hAnsi="Arial" w:cs="Arial"/>
                <w:sz w:val="16"/>
                <w:szCs w:val="16"/>
              </w:rPr>
            </w:pPr>
          </w:p>
        </w:tc>
        <w:tc>
          <w:tcPr>
            <w:tcW w:w="1382" w:type="dxa"/>
          </w:tcPr>
          <w:p w14:paraId="47B27CB7" w14:textId="04AE8E7F" w:rsidR="00412E50" w:rsidRPr="004D2E72" w:rsidRDefault="00412E50" w:rsidP="00412E50">
            <w:pPr>
              <w:keepNext/>
              <w:keepLines/>
              <w:spacing w:after="120"/>
              <w:jc w:val="right"/>
              <w:rPr>
                <w:rFonts w:ascii="Arial" w:hAnsi="Arial" w:cs="Arial"/>
                <w:b/>
                <w:sz w:val="16"/>
                <w:szCs w:val="16"/>
              </w:rPr>
            </w:pPr>
            <w:r w:rsidRPr="004D2E72">
              <w:rPr>
                <w:rFonts w:ascii="Arial" w:hAnsi="Arial" w:cs="Arial"/>
                <w:b/>
                <w:sz w:val="16"/>
                <w:szCs w:val="16"/>
              </w:rPr>
              <w:t>2015</w:t>
            </w:r>
          </w:p>
        </w:tc>
        <w:tc>
          <w:tcPr>
            <w:tcW w:w="1338" w:type="dxa"/>
          </w:tcPr>
          <w:p w14:paraId="685B1521" w14:textId="7684AFB7" w:rsidR="00412E50" w:rsidRPr="00BD29BA" w:rsidRDefault="00412E50" w:rsidP="00412E50">
            <w:pPr>
              <w:keepNext/>
              <w:keepLines/>
              <w:spacing w:after="120"/>
              <w:jc w:val="right"/>
              <w:rPr>
                <w:rFonts w:ascii="Arial" w:hAnsi="Arial" w:cs="Arial"/>
                <w:sz w:val="16"/>
                <w:szCs w:val="16"/>
              </w:rPr>
            </w:pPr>
            <w:r w:rsidRPr="00BD29BA">
              <w:rPr>
                <w:rFonts w:ascii="Arial" w:hAnsi="Arial" w:cs="Arial"/>
                <w:sz w:val="16"/>
                <w:szCs w:val="16"/>
              </w:rPr>
              <w:t>2014</w:t>
            </w:r>
          </w:p>
        </w:tc>
        <w:tc>
          <w:tcPr>
            <w:tcW w:w="1338" w:type="dxa"/>
          </w:tcPr>
          <w:p w14:paraId="256758C4" w14:textId="219EE8F0" w:rsidR="00412E50" w:rsidRPr="00A639C1" w:rsidRDefault="00412E50" w:rsidP="00412E50">
            <w:pPr>
              <w:keepNext/>
              <w:keepLines/>
              <w:spacing w:after="120"/>
              <w:jc w:val="right"/>
              <w:rPr>
                <w:rFonts w:ascii="Arial" w:hAnsi="Arial" w:cs="Arial"/>
                <w:sz w:val="16"/>
                <w:szCs w:val="16"/>
              </w:rPr>
            </w:pPr>
          </w:p>
        </w:tc>
      </w:tr>
      <w:tr w:rsidR="00412E50" w:rsidRPr="00A639C1" w14:paraId="768DDCDF" w14:textId="77777777" w:rsidTr="00412E50">
        <w:tc>
          <w:tcPr>
            <w:tcW w:w="5245" w:type="dxa"/>
          </w:tcPr>
          <w:p w14:paraId="0C904BDB" w14:textId="77777777" w:rsidR="00412E50" w:rsidRPr="00A639C1" w:rsidRDefault="00412E50" w:rsidP="00412E50">
            <w:pPr>
              <w:numPr>
                <w:ilvl w:val="0"/>
                <w:numId w:val="12"/>
              </w:numPr>
              <w:jc w:val="both"/>
              <w:rPr>
                <w:rFonts w:ascii="Arial" w:hAnsi="Arial" w:cs="Arial"/>
                <w:sz w:val="16"/>
                <w:szCs w:val="16"/>
              </w:rPr>
            </w:pPr>
            <w:r w:rsidRPr="00A639C1">
              <w:rPr>
                <w:rFonts w:ascii="Arial" w:hAnsi="Arial" w:cs="Arial"/>
                <w:sz w:val="16"/>
                <w:szCs w:val="16"/>
              </w:rPr>
              <w:t>Externally purchased software</w:t>
            </w:r>
          </w:p>
        </w:tc>
        <w:tc>
          <w:tcPr>
            <w:tcW w:w="1382" w:type="dxa"/>
          </w:tcPr>
          <w:p w14:paraId="16BAD8A4" w14:textId="77777777" w:rsidR="00412E50" w:rsidRPr="004D2E72" w:rsidRDefault="00412E50" w:rsidP="00412E50">
            <w:pPr>
              <w:jc w:val="right"/>
              <w:rPr>
                <w:rFonts w:ascii="Arial" w:hAnsi="Arial" w:cs="Arial"/>
                <w:b/>
                <w:sz w:val="16"/>
                <w:szCs w:val="16"/>
              </w:rPr>
            </w:pPr>
            <w:r w:rsidRPr="004D2E72">
              <w:rPr>
                <w:rFonts w:ascii="Arial" w:hAnsi="Arial" w:cs="Arial"/>
                <w:b/>
                <w:sz w:val="16"/>
                <w:szCs w:val="16"/>
              </w:rPr>
              <w:t>3 to 5 years</w:t>
            </w:r>
          </w:p>
        </w:tc>
        <w:tc>
          <w:tcPr>
            <w:tcW w:w="1338" w:type="dxa"/>
          </w:tcPr>
          <w:p w14:paraId="6FC0DC0E" w14:textId="1486AF41" w:rsidR="00412E50" w:rsidRPr="00BD29BA" w:rsidRDefault="00412E50" w:rsidP="00412E50">
            <w:pPr>
              <w:jc w:val="right"/>
              <w:rPr>
                <w:rFonts w:ascii="Arial" w:hAnsi="Arial" w:cs="Arial"/>
                <w:sz w:val="16"/>
                <w:szCs w:val="16"/>
              </w:rPr>
            </w:pPr>
            <w:r w:rsidRPr="00BD29BA">
              <w:rPr>
                <w:rFonts w:ascii="Arial" w:hAnsi="Arial" w:cs="Arial"/>
                <w:sz w:val="16"/>
                <w:szCs w:val="16"/>
              </w:rPr>
              <w:t>3 to 5 years</w:t>
            </w:r>
          </w:p>
        </w:tc>
        <w:tc>
          <w:tcPr>
            <w:tcW w:w="1338" w:type="dxa"/>
          </w:tcPr>
          <w:p w14:paraId="1915DB61" w14:textId="094679F2" w:rsidR="00412E50" w:rsidRPr="00A639C1" w:rsidRDefault="00412E50" w:rsidP="00412E50">
            <w:pPr>
              <w:jc w:val="right"/>
              <w:rPr>
                <w:rFonts w:ascii="Arial" w:hAnsi="Arial" w:cs="Arial"/>
                <w:sz w:val="16"/>
                <w:szCs w:val="16"/>
              </w:rPr>
            </w:pPr>
          </w:p>
        </w:tc>
      </w:tr>
      <w:tr w:rsidR="00412E50" w:rsidRPr="00A639C1" w14:paraId="4D95517E" w14:textId="77777777" w:rsidTr="00412E50">
        <w:tc>
          <w:tcPr>
            <w:tcW w:w="5245" w:type="dxa"/>
          </w:tcPr>
          <w:p w14:paraId="3B5F3F8A" w14:textId="77777777" w:rsidR="00412E50" w:rsidRPr="00A639C1" w:rsidRDefault="00412E50" w:rsidP="00412E50">
            <w:pPr>
              <w:numPr>
                <w:ilvl w:val="0"/>
                <w:numId w:val="12"/>
              </w:numPr>
              <w:jc w:val="both"/>
              <w:rPr>
                <w:rFonts w:ascii="Arial" w:hAnsi="Arial" w:cs="Arial"/>
                <w:sz w:val="16"/>
                <w:szCs w:val="16"/>
              </w:rPr>
            </w:pPr>
            <w:r w:rsidRPr="00A639C1">
              <w:rPr>
                <w:rFonts w:ascii="Arial" w:hAnsi="Arial" w:cs="Arial"/>
                <w:sz w:val="16"/>
                <w:szCs w:val="16"/>
              </w:rPr>
              <w:t>Internally developed software</w:t>
            </w:r>
          </w:p>
        </w:tc>
        <w:tc>
          <w:tcPr>
            <w:tcW w:w="1382" w:type="dxa"/>
          </w:tcPr>
          <w:p w14:paraId="50155398" w14:textId="77777777" w:rsidR="00412E50" w:rsidRPr="004D2E72" w:rsidRDefault="00412E50" w:rsidP="00412E50">
            <w:pPr>
              <w:jc w:val="right"/>
              <w:rPr>
                <w:rFonts w:ascii="Arial" w:hAnsi="Arial" w:cs="Arial"/>
                <w:b/>
                <w:sz w:val="16"/>
                <w:szCs w:val="16"/>
              </w:rPr>
            </w:pPr>
            <w:r w:rsidRPr="004D2E72">
              <w:rPr>
                <w:rFonts w:ascii="Arial" w:hAnsi="Arial" w:cs="Arial"/>
                <w:b/>
                <w:sz w:val="16"/>
                <w:szCs w:val="16"/>
              </w:rPr>
              <w:t>3 to 5 years</w:t>
            </w:r>
          </w:p>
        </w:tc>
        <w:tc>
          <w:tcPr>
            <w:tcW w:w="1338" w:type="dxa"/>
          </w:tcPr>
          <w:p w14:paraId="6D79CF39" w14:textId="6396C78B" w:rsidR="00412E50" w:rsidRPr="00BD29BA" w:rsidRDefault="00412E50" w:rsidP="00412E50">
            <w:pPr>
              <w:jc w:val="right"/>
              <w:rPr>
                <w:rFonts w:ascii="Arial" w:hAnsi="Arial" w:cs="Arial"/>
                <w:sz w:val="16"/>
                <w:szCs w:val="16"/>
              </w:rPr>
            </w:pPr>
            <w:r w:rsidRPr="00BD29BA">
              <w:rPr>
                <w:rFonts w:ascii="Arial" w:hAnsi="Arial" w:cs="Arial"/>
                <w:sz w:val="16"/>
                <w:szCs w:val="16"/>
              </w:rPr>
              <w:t>3 to 5 years</w:t>
            </w:r>
          </w:p>
        </w:tc>
        <w:tc>
          <w:tcPr>
            <w:tcW w:w="1338" w:type="dxa"/>
          </w:tcPr>
          <w:p w14:paraId="5D34CC7A" w14:textId="54C6E631" w:rsidR="00412E50" w:rsidRPr="00A639C1" w:rsidRDefault="00412E50" w:rsidP="00412E50">
            <w:pPr>
              <w:jc w:val="right"/>
              <w:rPr>
                <w:rFonts w:ascii="Arial" w:hAnsi="Arial" w:cs="Arial"/>
                <w:sz w:val="16"/>
                <w:szCs w:val="16"/>
              </w:rPr>
            </w:pPr>
          </w:p>
        </w:tc>
      </w:tr>
    </w:tbl>
    <w:p w14:paraId="74641B33" w14:textId="77777777" w:rsidR="004F190E" w:rsidRPr="00A639C1" w:rsidRDefault="004F190E" w:rsidP="00A25761">
      <w:pPr>
        <w:spacing w:before="160" w:after="160"/>
        <w:jc w:val="both"/>
        <w:rPr>
          <w:rFonts w:ascii="Arial" w:hAnsi="Arial" w:cs="Arial"/>
          <w:sz w:val="16"/>
          <w:szCs w:val="16"/>
        </w:rPr>
      </w:pPr>
      <w:r w:rsidRPr="00A639C1">
        <w:rPr>
          <w:rFonts w:ascii="Arial" w:hAnsi="Arial" w:cs="Arial"/>
          <w:sz w:val="16"/>
          <w:szCs w:val="16"/>
        </w:rPr>
        <w:t xml:space="preserve">All software assets were assessed for indications of </w:t>
      </w:r>
      <w:r w:rsidR="00A25761" w:rsidRPr="00A639C1">
        <w:rPr>
          <w:rFonts w:ascii="Arial" w:hAnsi="Arial" w:cs="Arial"/>
          <w:sz w:val="16"/>
          <w:szCs w:val="16"/>
        </w:rPr>
        <w:t>impa</w:t>
      </w:r>
      <w:r w:rsidR="0023364A" w:rsidRPr="00A639C1">
        <w:rPr>
          <w:rFonts w:ascii="Arial" w:hAnsi="Arial" w:cs="Arial"/>
          <w:sz w:val="16"/>
          <w:szCs w:val="16"/>
        </w:rPr>
        <w:t xml:space="preserve">irment as at </w:t>
      </w:r>
      <w:r w:rsidR="00381285">
        <w:rPr>
          <w:rFonts w:ascii="Arial" w:hAnsi="Arial" w:cs="Arial"/>
          <w:sz w:val="16"/>
          <w:szCs w:val="16"/>
        </w:rPr>
        <w:t>30 June 2015</w:t>
      </w:r>
      <w:r w:rsidR="00A25761" w:rsidRPr="00A639C1">
        <w:rPr>
          <w:rFonts w:ascii="Arial" w:hAnsi="Arial" w:cs="Arial"/>
          <w:sz w:val="16"/>
          <w:szCs w:val="16"/>
        </w:rPr>
        <w:t xml:space="preserve">. </w:t>
      </w:r>
    </w:p>
    <w:p w14:paraId="3F7457DB" w14:textId="77777777" w:rsidR="004F190E" w:rsidRPr="00A639C1" w:rsidRDefault="004F190E" w:rsidP="00A25761">
      <w:pPr>
        <w:numPr>
          <w:ilvl w:val="1"/>
          <w:numId w:val="1"/>
        </w:numPr>
        <w:tabs>
          <w:tab w:val="num" w:pos="0"/>
        </w:tabs>
        <w:spacing w:before="200" w:after="200"/>
        <w:ind w:left="482" w:hanging="482"/>
        <w:rPr>
          <w:rFonts w:ascii="Arial" w:hAnsi="Arial" w:cs="Arial"/>
          <w:b/>
          <w:sz w:val="16"/>
          <w:szCs w:val="16"/>
        </w:rPr>
      </w:pPr>
      <w:r w:rsidRPr="00A639C1">
        <w:rPr>
          <w:rFonts w:ascii="Arial" w:hAnsi="Arial" w:cs="Arial"/>
          <w:b/>
          <w:sz w:val="16"/>
          <w:szCs w:val="16"/>
        </w:rPr>
        <w:t xml:space="preserve">Taxation </w:t>
      </w:r>
    </w:p>
    <w:p w14:paraId="6D5B4ECA" w14:textId="77777777" w:rsidR="004F190E" w:rsidRPr="00A639C1" w:rsidRDefault="00D1056D" w:rsidP="00A25761">
      <w:pPr>
        <w:spacing w:before="160" w:after="160"/>
        <w:jc w:val="both"/>
        <w:rPr>
          <w:rFonts w:ascii="Arial" w:hAnsi="Arial" w:cs="Arial"/>
          <w:sz w:val="16"/>
          <w:szCs w:val="16"/>
        </w:rPr>
      </w:pPr>
      <w:r w:rsidRPr="00A639C1">
        <w:rPr>
          <w:rFonts w:ascii="Arial" w:hAnsi="Arial" w:cs="Arial"/>
          <w:sz w:val="16"/>
          <w:szCs w:val="16"/>
        </w:rPr>
        <w:t>The Department</w:t>
      </w:r>
      <w:r w:rsidR="004F190E" w:rsidRPr="00A639C1">
        <w:rPr>
          <w:rFonts w:ascii="Arial" w:hAnsi="Arial" w:cs="Arial"/>
          <w:sz w:val="16"/>
          <w:szCs w:val="16"/>
        </w:rPr>
        <w:t xml:space="preserve"> is exempt fro</w:t>
      </w:r>
      <w:r w:rsidR="00AE0EE2" w:rsidRPr="00A639C1">
        <w:rPr>
          <w:rFonts w:ascii="Arial" w:hAnsi="Arial" w:cs="Arial"/>
          <w:sz w:val="16"/>
          <w:szCs w:val="16"/>
        </w:rPr>
        <w:t>m all forms of taxation except Fringe Benefits T</w:t>
      </w:r>
      <w:r w:rsidR="004F190E" w:rsidRPr="00A639C1">
        <w:rPr>
          <w:rFonts w:ascii="Arial" w:hAnsi="Arial" w:cs="Arial"/>
          <w:sz w:val="16"/>
          <w:szCs w:val="16"/>
        </w:rPr>
        <w:t xml:space="preserve">ax (FBT) and the </w:t>
      </w:r>
      <w:r w:rsidR="00AE0EE2" w:rsidRPr="00A639C1">
        <w:rPr>
          <w:rFonts w:ascii="Arial" w:hAnsi="Arial" w:cs="Arial"/>
          <w:sz w:val="16"/>
          <w:szCs w:val="16"/>
        </w:rPr>
        <w:t>G</w:t>
      </w:r>
      <w:r w:rsidR="004F190E" w:rsidRPr="00A639C1">
        <w:rPr>
          <w:rFonts w:ascii="Arial" w:hAnsi="Arial" w:cs="Arial"/>
          <w:sz w:val="16"/>
          <w:szCs w:val="16"/>
        </w:rPr>
        <w:t xml:space="preserve">oods and </w:t>
      </w:r>
      <w:r w:rsidR="00AE0EE2" w:rsidRPr="00A639C1">
        <w:rPr>
          <w:rFonts w:ascii="Arial" w:hAnsi="Arial" w:cs="Arial"/>
          <w:sz w:val="16"/>
          <w:szCs w:val="16"/>
        </w:rPr>
        <w:t>S</w:t>
      </w:r>
      <w:r w:rsidR="004F190E" w:rsidRPr="00A639C1">
        <w:rPr>
          <w:rFonts w:ascii="Arial" w:hAnsi="Arial" w:cs="Arial"/>
          <w:sz w:val="16"/>
          <w:szCs w:val="16"/>
        </w:rPr>
        <w:t xml:space="preserve">ervices </w:t>
      </w:r>
      <w:r w:rsidR="00AE0EE2" w:rsidRPr="00A639C1">
        <w:rPr>
          <w:rFonts w:ascii="Arial" w:hAnsi="Arial" w:cs="Arial"/>
          <w:sz w:val="16"/>
          <w:szCs w:val="16"/>
        </w:rPr>
        <w:t>T</w:t>
      </w:r>
      <w:r w:rsidR="004F190E" w:rsidRPr="00A639C1">
        <w:rPr>
          <w:rFonts w:ascii="Arial" w:hAnsi="Arial" w:cs="Arial"/>
          <w:sz w:val="16"/>
          <w:szCs w:val="16"/>
        </w:rPr>
        <w:t>ax (GST).</w:t>
      </w:r>
    </w:p>
    <w:p w14:paraId="62EA7A3E" w14:textId="77777777" w:rsidR="004F190E" w:rsidRPr="00A639C1" w:rsidRDefault="004F190E" w:rsidP="00A25761">
      <w:pPr>
        <w:spacing w:before="160"/>
        <w:jc w:val="both"/>
        <w:rPr>
          <w:rFonts w:ascii="Arial" w:hAnsi="Arial" w:cs="Arial"/>
          <w:sz w:val="16"/>
          <w:szCs w:val="16"/>
        </w:rPr>
      </w:pPr>
      <w:r w:rsidRPr="00A639C1">
        <w:rPr>
          <w:rFonts w:ascii="Arial" w:hAnsi="Arial" w:cs="Arial"/>
          <w:sz w:val="16"/>
          <w:szCs w:val="16"/>
        </w:rPr>
        <w:t>Revenues, expenses and assets are recognised net of GST</w:t>
      </w:r>
      <w:r w:rsidR="00EF1CEB" w:rsidRPr="00A639C1">
        <w:rPr>
          <w:rFonts w:ascii="Arial" w:hAnsi="Arial" w:cs="Arial"/>
          <w:sz w:val="16"/>
          <w:szCs w:val="16"/>
        </w:rPr>
        <w:t xml:space="preserve"> exc</w:t>
      </w:r>
      <w:r w:rsidR="007429AC" w:rsidRPr="00A639C1">
        <w:rPr>
          <w:rFonts w:ascii="Arial" w:hAnsi="Arial" w:cs="Arial"/>
          <w:sz w:val="16"/>
          <w:szCs w:val="16"/>
        </w:rPr>
        <w:t>ep</w:t>
      </w:r>
      <w:r w:rsidR="00EF1CEB" w:rsidRPr="00A639C1">
        <w:rPr>
          <w:rFonts w:ascii="Arial" w:hAnsi="Arial" w:cs="Arial"/>
          <w:sz w:val="16"/>
          <w:szCs w:val="16"/>
        </w:rPr>
        <w:t>t</w:t>
      </w:r>
      <w:r w:rsidRPr="00A639C1">
        <w:rPr>
          <w:rFonts w:ascii="Arial" w:hAnsi="Arial" w:cs="Arial"/>
          <w:sz w:val="16"/>
          <w:szCs w:val="16"/>
        </w:rPr>
        <w:t>:</w:t>
      </w:r>
    </w:p>
    <w:p w14:paraId="586074DD" w14:textId="77777777" w:rsidR="00AE0EE2" w:rsidRPr="00A639C1" w:rsidRDefault="004F190E" w:rsidP="00A25761">
      <w:pPr>
        <w:numPr>
          <w:ilvl w:val="0"/>
          <w:numId w:val="14"/>
        </w:numPr>
        <w:ind w:left="357" w:hanging="357"/>
        <w:jc w:val="both"/>
        <w:rPr>
          <w:rFonts w:ascii="Arial" w:hAnsi="Arial" w:cs="Arial"/>
          <w:sz w:val="16"/>
          <w:szCs w:val="16"/>
        </w:rPr>
      </w:pPr>
      <w:r w:rsidRPr="00A639C1">
        <w:rPr>
          <w:rFonts w:ascii="Arial" w:hAnsi="Arial" w:cs="Arial"/>
          <w:sz w:val="16"/>
          <w:szCs w:val="16"/>
        </w:rPr>
        <w:t>where the amount of GST incurred is not recoverable from the Australian Taxation Office; and</w:t>
      </w:r>
    </w:p>
    <w:p w14:paraId="0770220C" w14:textId="77777777" w:rsidR="005663F7" w:rsidRPr="00A639C1" w:rsidRDefault="004F190E" w:rsidP="007A2FFF">
      <w:pPr>
        <w:numPr>
          <w:ilvl w:val="0"/>
          <w:numId w:val="14"/>
        </w:numPr>
        <w:spacing w:after="160"/>
        <w:ind w:left="357" w:hanging="357"/>
        <w:jc w:val="both"/>
        <w:rPr>
          <w:rFonts w:ascii="Arial" w:hAnsi="Arial" w:cs="Arial"/>
          <w:sz w:val="16"/>
          <w:szCs w:val="16"/>
        </w:rPr>
      </w:pPr>
      <w:proofErr w:type="gramStart"/>
      <w:r w:rsidRPr="00A639C1">
        <w:rPr>
          <w:rFonts w:ascii="Arial" w:hAnsi="Arial" w:cs="Arial"/>
          <w:sz w:val="16"/>
          <w:szCs w:val="16"/>
        </w:rPr>
        <w:t>for</w:t>
      </w:r>
      <w:proofErr w:type="gramEnd"/>
      <w:r w:rsidRPr="00A639C1">
        <w:rPr>
          <w:rFonts w:ascii="Arial" w:hAnsi="Arial" w:cs="Arial"/>
          <w:sz w:val="16"/>
          <w:szCs w:val="16"/>
        </w:rPr>
        <w:t xml:space="preserve"> receivables and payables.</w:t>
      </w:r>
    </w:p>
    <w:p w14:paraId="73D6DF14" w14:textId="77777777" w:rsidR="00291DFD" w:rsidRPr="00A639C1" w:rsidRDefault="00B84C2A"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b/>
          <w:sz w:val="16"/>
          <w:szCs w:val="16"/>
        </w:rPr>
        <w:t>1.</w:t>
      </w:r>
      <w:r w:rsidR="00F40FA1">
        <w:rPr>
          <w:rFonts w:ascii="Arial" w:hAnsi="Arial" w:cs="Arial"/>
          <w:b/>
          <w:sz w:val="16"/>
          <w:szCs w:val="16"/>
        </w:rPr>
        <w:t>20</w:t>
      </w:r>
      <w:r w:rsidR="004F23E1" w:rsidRPr="00A639C1">
        <w:rPr>
          <w:rFonts w:ascii="Arial" w:hAnsi="Arial" w:cs="Arial"/>
          <w:b/>
          <w:sz w:val="16"/>
          <w:szCs w:val="16"/>
        </w:rPr>
        <w:tab/>
      </w:r>
      <w:r w:rsidR="004F190E" w:rsidRPr="00A639C1">
        <w:rPr>
          <w:rFonts w:ascii="Arial" w:hAnsi="Arial" w:cs="Arial"/>
          <w:b/>
          <w:sz w:val="16"/>
          <w:szCs w:val="16"/>
        </w:rPr>
        <w:t>Report</w:t>
      </w:r>
      <w:r w:rsidR="00B63707" w:rsidRPr="00A639C1">
        <w:rPr>
          <w:rFonts w:ascii="Arial" w:hAnsi="Arial" w:cs="Arial"/>
          <w:b/>
          <w:sz w:val="16"/>
          <w:szCs w:val="16"/>
        </w:rPr>
        <w:t>ing of Administered Activities</w:t>
      </w:r>
      <w:r w:rsidR="00B63707" w:rsidRPr="00A639C1">
        <w:rPr>
          <w:rFonts w:ascii="Arial" w:hAnsi="Arial" w:cs="Arial"/>
          <w:sz w:val="16"/>
          <w:szCs w:val="16"/>
        </w:rPr>
        <w:tab/>
      </w:r>
    </w:p>
    <w:p w14:paraId="1538EF5D" w14:textId="77777777" w:rsidR="00291DFD" w:rsidRPr="00A639C1" w:rsidRDefault="004F190E"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Administered revenues, expenses, assets, liabilities and cash flows are disclosed in the </w:t>
      </w:r>
      <w:r w:rsidR="00AD1834" w:rsidRPr="00A639C1">
        <w:rPr>
          <w:rFonts w:ascii="Arial" w:hAnsi="Arial" w:cs="Arial"/>
          <w:sz w:val="16"/>
          <w:szCs w:val="16"/>
        </w:rPr>
        <w:t>administered schedules</w:t>
      </w:r>
      <w:r w:rsidRPr="00A639C1">
        <w:rPr>
          <w:rFonts w:ascii="Arial" w:hAnsi="Arial" w:cs="Arial"/>
          <w:sz w:val="16"/>
          <w:szCs w:val="16"/>
        </w:rPr>
        <w:t xml:space="preserve"> and related </w:t>
      </w:r>
      <w:r w:rsidR="00EF1CEB" w:rsidRPr="00A639C1">
        <w:rPr>
          <w:rFonts w:ascii="Arial" w:hAnsi="Arial" w:cs="Arial"/>
          <w:sz w:val="16"/>
          <w:szCs w:val="16"/>
        </w:rPr>
        <w:t>n</w:t>
      </w:r>
      <w:r w:rsidRPr="00A639C1">
        <w:rPr>
          <w:rFonts w:ascii="Arial" w:hAnsi="Arial" w:cs="Arial"/>
          <w:sz w:val="16"/>
          <w:szCs w:val="16"/>
        </w:rPr>
        <w:t>otes.</w:t>
      </w:r>
    </w:p>
    <w:p w14:paraId="4443883E" w14:textId="77777777" w:rsidR="00291DFD" w:rsidRPr="00A639C1" w:rsidRDefault="004F190E"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Except where otherwise stated below, </w:t>
      </w:r>
      <w:r w:rsidR="00EF1CEB" w:rsidRPr="00A639C1">
        <w:rPr>
          <w:rFonts w:ascii="Arial" w:hAnsi="Arial" w:cs="Arial"/>
          <w:sz w:val="16"/>
          <w:szCs w:val="16"/>
        </w:rPr>
        <w:t>a</w:t>
      </w:r>
      <w:r w:rsidR="00A51605" w:rsidRPr="00A639C1">
        <w:rPr>
          <w:rFonts w:ascii="Arial" w:hAnsi="Arial" w:cs="Arial"/>
          <w:sz w:val="16"/>
          <w:szCs w:val="16"/>
        </w:rPr>
        <w:t>dministered i</w:t>
      </w:r>
      <w:r w:rsidRPr="00A639C1">
        <w:rPr>
          <w:rFonts w:ascii="Arial" w:hAnsi="Arial" w:cs="Arial"/>
          <w:sz w:val="16"/>
          <w:szCs w:val="16"/>
        </w:rPr>
        <w:t xml:space="preserve">tems are accounted for on the same basis and using the same policies as for </w:t>
      </w:r>
      <w:r w:rsidR="00EF1CEB" w:rsidRPr="00A639C1">
        <w:rPr>
          <w:rFonts w:ascii="Arial" w:hAnsi="Arial" w:cs="Arial"/>
          <w:sz w:val="16"/>
          <w:szCs w:val="16"/>
        </w:rPr>
        <w:t>d</w:t>
      </w:r>
      <w:r w:rsidRPr="00A639C1">
        <w:rPr>
          <w:rFonts w:ascii="Arial" w:hAnsi="Arial" w:cs="Arial"/>
          <w:sz w:val="16"/>
          <w:szCs w:val="16"/>
        </w:rPr>
        <w:t>epartmental items, including the application of Au</w:t>
      </w:r>
      <w:r w:rsidR="00D94D68" w:rsidRPr="00A639C1">
        <w:rPr>
          <w:rFonts w:ascii="Arial" w:hAnsi="Arial" w:cs="Arial"/>
          <w:sz w:val="16"/>
          <w:szCs w:val="16"/>
        </w:rPr>
        <w:t>stralian Accounting Standards.</w:t>
      </w:r>
    </w:p>
    <w:p w14:paraId="6DCE9AF9" w14:textId="77777777" w:rsidR="00291DFD" w:rsidRPr="00A639C1" w:rsidRDefault="004037C2" w:rsidP="00291DFD">
      <w:pPr>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Administered Cash Transfers to and from the Official Public Account</w:t>
      </w:r>
    </w:p>
    <w:p w14:paraId="2A1C243D" w14:textId="77777777" w:rsidR="00291DFD" w:rsidRDefault="004F190E"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Revenue collected by </w:t>
      </w:r>
      <w:r w:rsidR="00AE0EE2" w:rsidRPr="00A639C1">
        <w:rPr>
          <w:rFonts w:ascii="Arial" w:hAnsi="Arial" w:cs="Arial"/>
          <w:sz w:val="16"/>
          <w:szCs w:val="16"/>
        </w:rPr>
        <w:t xml:space="preserve">the </w:t>
      </w:r>
      <w:r w:rsidR="00AD0BC0" w:rsidRPr="00A639C1">
        <w:rPr>
          <w:rFonts w:ascii="Arial" w:hAnsi="Arial" w:cs="Arial"/>
          <w:sz w:val="16"/>
          <w:szCs w:val="16"/>
        </w:rPr>
        <w:t>Department</w:t>
      </w:r>
      <w:r w:rsidRPr="00A639C1">
        <w:rPr>
          <w:rFonts w:ascii="Arial" w:hAnsi="Arial" w:cs="Arial"/>
          <w:sz w:val="16"/>
          <w:szCs w:val="16"/>
        </w:rPr>
        <w:t xml:space="preserve"> for use by the Government rather than the </w:t>
      </w:r>
      <w:r w:rsidR="00AE0EE2" w:rsidRPr="00A639C1">
        <w:rPr>
          <w:rFonts w:ascii="Arial" w:hAnsi="Arial" w:cs="Arial"/>
          <w:sz w:val="16"/>
          <w:szCs w:val="16"/>
        </w:rPr>
        <w:t>Department</w:t>
      </w:r>
      <w:r w:rsidR="0023364A" w:rsidRPr="00A639C1">
        <w:rPr>
          <w:rFonts w:ascii="Arial" w:hAnsi="Arial" w:cs="Arial"/>
          <w:sz w:val="16"/>
          <w:szCs w:val="16"/>
        </w:rPr>
        <w:t xml:space="preserve"> is </w:t>
      </w:r>
      <w:r w:rsidR="00EF1CEB" w:rsidRPr="00A639C1">
        <w:rPr>
          <w:rFonts w:ascii="Arial" w:hAnsi="Arial" w:cs="Arial"/>
          <w:sz w:val="16"/>
          <w:szCs w:val="16"/>
        </w:rPr>
        <w:t>a</w:t>
      </w:r>
      <w:r w:rsidR="0023364A" w:rsidRPr="00A639C1">
        <w:rPr>
          <w:rFonts w:ascii="Arial" w:hAnsi="Arial" w:cs="Arial"/>
          <w:sz w:val="16"/>
          <w:szCs w:val="16"/>
        </w:rPr>
        <w:t xml:space="preserve">dministered </w:t>
      </w:r>
      <w:r w:rsidR="00EF1CEB" w:rsidRPr="00A639C1">
        <w:rPr>
          <w:rFonts w:ascii="Arial" w:hAnsi="Arial" w:cs="Arial"/>
          <w:sz w:val="16"/>
          <w:szCs w:val="16"/>
        </w:rPr>
        <w:t>r</w:t>
      </w:r>
      <w:r w:rsidR="0023364A" w:rsidRPr="00A639C1">
        <w:rPr>
          <w:rFonts w:ascii="Arial" w:hAnsi="Arial" w:cs="Arial"/>
          <w:sz w:val="16"/>
          <w:szCs w:val="16"/>
        </w:rPr>
        <w:t xml:space="preserve">evenue. </w:t>
      </w:r>
      <w:r w:rsidRPr="00A639C1">
        <w:rPr>
          <w:rFonts w:ascii="Arial" w:hAnsi="Arial" w:cs="Arial"/>
          <w:sz w:val="16"/>
          <w:szCs w:val="16"/>
        </w:rPr>
        <w:t>Collections are transferred to the Official Public Account (OPA) maintained by the Departmen</w:t>
      </w:r>
      <w:r w:rsidR="0023364A" w:rsidRPr="00A639C1">
        <w:rPr>
          <w:rFonts w:ascii="Arial" w:hAnsi="Arial" w:cs="Arial"/>
          <w:sz w:val="16"/>
          <w:szCs w:val="16"/>
        </w:rPr>
        <w:t xml:space="preserve">t of Finance. </w:t>
      </w:r>
      <w:r w:rsidRPr="00A639C1">
        <w:rPr>
          <w:rFonts w:ascii="Arial" w:hAnsi="Arial" w:cs="Arial"/>
          <w:sz w:val="16"/>
          <w:szCs w:val="16"/>
        </w:rPr>
        <w:t xml:space="preserve">Conversely, cash is drawn from the OPA to make payments under Parliamentary </w:t>
      </w:r>
      <w:r w:rsidR="00EF1CEB" w:rsidRPr="00A639C1">
        <w:rPr>
          <w:rFonts w:ascii="Arial" w:hAnsi="Arial" w:cs="Arial"/>
          <w:sz w:val="16"/>
          <w:szCs w:val="16"/>
        </w:rPr>
        <w:t>a</w:t>
      </w:r>
      <w:r w:rsidRPr="00A639C1">
        <w:rPr>
          <w:rFonts w:ascii="Arial" w:hAnsi="Arial" w:cs="Arial"/>
          <w:sz w:val="16"/>
          <w:szCs w:val="16"/>
        </w:rPr>
        <w:t xml:space="preserve">ppropriation on behalf of </w:t>
      </w:r>
      <w:r w:rsidR="003D4291" w:rsidRPr="00A639C1">
        <w:rPr>
          <w:rFonts w:ascii="Arial" w:hAnsi="Arial" w:cs="Arial"/>
          <w:sz w:val="16"/>
          <w:szCs w:val="16"/>
        </w:rPr>
        <w:t xml:space="preserve">the </w:t>
      </w:r>
      <w:r w:rsidR="0023364A" w:rsidRPr="00A639C1">
        <w:rPr>
          <w:rFonts w:ascii="Arial" w:hAnsi="Arial" w:cs="Arial"/>
          <w:sz w:val="16"/>
          <w:szCs w:val="16"/>
        </w:rPr>
        <w:t xml:space="preserve">Government. </w:t>
      </w:r>
      <w:r w:rsidRPr="00A639C1">
        <w:rPr>
          <w:rFonts w:ascii="Arial" w:hAnsi="Arial" w:cs="Arial"/>
          <w:sz w:val="16"/>
          <w:szCs w:val="16"/>
        </w:rPr>
        <w:t>These transfers to and from t</w:t>
      </w:r>
      <w:r w:rsidR="003D4291" w:rsidRPr="00A639C1">
        <w:rPr>
          <w:rFonts w:ascii="Arial" w:hAnsi="Arial" w:cs="Arial"/>
          <w:sz w:val="16"/>
          <w:szCs w:val="16"/>
        </w:rPr>
        <w:t xml:space="preserve">he OPA are adjustments to the </w:t>
      </w:r>
      <w:r w:rsidR="00EF1CEB" w:rsidRPr="00A639C1">
        <w:rPr>
          <w:rFonts w:ascii="Arial" w:hAnsi="Arial" w:cs="Arial"/>
          <w:sz w:val="16"/>
          <w:szCs w:val="16"/>
        </w:rPr>
        <w:t>a</w:t>
      </w:r>
      <w:r w:rsidR="003D4291" w:rsidRPr="00A639C1">
        <w:rPr>
          <w:rFonts w:ascii="Arial" w:hAnsi="Arial" w:cs="Arial"/>
          <w:sz w:val="16"/>
          <w:szCs w:val="16"/>
        </w:rPr>
        <w:t>d</w:t>
      </w:r>
      <w:r w:rsidRPr="00A639C1">
        <w:rPr>
          <w:rFonts w:ascii="Arial" w:hAnsi="Arial" w:cs="Arial"/>
          <w:sz w:val="16"/>
          <w:szCs w:val="16"/>
        </w:rPr>
        <w:t xml:space="preserve">ministered cash held by the </w:t>
      </w:r>
      <w:r w:rsidR="00512762" w:rsidRPr="00A639C1">
        <w:rPr>
          <w:rFonts w:ascii="Arial" w:hAnsi="Arial" w:cs="Arial"/>
          <w:sz w:val="16"/>
          <w:szCs w:val="16"/>
        </w:rPr>
        <w:t xml:space="preserve">Department </w:t>
      </w:r>
      <w:r w:rsidRPr="00A639C1">
        <w:rPr>
          <w:rFonts w:ascii="Arial" w:hAnsi="Arial" w:cs="Arial"/>
          <w:sz w:val="16"/>
          <w:szCs w:val="16"/>
        </w:rPr>
        <w:t xml:space="preserve">on behalf of the Government and reported as such in the </w:t>
      </w:r>
      <w:r w:rsidR="00AD1834" w:rsidRPr="00A639C1">
        <w:rPr>
          <w:rFonts w:ascii="Arial" w:hAnsi="Arial" w:cs="Arial"/>
          <w:sz w:val="16"/>
          <w:szCs w:val="16"/>
        </w:rPr>
        <w:t>Schedule of Administered</w:t>
      </w:r>
      <w:r w:rsidRPr="00A639C1">
        <w:rPr>
          <w:rFonts w:ascii="Arial" w:hAnsi="Arial" w:cs="Arial"/>
          <w:sz w:val="16"/>
          <w:szCs w:val="16"/>
        </w:rPr>
        <w:t xml:space="preserve"> Cash Flows and in the Administered Reconciliation </w:t>
      </w:r>
      <w:r w:rsidR="00AD1834" w:rsidRPr="00A639C1">
        <w:rPr>
          <w:rFonts w:ascii="Arial" w:hAnsi="Arial" w:cs="Arial"/>
          <w:sz w:val="16"/>
          <w:szCs w:val="16"/>
        </w:rPr>
        <w:t>Schedule</w:t>
      </w:r>
      <w:r w:rsidR="0023364A" w:rsidRPr="00A639C1">
        <w:rPr>
          <w:rFonts w:ascii="Arial" w:hAnsi="Arial" w:cs="Arial"/>
          <w:sz w:val="16"/>
          <w:szCs w:val="16"/>
        </w:rPr>
        <w:t>.</w:t>
      </w:r>
    </w:p>
    <w:p w14:paraId="4D58C878" w14:textId="77777777" w:rsidR="00291DFD" w:rsidRPr="00A639C1" w:rsidRDefault="004037C2" w:rsidP="00291DFD">
      <w:pPr>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Revenue</w:t>
      </w:r>
    </w:p>
    <w:p w14:paraId="620F7A0F" w14:textId="77777777" w:rsidR="00291DFD" w:rsidRPr="00A639C1" w:rsidRDefault="003D4291"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All </w:t>
      </w:r>
      <w:r w:rsidR="00EF1CEB" w:rsidRPr="00A639C1">
        <w:rPr>
          <w:rFonts w:ascii="Arial" w:hAnsi="Arial" w:cs="Arial"/>
          <w:sz w:val="16"/>
          <w:szCs w:val="16"/>
        </w:rPr>
        <w:t>a</w:t>
      </w:r>
      <w:r w:rsidR="004F190E" w:rsidRPr="00A639C1">
        <w:rPr>
          <w:rFonts w:ascii="Arial" w:hAnsi="Arial" w:cs="Arial"/>
          <w:sz w:val="16"/>
          <w:szCs w:val="16"/>
        </w:rPr>
        <w:t xml:space="preserve">dministered revenues are revenues relating to the course of ordinary activities performed by the </w:t>
      </w:r>
      <w:r w:rsidR="00AE0EE2" w:rsidRPr="00A639C1">
        <w:rPr>
          <w:rFonts w:ascii="Arial" w:hAnsi="Arial" w:cs="Arial"/>
          <w:sz w:val="16"/>
          <w:szCs w:val="16"/>
        </w:rPr>
        <w:t>Department</w:t>
      </w:r>
      <w:r w:rsidR="004F190E" w:rsidRPr="00A639C1">
        <w:rPr>
          <w:rFonts w:ascii="Arial" w:hAnsi="Arial" w:cs="Arial"/>
          <w:sz w:val="16"/>
          <w:szCs w:val="16"/>
        </w:rPr>
        <w:t xml:space="preserve"> on behalf</w:t>
      </w:r>
      <w:r w:rsidR="00D94D68" w:rsidRPr="00A639C1">
        <w:rPr>
          <w:rFonts w:ascii="Arial" w:hAnsi="Arial" w:cs="Arial"/>
          <w:sz w:val="16"/>
          <w:szCs w:val="16"/>
        </w:rPr>
        <w:t xml:space="preserve"> of the </w:t>
      </w:r>
      <w:r w:rsidR="00A0408C" w:rsidRPr="00A639C1">
        <w:rPr>
          <w:rFonts w:ascii="Arial" w:hAnsi="Arial" w:cs="Arial"/>
          <w:sz w:val="16"/>
          <w:szCs w:val="16"/>
        </w:rPr>
        <w:t>Government</w:t>
      </w:r>
      <w:r w:rsidR="00D94D68" w:rsidRPr="00A639C1">
        <w:rPr>
          <w:rFonts w:ascii="Arial" w:hAnsi="Arial" w:cs="Arial"/>
          <w:sz w:val="16"/>
          <w:szCs w:val="16"/>
        </w:rPr>
        <w:t>.</w:t>
      </w:r>
      <w:r w:rsidR="00AD1834" w:rsidRPr="00A639C1">
        <w:rPr>
          <w:rFonts w:ascii="Arial" w:hAnsi="Arial" w:cs="Arial"/>
          <w:sz w:val="16"/>
          <w:szCs w:val="16"/>
        </w:rPr>
        <w:t xml:space="preserve"> As such, administered appropriations are not revenues of the individual entity that oversees distribution or expenditure of the funds as directed.</w:t>
      </w:r>
    </w:p>
    <w:p w14:paraId="06CA82D2" w14:textId="77777777" w:rsidR="00291DFD" w:rsidRPr="00A639C1" w:rsidRDefault="00A43A29"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Dividends are recognised when the right to receive payment is established.</w:t>
      </w:r>
    </w:p>
    <w:p w14:paraId="22095EF3" w14:textId="77777777" w:rsidR="00291DFD" w:rsidRPr="00A639C1" w:rsidRDefault="006F568B" w:rsidP="00291DFD">
      <w:pPr>
        <w:shd w:val="clear" w:color="auto" w:fill="BFBFBF" w:themeFill="background1" w:themeFillShade="BF"/>
        <w:spacing w:before="160" w:after="160"/>
        <w:jc w:val="both"/>
        <w:rPr>
          <w:rFonts w:ascii="Arial" w:hAnsi="Arial" w:cs="Arial"/>
          <w:i/>
          <w:sz w:val="16"/>
          <w:szCs w:val="16"/>
        </w:rPr>
      </w:pPr>
      <w:r>
        <w:rPr>
          <w:rFonts w:ascii="Arial" w:hAnsi="Arial" w:cs="Arial"/>
          <w:sz w:val="16"/>
          <w:szCs w:val="16"/>
        </w:rPr>
        <w:t>I</w:t>
      </w:r>
      <w:r w:rsidR="00A43A29" w:rsidRPr="00A639C1">
        <w:rPr>
          <w:rFonts w:ascii="Arial" w:hAnsi="Arial" w:cs="Arial"/>
          <w:sz w:val="16"/>
          <w:szCs w:val="16"/>
        </w:rPr>
        <w:t xml:space="preserve">nterest revenue is recognised using the effective interest method as set out in AASB 139 </w:t>
      </w:r>
      <w:r w:rsidR="00A43A29" w:rsidRPr="00A639C1">
        <w:rPr>
          <w:rFonts w:ascii="Arial" w:hAnsi="Arial" w:cs="Arial"/>
          <w:i/>
          <w:sz w:val="16"/>
          <w:szCs w:val="16"/>
        </w:rPr>
        <w:t>Financial Instruments: Recognition and Measurement.</w:t>
      </w:r>
    </w:p>
    <w:p w14:paraId="5C8C4DA4" w14:textId="77777777" w:rsidR="00F82B97" w:rsidRPr="00A639C1" w:rsidRDefault="00F82B97"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Rental Income is </w:t>
      </w:r>
      <w:r w:rsidR="003B50E9" w:rsidRPr="00A639C1">
        <w:rPr>
          <w:rFonts w:ascii="Arial" w:hAnsi="Arial" w:cs="Arial"/>
          <w:sz w:val="16"/>
          <w:szCs w:val="16"/>
        </w:rPr>
        <w:t xml:space="preserve">recognised </w:t>
      </w:r>
      <w:r w:rsidR="004A50E2" w:rsidRPr="00A639C1">
        <w:rPr>
          <w:rFonts w:ascii="Arial" w:hAnsi="Arial" w:cs="Arial"/>
          <w:sz w:val="16"/>
          <w:szCs w:val="16"/>
        </w:rPr>
        <w:t>over the term of the Indefeasible Rights of Use granted by the C</w:t>
      </w:r>
      <w:r w:rsidR="00FA70D0">
        <w:rPr>
          <w:rFonts w:ascii="Arial" w:hAnsi="Arial" w:cs="Arial"/>
          <w:sz w:val="16"/>
          <w:szCs w:val="16"/>
        </w:rPr>
        <w:t>ommonwealth to external parties for use of the Administered Property, Plant and Equipment.</w:t>
      </w:r>
    </w:p>
    <w:p w14:paraId="0D8B83B8" w14:textId="77777777" w:rsidR="00291DFD" w:rsidRPr="005803A9" w:rsidRDefault="004037C2" w:rsidP="00453547">
      <w:pPr>
        <w:keepNext/>
        <w:shd w:val="pct25" w:color="auto" w:fill="auto"/>
        <w:spacing w:before="160" w:after="160"/>
        <w:jc w:val="both"/>
        <w:rPr>
          <w:rFonts w:ascii="Arial" w:hAnsi="Arial" w:cs="Arial"/>
          <w:i/>
          <w:sz w:val="16"/>
          <w:szCs w:val="16"/>
        </w:rPr>
      </w:pPr>
      <w:r w:rsidRPr="005803A9">
        <w:rPr>
          <w:rFonts w:ascii="Arial" w:hAnsi="Arial" w:cs="Arial"/>
          <w:i/>
          <w:sz w:val="16"/>
          <w:szCs w:val="16"/>
        </w:rPr>
        <w:t>Administered Investments</w:t>
      </w:r>
      <w:bookmarkStart w:id="0" w:name="_GoBack"/>
      <w:bookmarkEnd w:id="0"/>
    </w:p>
    <w:p w14:paraId="3C48D5FA" w14:textId="77777777" w:rsidR="00392D03" w:rsidRDefault="004F190E" w:rsidP="00453547">
      <w:pPr>
        <w:shd w:val="pct25" w:color="auto" w:fill="auto"/>
        <w:spacing w:before="160" w:after="160"/>
        <w:jc w:val="both"/>
        <w:rPr>
          <w:rFonts w:ascii="Arial" w:hAnsi="Arial" w:cs="Arial"/>
          <w:sz w:val="16"/>
          <w:szCs w:val="16"/>
        </w:rPr>
      </w:pPr>
      <w:r w:rsidRPr="00A639C1">
        <w:rPr>
          <w:rFonts w:ascii="Arial" w:hAnsi="Arial" w:cs="Arial"/>
          <w:sz w:val="16"/>
          <w:szCs w:val="16"/>
        </w:rPr>
        <w:t xml:space="preserve">Administered investments in subsidiaries, joint ventures and associates are not consolidated because their consolidation is relevant only at the </w:t>
      </w:r>
      <w:r w:rsidR="008329AA" w:rsidRPr="00A639C1">
        <w:rPr>
          <w:rFonts w:ascii="Arial" w:hAnsi="Arial" w:cs="Arial"/>
          <w:sz w:val="16"/>
          <w:szCs w:val="16"/>
        </w:rPr>
        <w:t>W</w:t>
      </w:r>
      <w:r w:rsidR="0023364A" w:rsidRPr="00A639C1">
        <w:rPr>
          <w:rFonts w:ascii="Arial" w:hAnsi="Arial" w:cs="Arial"/>
          <w:sz w:val="16"/>
          <w:szCs w:val="16"/>
        </w:rPr>
        <w:t>hole</w:t>
      </w:r>
      <w:r w:rsidR="008329AA" w:rsidRPr="00A639C1">
        <w:rPr>
          <w:rFonts w:ascii="Arial" w:hAnsi="Arial" w:cs="Arial"/>
          <w:sz w:val="16"/>
          <w:szCs w:val="16"/>
        </w:rPr>
        <w:t xml:space="preserve"> </w:t>
      </w:r>
      <w:r w:rsidR="0023364A" w:rsidRPr="00A639C1">
        <w:rPr>
          <w:rFonts w:ascii="Arial" w:hAnsi="Arial" w:cs="Arial"/>
          <w:sz w:val="16"/>
          <w:szCs w:val="16"/>
        </w:rPr>
        <w:t>of</w:t>
      </w:r>
      <w:r w:rsidR="008329AA" w:rsidRPr="00A639C1">
        <w:rPr>
          <w:rFonts w:ascii="Arial" w:hAnsi="Arial" w:cs="Arial"/>
          <w:sz w:val="16"/>
          <w:szCs w:val="16"/>
        </w:rPr>
        <w:t xml:space="preserve"> G</w:t>
      </w:r>
      <w:r w:rsidRPr="00A639C1">
        <w:rPr>
          <w:rFonts w:ascii="Arial" w:hAnsi="Arial" w:cs="Arial"/>
          <w:sz w:val="16"/>
          <w:szCs w:val="16"/>
        </w:rPr>
        <w:t>overnment level.</w:t>
      </w:r>
      <w:r w:rsidR="00392D03">
        <w:rPr>
          <w:rFonts w:ascii="Arial" w:hAnsi="Arial" w:cs="Arial"/>
          <w:sz w:val="16"/>
          <w:szCs w:val="16"/>
        </w:rPr>
        <w:t xml:space="preserve"> </w:t>
      </w:r>
    </w:p>
    <w:p w14:paraId="200096A9" w14:textId="77777777" w:rsidR="00085DF4" w:rsidRDefault="004F190E" w:rsidP="00453547">
      <w:pPr>
        <w:shd w:val="pct25" w:color="auto" w:fill="auto"/>
        <w:rPr>
          <w:rFonts w:ascii="Arial" w:hAnsi="Arial" w:cs="Arial"/>
          <w:sz w:val="16"/>
          <w:szCs w:val="16"/>
        </w:rPr>
      </w:pPr>
      <w:r w:rsidRPr="00A639C1">
        <w:rPr>
          <w:rFonts w:ascii="Arial" w:hAnsi="Arial" w:cs="Arial"/>
          <w:sz w:val="16"/>
          <w:szCs w:val="16"/>
        </w:rPr>
        <w:t>Administered investments</w:t>
      </w:r>
      <w:r w:rsidR="0008132A" w:rsidRPr="00A639C1">
        <w:rPr>
          <w:rFonts w:ascii="Arial" w:hAnsi="Arial" w:cs="Arial"/>
          <w:sz w:val="16"/>
          <w:szCs w:val="16"/>
        </w:rPr>
        <w:t>,</w:t>
      </w:r>
      <w:r w:rsidRPr="00A639C1">
        <w:rPr>
          <w:rFonts w:ascii="Arial" w:hAnsi="Arial" w:cs="Arial"/>
          <w:sz w:val="16"/>
          <w:szCs w:val="16"/>
        </w:rPr>
        <w:t xml:space="preserve"> other than those held for sale</w:t>
      </w:r>
      <w:r w:rsidR="0008132A" w:rsidRPr="00A639C1">
        <w:rPr>
          <w:rFonts w:ascii="Arial" w:hAnsi="Arial" w:cs="Arial"/>
          <w:sz w:val="16"/>
          <w:szCs w:val="16"/>
        </w:rPr>
        <w:t>,</w:t>
      </w:r>
      <w:r w:rsidRPr="00A639C1">
        <w:rPr>
          <w:rFonts w:ascii="Arial" w:hAnsi="Arial" w:cs="Arial"/>
          <w:sz w:val="16"/>
          <w:szCs w:val="16"/>
        </w:rPr>
        <w:t xml:space="preserve"> are classified as 'available for sale' and are measured at their </w:t>
      </w:r>
      <w:r w:rsidR="00811291" w:rsidRPr="00A639C1">
        <w:rPr>
          <w:rFonts w:ascii="Arial" w:hAnsi="Arial" w:cs="Arial"/>
          <w:sz w:val="16"/>
          <w:szCs w:val="16"/>
        </w:rPr>
        <w:t xml:space="preserve">fair value as at </w:t>
      </w:r>
      <w:r w:rsidR="00381285">
        <w:rPr>
          <w:rFonts w:ascii="Arial" w:hAnsi="Arial" w:cs="Arial"/>
          <w:sz w:val="16"/>
          <w:szCs w:val="16"/>
        </w:rPr>
        <w:t>30 June 2015</w:t>
      </w:r>
      <w:r w:rsidR="00811291" w:rsidRPr="00A639C1">
        <w:rPr>
          <w:rFonts w:ascii="Arial" w:hAnsi="Arial" w:cs="Arial"/>
          <w:sz w:val="16"/>
          <w:szCs w:val="16"/>
        </w:rPr>
        <w:t>.</w:t>
      </w:r>
      <w:r w:rsidR="004F7189" w:rsidRPr="00A639C1">
        <w:rPr>
          <w:rFonts w:ascii="Arial" w:hAnsi="Arial" w:cs="Arial"/>
          <w:sz w:val="16"/>
          <w:szCs w:val="16"/>
        </w:rPr>
        <w:t xml:space="preserve"> </w:t>
      </w:r>
      <w:r w:rsidR="00FD1F4E" w:rsidRPr="00A639C1">
        <w:rPr>
          <w:rFonts w:ascii="Arial" w:hAnsi="Arial" w:cs="Arial"/>
          <w:sz w:val="16"/>
          <w:szCs w:val="16"/>
        </w:rPr>
        <w:t xml:space="preserve">Apart from the Australian Postal Corporation, </w:t>
      </w:r>
      <w:r w:rsidR="00275D4E" w:rsidRPr="00453547">
        <w:rPr>
          <w:rFonts w:ascii="Arial" w:hAnsi="Arial" w:cs="Arial"/>
          <w:sz w:val="16"/>
          <w:szCs w:val="16"/>
        </w:rPr>
        <w:t xml:space="preserve">fair value has been taken to be the Australian Government's proportional interest in the net assets of the entities as at end of reporting period. </w:t>
      </w:r>
    </w:p>
    <w:p w14:paraId="16E8073F" w14:textId="77777777" w:rsidR="00085DF4" w:rsidRDefault="00085DF4" w:rsidP="00453547">
      <w:pPr>
        <w:shd w:val="pct25" w:color="auto" w:fill="auto"/>
        <w:rPr>
          <w:rFonts w:ascii="Arial" w:hAnsi="Arial" w:cs="Arial"/>
          <w:sz w:val="16"/>
          <w:szCs w:val="16"/>
        </w:rPr>
      </w:pPr>
    </w:p>
    <w:p w14:paraId="5145B122" w14:textId="6B60430C" w:rsidR="00111439" w:rsidRDefault="00136445" w:rsidP="00453547">
      <w:pPr>
        <w:shd w:val="pct25" w:color="auto" w:fill="auto"/>
        <w:rPr>
          <w:rFonts w:ascii="Arial" w:hAnsi="Arial" w:cs="Arial"/>
          <w:sz w:val="16"/>
          <w:szCs w:val="16"/>
        </w:rPr>
      </w:pPr>
      <w:r>
        <w:rPr>
          <w:rFonts w:ascii="Arial" w:hAnsi="Arial" w:cs="Arial"/>
          <w:sz w:val="16"/>
          <w:szCs w:val="16"/>
        </w:rPr>
        <w:t xml:space="preserve">For </w:t>
      </w:r>
      <w:r w:rsidR="00AB3306">
        <w:rPr>
          <w:rFonts w:ascii="Arial" w:hAnsi="Arial" w:cs="Arial"/>
          <w:sz w:val="16"/>
          <w:szCs w:val="16"/>
        </w:rPr>
        <w:t>2014-15, fair value estimates f</w:t>
      </w:r>
      <w:r w:rsidR="00392D03">
        <w:rPr>
          <w:rFonts w:ascii="Arial" w:hAnsi="Arial" w:cs="Arial"/>
          <w:sz w:val="16"/>
          <w:szCs w:val="16"/>
        </w:rPr>
        <w:t xml:space="preserve">or the Australian Postal Corporation </w:t>
      </w:r>
      <w:r w:rsidR="00AB3306">
        <w:rPr>
          <w:rFonts w:ascii="Arial" w:hAnsi="Arial" w:cs="Arial"/>
          <w:sz w:val="16"/>
          <w:szCs w:val="16"/>
        </w:rPr>
        <w:t xml:space="preserve">are based on a discounted cash flow valuation calculated using cash flow forecasts extracted from </w:t>
      </w:r>
      <w:r w:rsidR="002F161A">
        <w:rPr>
          <w:rFonts w:ascii="Arial" w:hAnsi="Arial" w:cs="Arial"/>
          <w:sz w:val="16"/>
          <w:szCs w:val="16"/>
        </w:rPr>
        <w:t>the Australia Post</w:t>
      </w:r>
      <w:r w:rsidR="00AB3306">
        <w:rPr>
          <w:rFonts w:ascii="Arial" w:hAnsi="Arial" w:cs="Arial"/>
          <w:sz w:val="16"/>
          <w:szCs w:val="16"/>
        </w:rPr>
        <w:t xml:space="preserve"> Corporate Plan </w:t>
      </w:r>
      <w:r w:rsidR="002F161A">
        <w:rPr>
          <w:rFonts w:ascii="Arial" w:hAnsi="Arial" w:cs="Arial"/>
          <w:sz w:val="16"/>
          <w:szCs w:val="16"/>
        </w:rPr>
        <w:t>201</w:t>
      </w:r>
      <w:r w:rsidR="00453547">
        <w:rPr>
          <w:rFonts w:ascii="Arial" w:hAnsi="Arial" w:cs="Arial"/>
          <w:sz w:val="16"/>
          <w:szCs w:val="16"/>
        </w:rPr>
        <w:t>5</w:t>
      </w:r>
      <w:r w:rsidR="002F161A">
        <w:rPr>
          <w:rFonts w:ascii="Arial" w:hAnsi="Arial" w:cs="Arial"/>
          <w:sz w:val="16"/>
          <w:szCs w:val="16"/>
        </w:rPr>
        <w:t>/1</w:t>
      </w:r>
      <w:r w:rsidR="00453547">
        <w:rPr>
          <w:rFonts w:ascii="Arial" w:hAnsi="Arial" w:cs="Arial"/>
          <w:sz w:val="16"/>
          <w:szCs w:val="16"/>
        </w:rPr>
        <w:t>6</w:t>
      </w:r>
      <w:r>
        <w:rPr>
          <w:rFonts w:ascii="Arial" w:hAnsi="Arial" w:cs="Arial"/>
          <w:sz w:val="16"/>
          <w:szCs w:val="16"/>
        </w:rPr>
        <w:t xml:space="preserve"> </w:t>
      </w:r>
      <w:r w:rsidR="002F161A">
        <w:rPr>
          <w:rFonts w:ascii="Arial" w:hAnsi="Arial" w:cs="Arial"/>
          <w:sz w:val="16"/>
          <w:szCs w:val="16"/>
        </w:rPr>
        <w:t>-</w:t>
      </w:r>
      <w:r>
        <w:rPr>
          <w:rFonts w:ascii="Arial" w:hAnsi="Arial" w:cs="Arial"/>
          <w:sz w:val="16"/>
          <w:szCs w:val="16"/>
        </w:rPr>
        <w:t xml:space="preserve"> </w:t>
      </w:r>
      <w:r w:rsidR="002F161A">
        <w:rPr>
          <w:rFonts w:ascii="Arial" w:hAnsi="Arial" w:cs="Arial"/>
          <w:sz w:val="16"/>
          <w:szCs w:val="16"/>
        </w:rPr>
        <w:t>201</w:t>
      </w:r>
      <w:r w:rsidR="00453547">
        <w:rPr>
          <w:rFonts w:ascii="Arial" w:hAnsi="Arial" w:cs="Arial"/>
          <w:sz w:val="16"/>
          <w:szCs w:val="16"/>
        </w:rPr>
        <w:t>8</w:t>
      </w:r>
      <w:r w:rsidR="002F161A">
        <w:rPr>
          <w:rFonts w:ascii="Arial" w:hAnsi="Arial" w:cs="Arial"/>
          <w:sz w:val="16"/>
          <w:szCs w:val="16"/>
        </w:rPr>
        <w:t>/1</w:t>
      </w:r>
      <w:r w:rsidR="00453547">
        <w:rPr>
          <w:rFonts w:ascii="Arial" w:hAnsi="Arial" w:cs="Arial"/>
          <w:sz w:val="16"/>
          <w:szCs w:val="16"/>
        </w:rPr>
        <w:t>9</w:t>
      </w:r>
      <w:r>
        <w:rPr>
          <w:rFonts w:ascii="Arial" w:hAnsi="Arial" w:cs="Arial"/>
          <w:sz w:val="16"/>
          <w:szCs w:val="16"/>
        </w:rPr>
        <w:t>. Th</w:t>
      </w:r>
      <w:r w:rsidR="002F161A">
        <w:rPr>
          <w:rFonts w:ascii="Arial" w:hAnsi="Arial" w:cs="Arial"/>
          <w:sz w:val="16"/>
          <w:szCs w:val="16"/>
        </w:rPr>
        <w:t xml:space="preserve">e forecasts use management estimates to determine volume and price growth rates. </w:t>
      </w:r>
      <w:r w:rsidR="002F161A" w:rsidRPr="00F40278">
        <w:rPr>
          <w:rFonts w:ascii="Arial" w:hAnsi="Arial" w:cs="Arial"/>
          <w:sz w:val="16"/>
          <w:szCs w:val="16"/>
        </w:rPr>
        <w:t xml:space="preserve">Actual results may differ from these estimates under different assumptions and </w:t>
      </w:r>
      <w:r w:rsidR="002F161A" w:rsidRPr="000D7AF5">
        <w:rPr>
          <w:rFonts w:ascii="Arial" w:hAnsi="Arial" w:cs="Arial"/>
          <w:sz w:val="16"/>
          <w:szCs w:val="16"/>
        </w:rPr>
        <w:t>conditions and may materially affect the financial position reported in future periods</w:t>
      </w:r>
      <w:r w:rsidR="002F161A">
        <w:rPr>
          <w:rFonts w:ascii="Arial" w:hAnsi="Arial" w:cs="Arial"/>
          <w:sz w:val="16"/>
          <w:szCs w:val="16"/>
        </w:rPr>
        <w:t>.</w:t>
      </w:r>
      <w:r w:rsidR="006134F5">
        <w:rPr>
          <w:rFonts w:ascii="Arial" w:hAnsi="Arial" w:cs="Arial"/>
          <w:sz w:val="16"/>
          <w:szCs w:val="16"/>
        </w:rPr>
        <w:t xml:space="preserve"> </w:t>
      </w:r>
      <w:r w:rsidR="00407F6E">
        <w:rPr>
          <w:rFonts w:ascii="Arial" w:hAnsi="Arial" w:cs="Arial"/>
          <w:sz w:val="16"/>
          <w:szCs w:val="16"/>
        </w:rPr>
        <w:t>For the 2013-14, fair value has been taken to be the net assets of Australia Post at the end of the reporting period, plus the difference between fair value and cost of Land and Buildings.</w:t>
      </w:r>
    </w:p>
    <w:p w14:paraId="6FE0EA54" w14:textId="77777777" w:rsidR="005E1919" w:rsidRPr="00D74A02" w:rsidRDefault="005E1919" w:rsidP="00453547">
      <w:pPr>
        <w:shd w:val="pct25" w:color="auto" w:fill="auto"/>
        <w:spacing w:before="160" w:after="160"/>
        <w:jc w:val="both"/>
        <w:rPr>
          <w:rFonts w:ascii="Arial" w:hAnsi="Arial" w:cs="Arial"/>
          <w:i/>
          <w:sz w:val="16"/>
          <w:szCs w:val="16"/>
        </w:rPr>
      </w:pPr>
      <w:r w:rsidRPr="00D74A02">
        <w:rPr>
          <w:rFonts w:ascii="Arial" w:hAnsi="Arial" w:cs="Arial"/>
          <w:i/>
          <w:sz w:val="16"/>
          <w:szCs w:val="16"/>
        </w:rPr>
        <w:t>Guarantees</w:t>
      </w:r>
    </w:p>
    <w:p w14:paraId="228A8AA2" w14:textId="28A79F89" w:rsidR="00F82AB4" w:rsidRPr="00A639C1" w:rsidRDefault="005E1919" w:rsidP="00453547">
      <w:pPr>
        <w:shd w:val="pct25" w:color="auto" w:fill="auto"/>
        <w:spacing w:before="160" w:after="160"/>
        <w:jc w:val="both"/>
        <w:rPr>
          <w:rFonts w:ascii="Arial" w:hAnsi="Arial" w:cs="Arial"/>
          <w:sz w:val="16"/>
          <w:szCs w:val="16"/>
        </w:rPr>
      </w:pPr>
      <w:r w:rsidRPr="00A639C1">
        <w:rPr>
          <w:rFonts w:ascii="Arial" w:hAnsi="Arial" w:cs="Arial"/>
          <w:sz w:val="16"/>
          <w:szCs w:val="16"/>
        </w:rPr>
        <w:t>The amounts guaranteed by the Commonwealth have been disclosed in Note 2</w:t>
      </w:r>
      <w:r w:rsidR="008B3A95">
        <w:rPr>
          <w:rFonts w:ascii="Arial" w:hAnsi="Arial" w:cs="Arial"/>
          <w:sz w:val="16"/>
          <w:szCs w:val="16"/>
        </w:rPr>
        <w:t>5</w:t>
      </w:r>
      <w:r w:rsidRPr="00A639C1">
        <w:rPr>
          <w:rFonts w:ascii="Arial" w:hAnsi="Arial" w:cs="Arial"/>
          <w:sz w:val="16"/>
          <w:szCs w:val="16"/>
        </w:rPr>
        <w:t xml:space="preserve"> to the extent that they are quantifiable. </w:t>
      </w:r>
    </w:p>
    <w:p w14:paraId="37F534E8" w14:textId="66F9206A" w:rsidR="005E1919" w:rsidRPr="00A639C1" w:rsidRDefault="007F30C2" w:rsidP="00453547">
      <w:pPr>
        <w:shd w:val="pct25" w:color="auto" w:fill="auto"/>
        <w:spacing w:before="160" w:after="160"/>
        <w:jc w:val="both"/>
        <w:rPr>
          <w:rFonts w:ascii="Arial" w:hAnsi="Arial" w:cs="Arial"/>
          <w:sz w:val="16"/>
          <w:szCs w:val="16"/>
        </w:rPr>
      </w:pPr>
      <w:r w:rsidRPr="00A639C1">
        <w:rPr>
          <w:rFonts w:ascii="Arial" w:hAnsi="Arial" w:cs="Arial"/>
          <w:sz w:val="16"/>
          <w:szCs w:val="16"/>
        </w:rPr>
        <w:t xml:space="preserve">At </w:t>
      </w:r>
      <w:r w:rsidR="00381285">
        <w:rPr>
          <w:rFonts w:ascii="Arial" w:hAnsi="Arial" w:cs="Arial"/>
          <w:sz w:val="16"/>
          <w:szCs w:val="16"/>
        </w:rPr>
        <w:t>30 June 2015</w:t>
      </w:r>
      <w:r w:rsidR="005E1919" w:rsidRPr="00A639C1">
        <w:rPr>
          <w:rFonts w:ascii="Arial" w:hAnsi="Arial" w:cs="Arial"/>
          <w:sz w:val="16"/>
          <w:szCs w:val="16"/>
        </w:rPr>
        <w:t xml:space="preserve">, there </w:t>
      </w:r>
      <w:r w:rsidR="00111439" w:rsidRPr="00A639C1">
        <w:rPr>
          <w:rFonts w:ascii="Arial" w:hAnsi="Arial" w:cs="Arial"/>
          <w:sz w:val="16"/>
          <w:szCs w:val="16"/>
        </w:rPr>
        <w:t xml:space="preserve">is </w:t>
      </w:r>
      <w:r w:rsidR="005E1919" w:rsidRPr="00A639C1">
        <w:rPr>
          <w:rFonts w:ascii="Arial" w:hAnsi="Arial" w:cs="Arial"/>
          <w:sz w:val="16"/>
          <w:szCs w:val="16"/>
        </w:rPr>
        <w:t xml:space="preserve">no reason to believe that the guarantees would be called upon and the likelihood of future settlement is considered remote, therefore, recognition of a liability </w:t>
      </w:r>
      <w:r w:rsidR="00111439" w:rsidRPr="00A639C1">
        <w:rPr>
          <w:rFonts w:ascii="Arial" w:hAnsi="Arial" w:cs="Arial"/>
          <w:sz w:val="16"/>
          <w:szCs w:val="16"/>
        </w:rPr>
        <w:t xml:space="preserve">is </w:t>
      </w:r>
      <w:r w:rsidR="005E1919" w:rsidRPr="00A639C1">
        <w:rPr>
          <w:rFonts w:ascii="Arial" w:hAnsi="Arial" w:cs="Arial"/>
          <w:sz w:val="16"/>
          <w:szCs w:val="16"/>
        </w:rPr>
        <w:t xml:space="preserve">not required. The guarantees are in relation to </w:t>
      </w:r>
      <w:r w:rsidR="00E16119">
        <w:rPr>
          <w:rFonts w:ascii="Arial" w:hAnsi="Arial" w:cs="Arial"/>
          <w:sz w:val="16"/>
          <w:szCs w:val="16"/>
        </w:rPr>
        <w:t xml:space="preserve">NBN </w:t>
      </w:r>
      <w:proofErr w:type="spellStart"/>
      <w:r w:rsidR="00E16119">
        <w:rPr>
          <w:rFonts w:ascii="Arial" w:hAnsi="Arial" w:cs="Arial"/>
          <w:sz w:val="16"/>
          <w:szCs w:val="16"/>
        </w:rPr>
        <w:t>Co</w:t>
      </w:r>
      <w:r w:rsidR="005E1919" w:rsidRPr="00A639C1">
        <w:rPr>
          <w:rFonts w:ascii="Arial" w:hAnsi="Arial" w:cs="Arial"/>
          <w:sz w:val="16"/>
          <w:szCs w:val="16"/>
        </w:rPr>
        <w:t>’s</w:t>
      </w:r>
      <w:proofErr w:type="spellEnd"/>
      <w:r w:rsidR="005E1919" w:rsidRPr="00A639C1">
        <w:rPr>
          <w:rFonts w:ascii="Arial" w:hAnsi="Arial" w:cs="Arial"/>
          <w:sz w:val="16"/>
          <w:szCs w:val="16"/>
        </w:rPr>
        <w:t xml:space="preserve"> financial obligations under the Definitive Agreements and are measured </w:t>
      </w:r>
      <w:r w:rsidR="008C037C" w:rsidRPr="00A639C1">
        <w:rPr>
          <w:rFonts w:ascii="Arial" w:hAnsi="Arial" w:cs="Arial"/>
          <w:sz w:val="16"/>
          <w:szCs w:val="16"/>
        </w:rPr>
        <w:t>as follows:</w:t>
      </w:r>
    </w:p>
    <w:p w14:paraId="54FB69C5" w14:textId="77777777" w:rsidR="008C037C" w:rsidRPr="00A639C1" w:rsidRDefault="008C037C" w:rsidP="00453547">
      <w:pPr>
        <w:shd w:val="pct25" w:color="auto" w:fill="auto"/>
        <w:spacing w:before="160" w:after="160"/>
        <w:jc w:val="both"/>
        <w:rPr>
          <w:rFonts w:ascii="Arial" w:hAnsi="Arial" w:cs="Arial"/>
          <w:sz w:val="16"/>
          <w:szCs w:val="16"/>
        </w:rPr>
      </w:pPr>
      <w:r w:rsidRPr="00A639C1">
        <w:rPr>
          <w:rFonts w:ascii="Arial" w:hAnsi="Arial" w:cs="Arial"/>
          <w:sz w:val="16"/>
          <w:szCs w:val="16"/>
        </w:rPr>
        <w:t xml:space="preserve">Telstra Financial Guarantee: the total of committed future payments during the contract term for infrastructure accessed at </w:t>
      </w:r>
      <w:r w:rsidR="00381285">
        <w:rPr>
          <w:rFonts w:ascii="Arial" w:hAnsi="Arial" w:cs="Arial"/>
          <w:sz w:val="16"/>
          <w:szCs w:val="16"/>
        </w:rPr>
        <w:t>30 June 2015</w:t>
      </w:r>
      <w:r w:rsidRPr="00A639C1">
        <w:rPr>
          <w:rFonts w:ascii="Arial" w:hAnsi="Arial" w:cs="Arial"/>
          <w:sz w:val="16"/>
          <w:szCs w:val="16"/>
        </w:rPr>
        <w:t>, calculated based on current pricing.</w:t>
      </w:r>
    </w:p>
    <w:p w14:paraId="4C157AF7" w14:textId="0DE03169" w:rsidR="008C037C" w:rsidRPr="00A639C1" w:rsidRDefault="00E16119" w:rsidP="008C037C">
      <w:pPr>
        <w:shd w:val="clear" w:color="auto" w:fill="BFBFBF" w:themeFill="background1" w:themeFillShade="BF"/>
        <w:spacing w:before="160" w:after="160"/>
        <w:jc w:val="both"/>
        <w:rPr>
          <w:rFonts w:ascii="Arial" w:hAnsi="Arial" w:cs="Arial"/>
          <w:sz w:val="16"/>
          <w:szCs w:val="16"/>
        </w:rPr>
      </w:pPr>
      <w:r>
        <w:rPr>
          <w:rFonts w:ascii="Arial" w:hAnsi="Arial" w:cs="Arial"/>
          <w:sz w:val="16"/>
          <w:szCs w:val="16"/>
        </w:rPr>
        <w:t xml:space="preserve">NBN </w:t>
      </w:r>
      <w:proofErr w:type="spellStart"/>
      <w:r>
        <w:rPr>
          <w:rFonts w:ascii="Arial" w:hAnsi="Arial" w:cs="Arial"/>
          <w:sz w:val="16"/>
          <w:szCs w:val="16"/>
        </w:rPr>
        <w:t>C</w:t>
      </w:r>
      <w:r w:rsidR="006171E1" w:rsidRPr="00453547">
        <w:rPr>
          <w:rFonts w:ascii="Arial" w:hAnsi="Arial" w:cs="Arial"/>
          <w:sz w:val="16"/>
          <w:szCs w:val="16"/>
        </w:rPr>
        <w:t>o</w:t>
      </w:r>
      <w:r w:rsidR="00BA5357" w:rsidRPr="00453547">
        <w:rPr>
          <w:rFonts w:ascii="Arial" w:hAnsi="Arial" w:cs="Arial"/>
          <w:sz w:val="16"/>
          <w:szCs w:val="16"/>
        </w:rPr>
        <w:t>’s</w:t>
      </w:r>
      <w:proofErr w:type="spellEnd"/>
      <w:r w:rsidR="008C037C" w:rsidRPr="00A639C1">
        <w:rPr>
          <w:rFonts w:ascii="Arial" w:hAnsi="Arial" w:cs="Arial"/>
          <w:sz w:val="16"/>
          <w:szCs w:val="16"/>
        </w:rPr>
        <w:t xml:space="preserve"> Equity Agreement: the sum of</w:t>
      </w:r>
      <w:r w:rsidR="00524E68" w:rsidRPr="00A639C1">
        <w:rPr>
          <w:rFonts w:ascii="Arial" w:hAnsi="Arial" w:cs="Arial"/>
          <w:sz w:val="16"/>
          <w:szCs w:val="16"/>
        </w:rPr>
        <w:t>:</w:t>
      </w:r>
      <w:r w:rsidR="008C037C" w:rsidRPr="00A639C1">
        <w:rPr>
          <w:rFonts w:ascii="Arial" w:hAnsi="Arial" w:cs="Arial"/>
          <w:sz w:val="16"/>
          <w:szCs w:val="16"/>
        </w:rPr>
        <w:t xml:space="preserve"> total liabilities per </w:t>
      </w:r>
      <w:r>
        <w:rPr>
          <w:rFonts w:ascii="Arial" w:hAnsi="Arial" w:cs="Arial"/>
          <w:sz w:val="16"/>
          <w:szCs w:val="16"/>
        </w:rPr>
        <w:t>NBN</w:t>
      </w:r>
      <w:r w:rsidR="002E466F">
        <w:rPr>
          <w:rFonts w:ascii="Arial" w:hAnsi="Arial" w:cs="Arial"/>
          <w:sz w:val="16"/>
          <w:szCs w:val="16"/>
        </w:rPr>
        <w:t xml:space="preserve"> </w:t>
      </w:r>
      <w:proofErr w:type="spellStart"/>
      <w:r w:rsidR="002E466F">
        <w:rPr>
          <w:rFonts w:ascii="Arial" w:hAnsi="Arial" w:cs="Arial"/>
          <w:sz w:val="16"/>
          <w:szCs w:val="16"/>
        </w:rPr>
        <w:t>Co</w:t>
      </w:r>
      <w:r w:rsidR="008C037C" w:rsidRPr="00597D62">
        <w:rPr>
          <w:rFonts w:ascii="Arial" w:hAnsi="Arial" w:cs="Arial"/>
          <w:sz w:val="16"/>
          <w:szCs w:val="16"/>
        </w:rPr>
        <w:t>’s</w:t>
      </w:r>
      <w:proofErr w:type="spellEnd"/>
      <w:r w:rsidR="008C037C" w:rsidRPr="00597D62">
        <w:rPr>
          <w:rFonts w:ascii="Arial" w:hAnsi="Arial" w:cs="Arial"/>
          <w:sz w:val="16"/>
          <w:szCs w:val="16"/>
        </w:rPr>
        <w:t xml:space="preserve"> </w:t>
      </w:r>
      <w:r w:rsidR="00530A8D">
        <w:rPr>
          <w:rFonts w:ascii="Arial" w:hAnsi="Arial" w:cs="Arial"/>
          <w:sz w:val="16"/>
          <w:szCs w:val="16"/>
        </w:rPr>
        <w:t xml:space="preserve">Statement of Financial Position </w:t>
      </w:r>
      <w:r w:rsidR="008C037C" w:rsidRPr="00A639C1">
        <w:rPr>
          <w:rFonts w:ascii="Arial" w:hAnsi="Arial" w:cs="Arial"/>
          <w:sz w:val="16"/>
          <w:szCs w:val="16"/>
        </w:rPr>
        <w:t xml:space="preserve">and the discounted value of the minimum contractual commitments entered into at </w:t>
      </w:r>
      <w:r w:rsidR="00381285">
        <w:rPr>
          <w:rFonts w:ascii="Arial" w:hAnsi="Arial" w:cs="Arial"/>
          <w:sz w:val="16"/>
          <w:szCs w:val="16"/>
        </w:rPr>
        <w:t>30 June 2015</w:t>
      </w:r>
      <w:r w:rsidR="008C037C" w:rsidRPr="00A639C1">
        <w:rPr>
          <w:rFonts w:ascii="Arial" w:hAnsi="Arial" w:cs="Arial"/>
          <w:sz w:val="16"/>
          <w:szCs w:val="16"/>
        </w:rPr>
        <w:t xml:space="preserve">. </w:t>
      </w:r>
    </w:p>
    <w:p w14:paraId="6F1B2BBF" w14:textId="2A9B4B45" w:rsidR="00782F34" w:rsidRPr="00A639C1" w:rsidRDefault="00782F34" w:rsidP="008C037C">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Optus Financial Guarantee</w:t>
      </w:r>
      <w:r w:rsidRPr="00597D62">
        <w:rPr>
          <w:rFonts w:ascii="Arial" w:hAnsi="Arial" w:cs="Arial"/>
          <w:sz w:val="16"/>
          <w:szCs w:val="16"/>
        </w:rPr>
        <w:t xml:space="preserve">: </w:t>
      </w:r>
      <w:r w:rsidR="00E16119">
        <w:rPr>
          <w:rFonts w:ascii="Arial" w:hAnsi="Arial" w:cs="Arial"/>
          <w:sz w:val="16"/>
          <w:szCs w:val="16"/>
        </w:rPr>
        <w:t>NBN</w:t>
      </w:r>
      <w:r w:rsidR="002E466F">
        <w:rPr>
          <w:rFonts w:ascii="Arial" w:hAnsi="Arial" w:cs="Arial"/>
          <w:sz w:val="16"/>
          <w:szCs w:val="16"/>
        </w:rPr>
        <w:t xml:space="preserve"> </w:t>
      </w:r>
      <w:proofErr w:type="spellStart"/>
      <w:r w:rsidR="002E466F">
        <w:rPr>
          <w:rFonts w:ascii="Arial" w:hAnsi="Arial" w:cs="Arial"/>
          <w:sz w:val="16"/>
          <w:szCs w:val="16"/>
        </w:rPr>
        <w:t>Co</w:t>
      </w:r>
      <w:r w:rsidRPr="00597D62">
        <w:rPr>
          <w:rFonts w:ascii="Arial" w:hAnsi="Arial" w:cs="Arial"/>
          <w:sz w:val="16"/>
          <w:szCs w:val="16"/>
        </w:rPr>
        <w:t>’s</w:t>
      </w:r>
      <w:proofErr w:type="spellEnd"/>
      <w:r w:rsidRPr="00A639C1">
        <w:rPr>
          <w:rFonts w:ascii="Arial" w:hAnsi="Arial" w:cs="Arial"/>
          <w:sz w:val="16"/>
          <w:szCs w:val="16"/>
        </w:rPr>
        <w:t xml:space="preserve"> financial obligations under the Hybrid </w:t>
      </w:r>
      <w:r w:rsidR="004E7E53" w:rsidRPr="00A639C1">
        <w:rPr>
          <w:rFonts w:ascii="Arial" w:hAnsi="Arial" w:cs="Arial"/>
          <w:sz w:val="16"/>
          <w:szCs w:val="16"/>
        </w:rPr>
        <w:t>Fibre Coaxial</w:t>
      </w:r>
      <w:r w:rsidRPr="00A639C1">
        <w:rPr>
          <w:rFonts w:ascii="Arial" w:hAnsi="Arial" w:cs="Arial"/>
          <w:sz w:val="16"/>
          <w:szCs w:val="16"/>
        </w:rPr>
        <w:t xml:space="preserve"> (HFC) Subscriber Agreement for the period of the national broadband rollout in Optus Hybrid </w:t>
      </w:r>
      <w:r w:rsidR="004E7E53" w:rsidRPr="00A639C1">
        <w:rPr>
          <w:rFonts w:ascii="Arial" w:hAnsi="Arial" w:cs="Arial"/>
          <w:sz w:val="16"/>
          <w:szCs w:val="16"/>
        </w:rPr>
        <w:t xml:space="preserve">Fibre </w:t>
      </w:r>
      <w:r w:rsidRPr="00A639C1">
        <w:rPr>
          <w:rFonts w:ascii="Arial" w:hAnsi="Arial" w:cs="Arial"/>
          <w:sz w:val="16"/>
          <w:szCs w:val="16"/>
        </w:rPr>
        <w:t xml:space="preserve">Coaxial areas at </w:t>
      </w:r>
      <w:r w:rsidR="00381285">
        <w:rPr>
          <w:rFonts w:ascii="Arial" w:hAnsi="Arial" w:cs="Arial"/>
          <w:sz w:val="16"/>
          <w:szCs w:val="16"/>
        </w:rPr>
        <w:t>30 June 2015</w:t>
      </w:r>
      <w:r w:rsidRPr="00A639C1">
        <w:rPr>
          <w:rFonts w:ascii="Arial" w:hAnsi="Arial" w:cs="Arial"/>
          <w:sz w:val="16"/>
          <w:szCs w:val="16"/>
        </w:rPr>
        <w:t>.</w:t>
      </w:r>
    </w:p>
    <w:p w14:paraId="006A2C50" w14:textId="77777777" w:rsidR="00291DFD" w:rsidRPr="00A639C1" w:rsidRDefault="004037C2" w:rsidP="00291DFD">
      <w:pPr>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Grants and Subsidies</w:t>
      </w:r>
    </w:p>
    <w:p w14:paraId="04329829" w14:textId="77777777" w:rsidR="00291DFD" w:rsidRPr="00A639C1" w:rsidRDefault="005E703F"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 xml:space="preserve">The Department administers a number of grant and subsidy schemes on behalf of the </w:t>
      </w:r>
      <w:r w:rsidR="00A0408C" w:rsidRPr="00A639C1">
        <w:rPr>
          <w:rFonts w:ascii="Arial" w:hAnsi="Arial" w:cs="Arial"/>
          <w:sz w:val="16"/>
          <w:szCs w:val="16"/>
        </w:rPr>
        <w:t>Government</w:t>
      </w:r>
      <w:r w:rsidRPr="00A639C1">
        <w:rPr>
          <w:rFonts w:ascii="Arial" w:hAnsi="Arial" w:cs="Arial"/>
          <w:sz w:val="16"/>
          <w:szCs w:val="16"/>
        </w:rPr>
        <w:t>.</w:t>
      </w:r>
    </w:p>
    <w:p w14:paraId="24041EFC" w14:textId="77777777" w:rsidR="00291DFD" w:rsidRPr="00A639C1" w:rsidRDefault="005E703F"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Grant liabilities are recognised to the extent that (</w:t>
      </w:r>
      <w:proofErr w:type="spellStart"/>
      <w:r w:rsidRPr="00A639C1">
        <w:rPr>
          <w:rFonts w:ascii="Arial" w:hAnsi="Arial" w:cs="Arial"/>
          <w:sz w:val="16"/>
          <w:szCs w:val="16"/>
        </w:rPr>
        <w:t>i</w:t>
      </w:r>
      <w:proofErr w:type="spellEnd"/>
      <w:r w:rsidRPr="00A639C1">
        <w:rPr>
          <w:rFonts w:ascii="Arial" w:hAnsi="Arial" w:cs="Arial"/>
          <w:sz w:val="16"/>
          <w:szCs w:val="16"/>
        </w:rPr>
        <w:t xml:space="preserve">) the services required to be performed by the grantee have been performed or (ii) the grant eligibility criteria have been satisfied, </w:t>
      </w:r>
      <w:r w:rsidR="00204DFB" w:rsidRPr="00A639C1">
        <w:rPr>
          <w:rFonts w:ascii="Arial" w:hAnsi="Arial" w:cs="Arial"/>
          <w:sz w:val="16"/>
          <w:szCs w:val="16"/>
        </w:rPr>
        <w:t xml:space="preserve">but </w:t>
      </w:r>
      <w:r w:rsidRPr="00A639C1">
        <w:rPr>
          <w:rFonts w:ascii="Arial" w:hAnsi="Arial" w:cs="Arial"/>
          <w:sz w:val="16"/>
          <w:szCs w:val="16"/>
        </w:rPr>
        <w:t xml:space="preserve">payments due have </w:t>
      </w:r>
      <w:r w:rsidR="00446F1E" w:rsidRPr="00A639C1">
        <w:rPr>
          <w:rFonts w:ascii="Arial" w:hAnsi="Arial" w:cs="Arial"/>
          <w:sz w:val="16"/>
          <w:szCs w:val="16"/>
        </w:rPr>
        <w:t xml:space="preserve">not </w:t>
      </w:r>
      <w:r w:rsidRPr="00A639C1">
        <w:rPr>
          <w:rFonts w:ascii="Arial" w:hAnsi="Arial" w:cs="Arial"/>
          <w:sz w:val="16"/>
          <w:szCs w:val="16"/>
        </w:rPr>
        <w:t xml:space="preserve">been made. A commitment is recorded when the </w:t>
      </w:r>
      <w:r w:rsidR="00302EC4" w:rsidRPr="00A639C1">
        <w:rPr>
          <w:rFonts w:ascii="Arial" w:hAnsi="Arial" w:cs="Arial"/>
          <w:sz w:val="16"/>
          <w:szCs w:val="16"/>
        </w:rPr>
        <w:t>Commonwealth</w:t>
      </w:r>
      <w:r w:rsidRPr="00A639C1">
        <w:rPr>
          <w:rFonts w:ascii="Arial" w:hAnsi="Arial" w:cs="Arial"/>
          <w:sz w:val="16"/>
          <w:szCs w:val="16"/>
        </w:rPr>
        <w:t xml:space="preserve"> enters into an agreement to make these grants but services have not been performed or criteria satisfied.</w:t>
      </w:r>
    </w:p>
    <w:p w14:paraId="4D257076" w14:textId="77777777" w:rsidR="00035DD9" w:rsidRPr="00A639C1" w:rsidRDefault="00035DD9" w:rsidP="00291DF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Subsidy liabilities are recognised to the extent that the subsidy eligibility criteria have been satisfied, but payments due have not been made.</w:t>
      </w:r>
    </w:p>
    <w:p w14:paraId="30584149" w14:textId="06363BE3" w:rsidR="00291DFD" w:rsidRPr="00A639C1" w:rsidRDefault="004037C2" w:rsidP="008C037C">
      <w:pPr>
        <w:keepNext/>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 xml:space="preserve">Payments to </w:t>
      </w:r>
      <w:r w:rsidR="00275D4E">
        <w:rPr>
          <w:rFonts w:ascii="Arial" w:hAnsi="Arial" w:cs="Arial"/>
          <w:i/>
          <w:sz w:val="16"/>
          <w:szCs w:val="16"/>
        </w:rPr>
        <w:t xml:space="preserve">corporate </w:t>
      </w:r>
      <w:r w:rsidRPr="00A639C1">
        <w:rPr>
          <w:rFonts w:ascii="Arial" w:hAnsi="Arial" w:cs="Arial"/>
          <w:i/>
          <w:sz w:val="16"/>
          <w:szCs w:val="16"/>
        </w:rPr>
        <w:t xml:space="preserve">Commonwealth </w:t>
      </w:r>
      <w:r w:rsidR="00275D4E">
        <w:rPr>
          <w:rFonts w:ascii="Arial" w:hAnsi="Arial" w:cs="Arial"/>
          <w:i/>
          <w:sz w:val="16"/>
          <w:szCs w:val="16"/>
        </w:rPr>
        <w:t>entities</w:t>
      </w:r>
    </w:p>
    <w:p w14:paraId="44CD6A95" w14:textId="4B56F95B" w:rsidR="00291DFD" w:rsidRDefault="000F2782" w:rsidP="008C037C">
      <w:pPr>
        <w:keepNext/>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P</w:t>
      </w:r>
      <w:r w:rsidR="00BF495E" w:rsidRPr="00A639C1">
        <w:rPr>
          <w:rFonts w:ascii="Arial" w:hAnsi="Arial" w:cs="Arial"/>
          <w:sz w:val="16"/>
          <w:szCs w:val="16"/>
        </w:rPr>
        <w:t xml:space="preserve">ayments to </w:t>
      </w:r>
      <w:r w:rsidR="00275D4E">
        <w:rPr>
          <w:rFonts w:ascii="Arial" w:hAnsi="Arial" w:cs="Arial"/>
          <w:sz w:val="16"/>
          <w:szCs w:val="16"/>
        </w:rPr>
        <w:t>corporate Commonwealth entities</w:t>
      </w:r>
      <w:r w:rsidR="00BA481B" w:rsidRPr="00A639C1">
        <w:rPr>
          <w:rFonts w:ascii="Arial" w:hAnsi="Arial" w:cs="Arial"/>
          <w:sz w:val="16"/>
          <w:szCs w:val="16"/>
        </w:rPr>
        <w:t xml:space="preserve"> </w:t>
      </w:r>
      <w:r w:rsidR="003F6009" w:rsidRPr="00A639C1">
        <w:rPr>
          <w:rFonts w:ascii="Arial" w:hAnsi="Arial" w:cs="Arial"/>
          <w:sz w:val="16"/>
          <w:szCs w:val="16"/>
        </w:rPr>
        <w:t xml:space="preserve">from amounts appropriated for that purpose are classified as </w:t>
      </w:r>
      <w:r w:rsidR="00BA481B" w:rsidRPr="00A639C1">
        <w:rPr>
          <w:rFonts w:ascii="Arial" w:hAnsi="Arial" w:cs="Arial"/>
          <w:sz w:val="16"/>
          <w:szCs w:val="16"/>
        </w:rPr>
        <w:t>a</w:t>
      </w:r>
      <w:r w:rsidR="003F6009" w:rsidRPr="00A639C1">
        <w:rPr>
          <w:rFonts w:ascii="Arial" w:hAnsi="Arial" w:cs="Arial"/>
          <w:sz w:val="16"/>
          <w:szCs w:val="16"/>
        </w:rPr>
        <w:t xml:space="preserve">dministered expenses, loans or an increase to the </w:t>
      </w:r>
      <w:r w:rsidR="00BA481B" w:rsidRPr="00A639C1">
        <w:rPr>
          <w:rFonts w:ascii="Arial" w:hAnsi="Arial" w:cs="Arial"/>
          <w:sz w:val="16"/>
          <w:szCs w:val="16"/>
        </w:rPr>
        <w:t>a</w:t>
      </w:r>
      <w:r w:rsidR="003F6009" w:rsidRPr="00A639C1">
        <w:rPr>
          <w:rFonts w:ascii="Arial" w:hAnsi="Arial" w:cs="Arial"/>
          <w:sz w:val="16"/>
          <w:szCs w:val="16"/>
        </w:rPr>
        <w:t xml:space="preserve">dministered </w:t>
      </w:r>
      <w:r w:rsidR="00BA481B" w:rsidRPr="00A639C1">
        <w:rPr>
          <w:rFonts w:ascii="Arial" w:hAnsi="Arial" w:cs="Arial"/>
          <w:sz w:val="16"/>
          <w:szCs w:val="16"/>
        </w:rPr>
        <w:t>i</w:t>
      </w:r>
      <w:r w:rsidR="003F6009" w:rsidRPr="00A639C1">
        <w:rPr>
          <w:rFonts w:ascii="Arial" w:hAnsi="Arial" w:cs="Arial"/>
          <w:sz w:val="16"/>
          <w:szCs w:val="16"/>
        </w:rPr>
        <w:t xml:space="preserve">nvestment of the </w:t>
      </w:r>
      <w:r w:rsidR="00AD0BC0" w:rsidRPr="00A639C1">
        <w:rPr>
          <w:rFonts w:ascii="Arial" w:hAnsi="Arial" w:cs="Arial"/>
          <w:sz w:val="16"/>
          <w:szCs w:val="16"/>
        </w:rPr>
        <w:t>Department</w:t>
      </w:r>
      <w:r w:rsidR="003F6009" w:rsidRPr="00A639C1">
        <w:rPr>
          <w:rFonts w:ascii="Arial" w:hAnsi="Arial" w:cs="Arial"/>
          <w:sz w:val="16"/>
          <w:szCs w:val="16"/>
        </w:rPr>
        <w:t xml:space="preserve">. The </w:t>
      </w:r>
      <w:r w:rsidR="00AD0BC0" w:rsidRPr="00A639C1">
        <w:rPr>
          <w:rFonts w:ascii="Arial" w:hAnsi="Arial" w:cs="Arial"/>
          <w:sz w:val="16"/>
          <w:szCs w:val="16"/>
        </w:rPr>
        <w:t>Department</w:t>
      </w:r>
      <w:r w:rsidR="003F6009" w:rsidRPr="00A639C1">
        <w:rPr>
          <w:rFonts w:ascii="Arial" w:hAnsi="Arial" w:cs="Arial"/>
          <w:sz w:val="16"/>
          <w:szCs w:val="16"/>
        </w:rPr>
        <w:t xml:space="preserve"> makes payments to both the Australian Broadcasting Corporation (ABC) and the Special Broadcasting Service Corporation (SBS). </w:t>
      </w:r>
      <w:r w:rsidR="00D27047" w:rsidRPr="00A639C1">
        <w:rPr>
          <w:rFonts w:ascii="Arial" w:hAnsi="Arial" w:cs="Arial"/>
          <w:sz w:val="16"/>
          <w:szCs w:val="16"/>
        </w:rPr>
        <w:t xml:space="preserve">The appropriation to the </w:t>
      </w:r>
      <w:r w:rsidR="00AD0BC0" w:rsidRPr="00A639C1">
        <w:rPr>
          <w:rFonts w:ascii="Arial" w:hAnsi="Arial" w:cs="Arial"/>
          <w:sz w:val="16"/>
          <w:szCs w:val="16"/>
        </w:rPr>
        <w:t>Department</w:t>
      </w:r>
      <w:r w:rsidR="00D27047" w:rsidRPr="00A639C1">
        <w:rPr>
          <w:rFonts w:ascii="Arial" w:hAnsi="Arial" w:cs="Arial"/>
          <w:sz w:val="16"/>
          <w:szCs w:val="16"/>
        </w:rPr>
        <w:t xml:space="preserve"> is disclosed in Table A of the appropriations note.</w:t>
      </w:r>
    </w:p>
    <w:p w14:paraId="177EA089" w14:textId="77777777" w:rsidR="00080E78" w:rsidRPr="00A639C1" w:rsidRDefault="00D27047" w:rsidP="00080E78">
      <w:pPr>
        <w:keepNext/>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Loans and Receivables</w:t>
      </w:r>
    </w:p>
    <w:p w14:paraId="6FE16967" w14:textId="77777777" w:rsidR="00080E78" w:rsidRDefault="009B1B30" w:rsidP="00080E78">
      <w:pPr>
        <w:keepNext/>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Loans and receivables are measured at amortised cost using the effective interest method less impairment. Interest is recognised by applying the effective interest rate. The effective interest method is a method of calculating the amortised cost of a financial asset and of allocating interest income over the relevant period. The effective interest rate is the rate that exactly discounts estimated future cash receipts through the expected life of the financial asset, or, where appropriate, a shorter period.</w:t>
      </w:r>
    </w:p>
    <w:p w14:paraId="3595991E" w14:textId="77777777" w:rsidR="007355D6" w:rsidRDefault="00F82AB4" w:rsidP="00EA2CD0">
      <w:pPr>
        <w:shd w:val="clear" w:color="auto" w:fill="BFBFBF" w:themeFill="background1" w:themeFillShade="BF"/>
        <w:spacing w:before="160"/>
        <w:jc w:val="both"/>
        <w:rPr>
          <w:rFonts w:ascii="Arial" w:hAnsi="Arial" w:cs="Arial"/>
          <w:i/>
          <w:sz w:val="16"/>
          <w:szCs w:val="16"/>
        </w:rPr>
      </w:pPr>
      <w:r w:rsidRPr="00A639C1">
        <w:rPr>
          <w:rFonts w:ascii="Arial" w:hAnsi="Arial" w:cs="Arial"/>
          <w:i/>
          <w:sz w:val="16"/>
          <w:szCs w:val="16"/>
        </w:rPr>
        <w:t>Property, Plant and Equipment</w:t>
      </w:r>
    </w:p>
    <w:p w14:paraId="523BC5A7" w14:textId="42E900C1" w:rsidR="00D74A02" w:rsidRPr="00453547" w:rsidRDefault="00D74A02" w:rsidP="00EA2CD0">
      <w:pPr>
        <w:shd w:val="clear" w:color="auto" w:fill="BFBFBF" w:themeFill="background1" w:themeFillShade="BF"/>
        <w:spacing w:before="160"/>
        <w:jc w:val="both"/>
        <w:rPr>
          <w:rFonts w:ascii="Arial" w:hAnsi="Arial" w:cs="Arial"/>
          <w:sz w:val="16"/>
          <w:szCs w:val="16"/>
        </w:rPr>
      </w:pPr>
      <w:r w:rsidRPr="00453547">
        <w:rPr>
          <w:rFonts w:ascii="Arial" w:hAnsi="Arial" w:cs="Arial"/>
          <w:sz w:val="16"/>
          <w:szCs w:val="16"/>
        </w:rPr>
        <w:t>Revaluations</w:t>
      </w:r>
    </w:p>
    <w:p w14:paraId="7602F364" w14:textId="28F2EF5B" w:rsidR="00D74A02" w:rsidRPr="00453547" w:rsidRDefault="00D74A02" w:rsidP="00D74A02">
      <w:pPr>
        <w:shd w:val="clear" w:color="auto" w:fill="BFBFBF" w:themeFill="background1" w:themeFillShade="BF"/>
        <w:spacing w:before="160"/>
        <w:jc w:val="both"/>
        <w:rPr>
          <w:rFonts w:ascii="Arial" w:hAnsi="Arial" w:cs="Arial"/>
          <w:sz w:val="16"/>
          <w:szCs w:val="16"/>
        </w:rPr>
      </w:pPr>
      <w:r w:rsidRPr="00453547">
        <w:rPr>
          <w:rFonts w:ascii="Arial" w:hAnsi="Arial" w:cs="Arial"/>
          <w:sz w:val="16"/>
          <w:szCs w:val="16"/>
        </w:rPr>
        <w:t xml:space="preserve">Fair values for </w:t>
      </w:r>
      <w:r w:rsidR="00A97C7F">
        <w:rPr>
          <w:rFonts w:ascii="Arial" w:hAnsi="Arial" w:cs="Arial"/>
          <w:sz w:val="16"/>
          <w:szCs w:val="16"/>
        </w:rPr>
        <w:t>R</w:t>
      </w:r>
      <w:r w:rsidR="00CA26FD">
        <w:rPr>
          <w:rFonts w:ascii="Arial" w:hAnsi="Arial" w:cs="Arial"/>
          <w:sz w:val="16"/>
          <w:szCs w:val="16"/>
        </w:rPr>
        <w:t xml:space="preserve">egional </w:t>
      </w:r>
      <w:r w:rsidR="00A97C7F">
        <w:rPr>
          <w:rFonts w:ascii="Arial" w:hAnsi="Arial" w:cs="Arial"/>
          <w:sz w:val="16"/>
          <w:szCs w:val="16"/>
        </w:rPr>
        <w:t>B</w:t>
      </w:r>
      <w:r w:rsidR="00CA26FD">
        <w:rPr>
          <w:rFonts w:ascii="Arial" w:hAnsi="Arial" w:cs="Arial"/>
          <w:sz w:val="16"/>
          <w:szCs w:val="16"/>
        </w:rPr>
        <w:t xml:space="preserve">ackbone </w:t>
      </w:r>
      <w:r w:rsidR="00A97C7F">
        <w:rPr>
          <w:rFonts w:ascii="Arial" w:hAnsi="Arial" w:cs="Arial"/>
          <w:sz w:val="16"/>
          <w:szCs w:val="16"/>
        </w:rPr>
        <w:t>B</w:t>
      </w:r>
      <w:r w:rsidR="00CA26FD">
        <w:rPr>
          <w:rFonts w:ascii="Arial" w:hAnsi="Arial" w:cs="Arial"/>
          <w:sz w:val="16"/>
          <w:szCs w:val="16"/>
        </w:rPr>
        <w:t xml:space="preserve">lackspots </w:t>
      </w:r>
      <w:r w:rsidR="00A97C7F">
        <w:rPr>
          <w:rFonts w:ascii="Arial" w:hAnsi="Arial" w:cs="Arial"/>
          <w:sz w:val="16"/>
          <w:szCs w:val="16"/>
        </w:rPr>
        <w:t>P</w:t>
      </w:r>
      <w:r w:rsidR="00CA26FD">
        <w:rPr>
          <w:rFonts w:ascii="Arial" w:hAnsi="Arial" w:cs="Arial"/>
          <w:sz w:val="16"/>
          <w:szCs w:val="16"/>
        </w:rPr>
        <w:t>rogram (RBBP)</w:t>
      </w:r>
      <w:r w:rsidR="00A97C7F">
        <w:rPr>
          <w:rFonts w:ascii="Arial" w:hAnsi="Arial" w:cs="Arial"/>
          <w:sz w:val="16"/>
          <w:szCs w:val="16"/>
        </w:rPr>
        <w:t xml:space="preserve"> </w:t>
      </w:r>
      <w:r w:rsidR="00CA26FD">
        <w:rPr>
          <w:rFonts w:ascii="Arial" w:hAnsi="Arial" w:cs="Arial"/>
          <w:sz w:val="16"/>
          <w:szCs w:val="16"/>
        </w:rPr>
        <w:t xml:space="preserve">network </w:t>
      </w:r>
      <w:r w:rsidR="00A97C7F">
        <w:rPr>
          <w:rFonts w:ascii="Arial" w:hAnsi="Arial" w:cs="Arial"/>
          <w:sz w:val="16"/>
          <w:szCs w:val="16"/>
        </w:rPr>
        <w:t>infrastructure assets</w:t>
      </w:r>
      <w:r w:rsidRPr="00453547">
        <w:rPr>
          <w:rFonts w:ascii="Arial" w:hAnsi="Arial" w:cs="Arial"/>
          <w:sz w:val="16"/>
          <w:szCs w:val="16"/>
        </w:rPr>
        <w:t xml:space="preserve"> under </w:t>
      </w:r>
      <w:r w:rsidR="00A97C7F">
        <w:rPr>
          <w:rFonts w:ascii="Arial" w:hAnsi="Arial" w:cs="Arial"/>
          <w:sz w:val="16"/>
          <w:szCs w:val="16"/>
        </w:rPr>
        <w:t>property, plant and e</w:t>
      </w:r>
      <w:r w:rsidRPr="00453547">
        <w:rPr>
          <w:rFonts w:ascii="Arial" w:hAnsi="Arial" w:cs="Arial"/>
          <w:sz w:val="16"/>
          <w:szCs w:val="16"/>
        </w:rPr>
        <w:t xml:space="preserve">quipment </w:t>
      </w:r>
      <w:r w:rsidR="00A97C7F">
        <w:rPr>
          <w:rFonts w:ascii="Arial" w:hAnsi="Arial" w:cs="Arial"/>
          <w:sz w:val="16"/>
          <w:szCs w:val="16"/>
        </w:rPr>
        <w:t>category</w:t>
      </w:r>
      <w:r w:rsidRPr="00453547">
        <w:rPr>
          <w:rFonts w:ascii="Arial" w:hAnsi="Arial" w:cs="Arial"/>
          <w:sz w:val="16"/>
          <w:szCs w:val="16"/>
        </w:rPr>
        <w:t xml:space="preserve"> are determined based on the depreciated replacement cost</w:t>
      </w:r>
      <w:r w:rsidR="00A97C7F">
        <w:rPr>
          <w:rFonts w:ascii="Arial" w:hAnsi="Arial" w:cs="Arial"/>
          <w:sz w:val="16"/>
          <w:szCs w:val="16"/>
        </w:rPr>
        <w:t xml:space="preserve"> methodology. The methodology is calculated for each individual part of the asset using a price per unit adjusted for inflation, a quantity of each component and a location factor before being aggregated to form the values for each identified component of the assets</w:t>
      </w:r>
      <w:r w:rsidR="00AC2DAD">
        <w:rPr>
          <w:rFonts w:ascii="Arial" w:hAnsi="Arial" w:cs="Arial"/>
          <w:sz w:val="16"/>
          <w:szCs w:val="16"/>
        </w:rPr>
        <w:t xml:space="preserve">: fibre optic cable, CEV shelters and </w:t>
      </w:r>
      <w:proofErr w:type="spellStart"/>
      <w:r w:rsidR="00AC2DAD">
        <w:rPr>
          <w:rFonts w:ascii="Arial" w:hAnsi="Arial" w:cs="Arial"/>
          <w:sz w:val="16"/>
          <w:szCs w:val="16"/>
        </w:rPr>
        <w:t>BPol</w:t>
      </w:r>
      <w:proofErr w:type="spellEnd"/>
      <w:r w:rsidR="00AC2DAD">
        <w:rPr>
          <w:rFonts w:ascii="Arial" w:hAnsi="Arial" w:cs="Arial"/>
          <w:sz w:val="16"/>
          <w:szCs w:val="16"/>
        </w:rPr>
        <w:t xml:space="preserve"> cabinets.</w:t>
      </w:r>
    </w:p>
    <w:p w14:paraId="6A40325F" w14:textId="5B8B2838" w:rsidR="00D74A02" w:rsidRPr="00453547" w:rsidRDefault="00D74A02" w:rsidP="00D74A02">
      <w:pPr>
        <w:shd w:val="clear" w:color="auto" w:fill="BFBFBF" w:themeFill="background1" w:themeFillShade="BF"/>
        <w:spacing w:before="160"/>
        <w:jc w:val="both"/>
        <w:rPr>
          <w:rFonts w:ascii="Arial" w:hAnsi="Arial" w:cs="Arial"/>
          <w:sz w:val="16"/>
          <w:szCs w:val="16"/>
        </w:rPr>
      </w:pPr>
      <w:r w:rsidRPr="00453547">
        <w:rPr>
          <w:rFonts w:ascii="Arial" w:hAnsi="Arial" w:cs="Arial"/>
          <w:sz w:val="16"/>
          <w:szCs w:val="16"/>
        </w:rPr>
        <w:t xml:space="preserve">Revaluation </w:t>
      </w:r>
      <w:r w:rsidR="002D0437" w:rsidRPr="00697D82">
        <w:rPr>
          <w:rFonts w:ascii="Arial" w:hAnsi="Arial" w:cs="Arial"/>
          <w:sz w:val="16"/>
          <w:szCs w:val="16"/>
        </w:rPr>
        <w:t>adjustments</w:t>
      </w:r>
      <w:r w:rsidR="002D0437">
        <w:rPr>
          <w:rFonts w:ascii="Arial" w:hAnsi="Arial" w:cs="Arial"/>
          <w:sz w:val="16"/>
          <w:szCs w:val="16"/>
        </w:rPr>
        <w:t xml:space="preserve"> of RBBP assets </w:t>
      </w:r>
      <w:r w:rsidRPr="00453547">
        <w:rPr>
          <w:rFonts w:ascii="Arial" w:hAnsi="Arial" w:cs="Arial"/>
          <w:sz w:val="16"/>
          <w:szCs w:val="16"/>
        </w:rPr>
        <w:t xml:space="preserve">are made on </w:t>
      </w:r>
      <w:r w:rsidR="002D0437">
        <w:rPr>
          <w:rFonts w:ascii="Arial" w:hAnsi="Arial" w:cs="Arial"/>
          <w:sz w:val="16"/>
          <w:szCs w:val="16"/>
        </w:rPr>
        <w:t xml:space="preserve">a component basis. </w:t>
      </w:r>
      <w:r w:rsidRPr="00453547">
        <w:rPr>
          <w:rFonts w:ascii="Arial" w:hAnsi="Arial" w:cs="Arial"/>
          <w:sz w:val="16"/>
          <w:szCs w:val="16"/>
        </w:rPr>
        <w:t>Any revaluation increment is credited to equity under the heading of asset revaluation reserve except to the extent that it reverses a previous revaluation decrement of the same asset class that was previously recognised through the Statement of Comprehensive Income. Revaluation decrements for a class of assets are recognised directly through the Statement of Comprehensive Income, except to the extent that they reverse a previous revaluation increment for that class.</w:t>
      </w:r>
    </w:p>
    <w:p w14:paraId="5A1A6D89" w14:textId="3BD947D8" w:rsidR="00D74A02" w:rsidRPr="00453547" w:rsidRDefault="00D74A02" w:rsidP="00D74A02">
      <w:pPr>
        <w:shd w:val="clear" w:color="auto" w:fill="BFBFBF" w:themeFill="background1" w:themeFillShade="BF"/>
        <w:spacing w:before="160"/>
        <w:jc w:val="both"/>
        <w:rPr>
          <w:rFonts w:ascii="Arial" w:hAnsi="Arial" w:cs="Arial"/>
          <w:sz w:val="16"/>
          <w:szCs w:val="16"/>
        </w:rPr>
      </w:pPr>
      <w:r w:rsidRPr="00453547">
        <w:rPr>
          <w:rFonts w:ascii="Arial" w:hAnsi="Arial" w:cs="Arial"/>
          <w:sz w:val="16"/>
          <w:szCs w:val="16"/>
        </w:rPr>
        <w:t>Any accumulated depreciation as at the revaluation date is eliminated against the gross carrying amount of the asset and the asset restated to the revalued amount.</w:t>
      </w:r>
    </w:p>
    <w:p w14:paraId="471FE1C0" w14:textId="41A02210" w:rsidR="007355D6" w:rsidRPr="00A639C1" w:rsidRDefault="0095219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Depreciation rates applying to property, plant and equipment are based on a useful life of 25</w:t>
      </w:r>
      <w:r w:rsidR="00EB074B" w:rsidRPr="00A639C1">
        <w:rPr>
          <w:rFonts w:ascii="Arial" w:hAnsi="Arial" w:cs="Arial"/>
          <w:sz w:val="16"/>
          <w:szCs w:val="16"/>
        </w:rPr>
        <w:t>-30</w:t>
      </w:r>
      <w:r w:rsidRPr="00A639C1">
        <w:rPr>
          <w:rFonts w:ascii="Arial" w:hAnsi="Arial" w:cs="Arial"/>
          <w:sz w:val="16"/>
          <w:szCs w:val="16"/>
        </w:rPr>
        <w:t xml:space="preserve"> years (201</w:t>
      </w:r>
      <w:r w:rsidR="00CA3AE0">
        <w:rPr>
          <w:rFonts w:ascii="Arial" w:hAnsi="Arial" w:cs="Arial"/>
          <w:sz w:val="16"/>
          <w:szCs w:val="16"/>
        </w:rPr>
        <w:t>4</w:t>
      </w:r>
      <w:r w:rsidRPr="00A639C1">
        <w:rPr>
          <w:rFonts w:ascii="Arial" w:hAnsi="Arial" w:cs="Arial"/>
          <w:sz w:val="16"/>
          <w:szCs w:val="16"/>
        </w:rPr>
        <w:t>: 25</w:t>
      </w:r>
      <w:r w:rsidR="00EB074B" w:rsidRPr="00A639C1">
        <w:rPr>
          <w:rFonts w:ascii="Arial" w:hAnsi="Arial" w:cs="Arial"/>
          <w:sz w:val="16"/>
          <w:szCs w:val="16"/>
        </w:rPr>
        <w:t>-30</w:t>
      </w:r>
      <w:r w:rsidRPr="00A639C1">
        <w:rPr>
          <w:rFonts w:ascii="Arial" w:hAnsi="Arial" w:cs="Arial"/>
          <w:sz w:val="16"/>
          <w:szCs w:val="16"/>
        </w:rPr>
        <w:t xml:space="preserve"> years).</w:t>
      </w:r>
    </w:p>
    <w:p w14:paraId="2D245207" w14:textId="47592BC1" w:rsidR="00021BB5" w:rsidRPr="00A639C1" w:rsidRDefault="00021BB5">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In 201</w:t>
      </w:r>
      <w:r w:rsidR="00CA3AE0">
        <w:rPr>
          <w:rFonts w:ascii="Arial" w:hAnsi="Arial" w:cs="Arial"/>
          <w:sz w:val="16"/>
          <w:szCs w:val="16"/>
        </w:rPr>
        <w:t>4</w:t>
      </w:r>
      <w:r w:rsidRPr="00A639C1">
        <w:rPr>
          <w:rFonts w:ascii="Arial" w:hAnsi="Arial" w:cs="Arial"/>
          <w:sz w:val="16"/>
          <w:szCs w:val="16"/>
        </w:rPr>
        <w:t>-1</w:t>
      </w:r>
      <w:r w:rsidR="00CA3AE0">
        <w:rPr>
          <w:rFonts w:ascii="Arial" w:hAnsi="Arial" w:cs="Arial"/>
          <w:sz w:val="16"/>
          <w:szCs w:val="16"/>
        </w:rPr>
        <w:t>5</w:t>
      </w:r>
      <w:r w:rsidRPr="00A639C1">
        <w:rPr>
          <w:rFonts w:ascii="Arial" w:hAnsi="Arial" w:cs="Arial"/>
          <w:sz w:val="16"/>
          <w:szCs w:val="16"/>
        </w:rPr>
        <w:t xml:space="preserve">, an independent </w:t>
      </w:r>
      <w:proofErr w:type="spellStart"/>
      <w:r w:rsidRPr="00A639C1">
        <w:rPr>
          <w:rFonts w:ascii="Arial" w:hAnsi="Arial" w:cs="Arial"/>
          <w:sz w:val="16"/>
          <w:szCs w:val="16"/>
        </w:rPr>
        <w:t>valuer</w:t>
      </w:r>
      <w:proofErr w:type="spellEnd"/>
      <w:r w:rsidRPr="00A639C1">
        <w:rPr>
          <w:rFonts w:ascii="Arial" w:hAnsi="Arial" w:cs="Arial"/>
          <w:sz w:val="16"/>
          <w:szCs w:val="16"/>
        </w:rPr>
        <w:t xml:space="preserve"> conducted </w:t>
      </w:r>
      <w:r w:rsidR="0023072B" w:rsidRPr="00A639C1">
        <w:rPr>
          <w:rFonts w:ascii="Arial" w:hAnsi="Arial" w:cs="Arial"/>
          <w:sz w:val="16"/>
          <w:szCs w:val="16"/>
        </w:rPr>
        <w:t>a</w:t>
      </w:r>
      <w:r w:rsidRPr="00A639C1">
        <w:rPr>
          <w:rFonts w:ascii="Arial" w:hAnsi="Arial" w:cs="Arial"/>
          <w:sz w:val="16"/>
          <w:szCs w:val="16"/>
        </w:rPr>
        <w:t xml:space="preserve"> revaluation of these assets as at 3</w:t>
      </w:r>
      <w:r w:rsidR="00F31593">
        <w:rPr>
          <w:rFonts w:ascii="Arial" w:hAnsi="Arial" w:cs="Arial"/>
          <w:sz w:val="16"/>
          <w:szCs w:val="16"/>
        </w:rPr>
        <w:t>1 March</w:t>
      </w:r>
      <w:r w:rsidR="00F5366C" w:rsidRPr="00A639C1">
        <w:rPr>
          <w:rFonts w:ascii="Arial" w:hAnsi="Arial" w:cs="Arial"/>
          <w:sz w:val="16"/>
          <w:szCs w:val="16"/>
        </w:rPr>
        <w:t xml:space="preserve"> </w:t>
      </w:r>
      <w:r w:rsidRPr="00A639C1">
        <w:rPr>
          <w:rFonts w:ascii="Arial" w:hAnsi="Arial" w:cs="Arial"/>
          <w:sz w:val="16"/>
          <w:szCs w:val="16"/>
        </w:rPr>
        <w:t>201</w:t>
      </w:r>
      <w:r w:rsidR="00CA3AE0">
        <w:rPr>
          <w:rFonts w:ascii="Arial" w:hAnsi="Arial" w:cs="Arial"/>
          <w:sz w:val="16"/>
          <w:szCs w:val="16"/>
        </w:rPr>
        <w:t>5</w:t>
      </w:r>
      <w:r w:rsidRPr="00A639C1">
        <w:rPr>
          <w:rFonts w:ascii="Arial" w:hAnsi="Arial" w:cs="Arial"/>
          <w:sz w:val="16"/>
          <w:szCs w:val="16"/>
        </w:rPr>
        <w:t xml:space="preserve">. </w:t>
      </w:r>
    </w:p>
    <w:p w14:paraId="656B90C3" w14:textId="77777777" w:rsidR="007355D6" w:rsidRPr="00A639C1" w:rsidRDefault="0095219D">
      <w:pPr>
        <w:shd w:val="clear" w:color="auto" w:fill="BFBFBF" w:themeFill="background1" w:themeFillShade="BF"/>
        <w:spacing w:before="160" w:after="160"/>
        <w:jc w:val="both"/>
        <w:rPr>
          <w:rFonts w:ascii="Arial" w:hAnsi="Arial" w:cs="Arial"/>
          <w:i/>
          <w:sz w:val="16"/>
          <w:szCs w:val="16"/>
        </w:rPr>
      </w:pPr>
      <w:r w:rsidRPr="00A639C1">
        <w:rPr>
          <w:rFonts w:ascii="Arial" w:hAnsi="Arial" w:cs="Arial"/>
          <w:i/>
          <w:sz w:val="16"/>
          <w:szCs w:val="16"/>
        </w:rPr>
        <w:t>Inventories</w:t>
      </w:r>
    </w:p>
    <w:p w14:paraId="6A9D67D9" w14:textId="77777777" w:rsidR="00823DD8" w:rsidRPr="00A639C1" w:rsidRDefault="0095219D">
      <w:pPr>
        <w:shd w:val="clear" w:color="auto" w:fill="BFBFBF" w:themeFill="background1" w:themeFillShade="BF"/>
        <w:spacing w:before="160" w:after="160"/>
        <w:jc w:val="both"/>
        <w:rPr>
          <w:rFonts w:ascii="Arial" w:hAnsi="Arial" w:cs="Arial"/>
          <w:sz w:val="16"/>
          <w:szCs w:val="16"/>
        </w:rPr>
      </w:pPr>
      <w:r w:rsidRPr="00A639C1">
        <w:rPr>
          <w:rFonts w:ascii="Arial" w:hAnsi="Arial" w:cs="Arial"/>
          <w:sz w:val="16"/>
          <w:szCs w:val="16"/>
        </w:rPr>
        <w:t>Inventories held for distribution are valued at cost, adjusted for any loss of service potential.</w:t>
      </w:r>
    </w:p>
    <w:p w14:paraId="7C0E07F2" w14:textId="1DA68AFB" w:rsidR="002B47C8" w:rsidRPr="00A639C1" w:rsidRDefault="0095219D" w:rsidP="002B47C8">
      <w:pPr>
        <w:spacing w:before="200" w:after="200"/>
        <w:rPr>
          <w:rFonts w:ascii="Arial" w:hAnsi="Arial" w:cs="Arial"/>
          <w:b/>
          <w:sz w:val="16"/>
          <w:szCs w:val="16"/>
        </w:rPr>
      </w:pPr>
      <w:r w:rsidRPr="00AE0BE7">
        <w:rPr>
          <w:rFonts w:ascii="Arial" w:hAnsi="Arial" w:cs="Arial"/>
          <w:b/>
          <w:sz w:val="16"/>
          <w:szCs w:val="16"/>
          <w:highlight w:val="yellow"/>
        </w:rPr>
        <w:lastRenderedPageBreak/>
        <w:br/>
      </w:r>
      <w:r w:rsidR="00A97B80" w:rsidRPr="00A639C1">
        <w:rPr>
          <w:rFonts w:ascii="Arial" w:hAnsi="Arial" w:cs="Arial"/>
          <w:b/>
          <w:sz w:val="16"/>
          <w:szCs w:val="16"/>
        </w:rPr>
        <w:t>N</w:t>
      </w:r>
      <w:r w:rsidR="00C94184" w:rsidRPr="00A639C1">
        <w:rPr>
          <w:rFonts w:ascii="Arial" w:hAnsi="Arial" w:cs="Arial"/>
          <w:b/>
          <w:sz w:val="16"/>
          <w:szCs w:val="16"/>
        </w:rPr>
        <w:t>OTE</w:t>
      </w:r>
      <w:r w:rsidR="00A97B80" w:rsidRPr="00A639C1">
        <w:rPr>
          <w:rFonts w:ascii="Arial" w:hAnsi="Arial" w:cs="Arial"/>
          <w:b/>
          <w:sz w:val="16"/>
          <w:szCs w:val="16"/>
        </w:rPr>
        <w:t xml:space="preserve"> 2: Events after the </w:t>
      </w:r>
      <w:r w:rsidR="00FE3436" w:rsidRPr="00A639C1">
        <w:rPr>
          <w:rFonts w:ascii="Arial" w:hAnsi="Arial" w:cs="Arial"/>
          <w:b/>
          <w:sz w:val="16"/>
          <w:szCs w:val="16"/>
        </w:rPr>
        <w:t>Reporting Period</w:t>
      </w:r>
    </w:p>
    <w:p w14:paraId="43BE61CA" w14:textId="5CC290D3" w:rsidR="005964DD" w:rsidRDefault="005E1919" w:rsidP="00453547">
      <w:pPr>
        <w:spacing w:before="200" w:after="200"/>
        <w:rPr>
          <w:rFonts w:ascii="Arial" w:hAnsi="Arial" w:cs="Arial"/>
          <w:sz w:val="16"/>
          <w:szCs w:val="16"/>
        </w:rPr>
      </w:pPr>
      <w:r w:rsidRPr="00A639C1">
        <w:rPr>
          <w:rFonts w:ascii="Arial" w:hAnsi="Arial" w:cs="Arial"/>
          <w:b/>
          <w:sz w:val="16"/>
          <w:szCs w:val="16"/>
        </w:rPr>
        <w:t>Departmental</w:t>
      </w:r>
      <w:r w:rsidRPr="00A639C1">
        <w:rPr>
          <w:rFonts w:ascii="Arial" w:hAnsi="Arial" w:cs="Arial"/>
          <w:b/>
          <w:sz w:val="16"/>
          <w:szCs w:val="16"/>
        </w:rPr>
        <w:br/>
      </w:r>
      <w:r w:rsidR="005E006B">
        <w:rPr>
          <w:rFonts w:ascii="Arial" w:hAnsi="Arial" w:cs="Arial"/>
          <w:sz w:val="16"/>
          <w:szCs w:val="16"/>
        </w:rPr>
        <w:t xml:space="preserve">The </w:t>
      </w:r>
      <w:r w:rsidR="009C7BE8">
        <w:rPr>
          <w:rFonts w:ascii="Arial" w:hAnsi="Arial" w:cs="Arial"/>
          <w:sz w:val="16"/>
          <w:szCs w:val="16"/>
        </w:rPr>
        <w:t xml:space="preserve">Telecommunications Universal Service Management Agency (TUSMA) </w:t>
      </w:r>
      <w:r w:rsidR="005E006B">
        <w:rPr>
          <w:rFonts w:ascii="Arial" w:hAnsi="Arial" w:cs="Arial"/>
          <w:sz w:val="16"/>
          <w:szCs w:val="16"/>
        </w:rPr>
        <w:t xml:space="preserve">was </w:t>
      </w:r>
      <w:r w:rsidR="00A92C64">
        <w:rPr>
          <w:rFonts w:ascii="Arial" w:hAnsi="Arial" w:cs="Arial"/>
          <w:sz w:val="16"/>
          <w:szCs w:val="16"/>
        </w:rPr>
        <w:t>transitioned to the Department on 1 July 2015</w:t>
      </w:r>
      <w:r w:rsidR="009C7BE8">
        <w:rPr>
          <w:rFonts w:ascii="Arial" w:hAnsi="Arial" w:cs="Arial"/>
          <w:sz w:val="16"/>
          <w:szCs w:val="16"/>
        </w:rPr>
        <w:t xml:space="preserve">. </w:t>
      </w:r>
      <w:r w:rsidR="004E4ECD">
        <w:rPr>
          <w:rFonts w:ascii="Arial" w:hAnsi="Arial" w:cs="Arial"/>
          <w:sz w:val="16"/>
          <w:szCs w:val="16"/>
        </w:rPr>
        <w:t xml:space="preserve">The functions include the administration of the telecommunications universal service obligation, which provides for services such as public payphones and the National Relay Service for the hearing impaired. </w:t>
      </w:r>
      <w:r w:rsidR="00F620F9">
        <w:rPr>
          <w:rFonts w:ascii="Arial" w:hAnsi="Arial" w:cs="Arial"/>
          <w:sz w:val="16"/>
          <w:szCs w:val="16"/>
        </w:rPr>
        <w:t xml:space="preserve">The reform is part of the </w:t>
      </w:r>
      <w:r w:rsidR="00F620F9" w:rsidRPr="00F620F9">
        <w:rPr>
          <w:rFonts w:ascii="Arial" w:hAnsi="Arial" w:cs="Arial"/>
          <w:sz w:val="16"/>
          <w:szCs w:val="16"/>
        </w:rPr>
        <w:t xml:space="preserve">Government’s </w:t>
      </w:r>
      <w:r w:rsidR="00F620F9" w:rsidRPr="00FC3C87">
        <w:rPr>
          <w:rFonts w:ascii="Arial" w:hAnsi="Arial" w:cs="Arial"/>
          <w:i/>
          <w:sz w:val="16"/>
          <w:szCs w:val="16"/>
        </w:rPr>
        <w:t>Smaller Government Reform Agenda</w:t>
      </w:r>
      <w:r w:rsidR="00F620F9">
        <w:rPr>
          <w:rFonts w:ascii="Arial" w:hAnsi="Arial" w:cs="Arial"/>
          <w:i/>
          <w:sz w:val="16"/>
          <w:szCs w:val="16"/>
        </w:rPr>
        <w:t xml:space="preserve">, </w:t>
      </w:r>
      <w:r w:rsidR="00F620F9" w:rsidRPr="00FC3C87">
        <w:rPr>
          <w:rFonts w:ascii="Arial" w:hAnsi="Arial" w:cs="Arial"/>
          <w:sz w:val="16"/>
          <w:szCs w:val="16"/>
        </w:rPr>
        <w:t xml:space="preserve">which was announced in the 2014-15 Budget in order to streamline the delivery of public services. </w:t>
      </w:r>
    </w:p>
    <w:p w14:paraId="79BA4A76" w14:textId="64FA316F" w:rsidR="005964DD" w:rsidRDefault="005964DD" w:rsidP="00703115">
      <w:pPr>
        <w:rPr>
          <w:rFonts w:ascii="Arial" w:hAnsi="Arial" w:cs="Arial"/>
          <w:sz w:val="16"/>
          <w:szCs w:val="16"/>
        </w:rPr>
      </w:pPr>
      <w:r>
        <w:rPr>
          <w:rFonts w:ascii="Arial" w:hAnsi="Arial" w:cs="Arial"/>
          <w:sz w:val="16"/>
          <w:szCs w:val="16"/>
        </w:rPr>
        <w:t xml:space="preserve">The Digital Transformation Office </w:t>
      </w:r>
      <w:r w:rsidR="006B2D37">
        <w:rPr>
          <w:rFonts w:ascii="Arial" w:hAnsi="Arial" w:cs="Arial"/>
          <w:sz w:val="16"/>
          <w:szCs w:val="16"/>
        </w:rPr>
        <w:t xml:space="preserve">(DTO) </w:t>
      </w:r>
      <w:r>
        <w:rPr>
          <w:rFonts w:ascii="Arial" w:hAnsi="Arial" w:cs="Arial"/>
          <w:sz w:val="16"/>
          <w:szCs w:val="16"/>
        </w:rPr>
        <w:t xml:space="preserve">was established </w:t>
      </w:r>
      <w:r w:rsidR="00D56C04">
        <w:rPr>
          <w:rFonts w:ascii="Arial" w:hAnsi="Arial" w:cs="Arial"/>
          <w:sz w:val="16"/>
          <w:szCs w:val="16"/>
        </w:rPr>
        <w:t xml:space="preserve">as a separate </w:t>
      </w:r>
      <w:r w:rsidR="00BB4F96">
        <w:rPr>
          <w:rFonts w:ascii="Arial" w:hAnsi="Arial" w:cs="Arial"/>
          <w:sz w:val="16"/>
          <w:szCs w:val="16"/>
        </w:rPr>
        <w:t xml:space="preserve">portfolio </w:t>
      </w:r>
      <w:r w:rsidR="00D56C04">
        <w:rPr>
          <w:rFonts w:ascii="Arial" w:hAnsi="Arial" w:cs="Arial"/>
          <w:sz w:val="16"/>
          <w:szCs w:val="16"/>
        </w:rPr>
        <w:t xml:space="preserve">agency </w:t>
      </w:r>
      <w:r>
        <w:rPr>
          <w:rFonts w:ascii="Arial" w:hAnsi="Arial" w:cs="Arial"/>
          <w:sz w:val="16"/>
          <w:szCs w:val="16"/>
        </w:rPr>
        <w:t>and commenced operation on 1 July 2015</w:t>
      </w:r>
      <w:r w:rsidR="00D56C04">
        <w:rPr>
          <w:rFonts w:ascii="Arial" w:hAnsi="Arial" w:cs="Arial"/>
          <w:sz w:val="16"/>
          <w:szCs w:val="16"/>
        </w:rPr>
        <w:t>. It</w:t>
      </w:r>
      <w:r w:rsidR="0058563E">
        <w:rPr>
          <w:rFonts w:ascii="Arial" w:hAnsi="Arial" w:cs="Arial"/>
          <w:sz w:val="16"/>
          <w:szCs w:val="16"/>
        </w:rPr>
        <w:t xml:space="preserve"> </w:t>
      </w:r>
      <w:r>
        <w:rPr>
          <w:rFonts w:ascii="Arial" w:hAnsi="Arial" w:cs="Arial"/>
          <w:sz w:val="16"/>
          <w:szCs w:val="16"/>
        </w:rPr>
        <w:t>forms part of the Communications Portfolio from that date.</w:t>
      </w:r>
    </w:p>
    <w:p w14:paraId="03174F72" w14:textId="77777777" w:rsidR="00C22CD8" w:rsidRDefault="00C22CD8" w:rsidP="00703115">
      <w:pPr>
        <w:rPr>
          <w:rFonts w:ascii="Arial" w:hAnsi="Arial" w:cs="Arial"/>
          <w:sz w:val="16"/>
          <w:szCs w:val="16"/>
        </w:rPr>
      </w:pPr>
    </w:p>
    <w:p w14:paraId="304F7778" w14:textId="2A32A264" w:rsidR="00C22CD8" w:rsidRPr="00F620F9" w:rsidRDefault="00C22CD8" w:rsidP="00703115">
      <w:pPr>
        <w:rPr>
          <w:rFonts w:ascii="Arial" w:hAnsi="Arial" w:cs="Arial"/>
          <w:sz w:val="16"/>
          <w:szCs w:val="16"/>
        </w:rPr>
      </w:pPr>
      <w:r w:rsidRPr="00C22CD8">
        <w:rPr>
          <w:rFonts w:ascii="Arial" w:hAnsi="Arial" w:cs="Arial"/>
          <w:sz w:val="16"/>
          <w:szCs w:val="16"/>
        </w:rPr>
        <w:t>There are no other events that occurred after reporting date that would materially affect the d</w:t>
      </w:r>
      <w:r w:rsidR="00374997">
        <w:rPr>
          <w:rFonts w:ascii="Arial" w:hAnsi="Arial" w:cs="Arial"/>
          <w:sz w:val="16"/>
          <w:szCs w:val="16"/>
        </w:rPr>
        <w:t>epartmental</w:t>
      </w:r>
      <w:r w:rsidRPr="00C22CD8">
        <w:rPr>
          <w:rFonts w:ascii="Arial" w:hAnsi="Arial" w:cs="Arial"/>
          <w:sz w:val="16"/>
          <w:szCs w:val="16"/>
        </w:rPr>
        <w:t xml:space="preserve"> financial statements.</w:t>
      </w:r>
    </w:p>
    <w:p w14:paraId="7CA33FC8" w14:textId="506CB9D2" w:rsidR="009C7BE8" w:rsidRDefault="005E1919" w:rsidP="005E1919">
      <w:pPr>
        <w:shd w:val="clear" w:color="auto" w:fill="BFBFBF" w:themeFill="background1" w:themeFillShade="BF"/>
        <w:spacing w:before="160" w:after="160"/>
        <w:jc w:val="both"/>
        <w:rPr>
          <w:rFonts w:ascii="Arial" w:hAnsi="Arial" w:cs="Arial"/>
          <w:sz w:val="16"/>
          <w:szCs w:val="16"/>
        </w:rPr>
      </w:pPr>
      <w:r w:rsidRPr="005B5FA7">
        <w:rPr>
          <w:rFonts w:ascii="Arial" w:hAnsi="Arial" w:cs="Arial"/>
          <w:b/>
          <w:sz w:val="16"/>
          <w:szCs w:val="16"/>
        </w:rPr>
        <w:t>Administered</w:t>
      </w:r>
      <w:r w:rsidRPr="005B5FA7">
        <w:rPr>
          <w:rFonts w:ascii="Arial" w:hAnsi="Arial" w:cs="Arial"/>
          <w:sz w:val="16"/>
          <w:szCs w:val="16"/>
        </w:rPr>
        <w:br/>
      </w:r>
      <w:r w:rsidR="009C7BE8" w:rsidRPr="009C7BE8">
        <w:rPr>
          <w:rFonts w:ascii="Arial" w:hAnsi="Arial" w:cs="Arial"/>
          <w:sz w:val="16"/>
          <w:szCs w:val="16"/>
        </w:rPr>
        <w:t xml:space="preserve">The Telecommunications Universal Service Management Agency (TUSMA) </w:t>
      </w:r>
      <w:r w:rsidR="005E006B">
        <w:rPr>
          <w:rFonts w:ascii="Arial" w:hAnsi="Arial" w:cs="Arial"/>
          <w:sz w:val="16"/>
          <w:szCs w:val="16"/>
        </w:rPr>
        <w:t xml:space="preserve">was </w:t>
      </w:r>
      <w:r w:rsidR="00732EE1">
        <w:rPr>
          <w:rFonts w:ascii="Arial" w:hAnsi="Arial" w:cs="Arial"/>
          <w:sz w:val="16"/>
          <w:szCs w:val="16"/>
        </w:rPr>
        <w:t>transitioned</w:t>
      </w:r>
      <w:r w:rsidR="005E006B">
        <w:rPr>
          <w:rFonts w:ascii="Arial" w:hAnsi="Arial" w:cs="Arial"/>
          <w:sz w:val="16"/>
          <w:szCs w:val="16"/>
        </w:rPr>
        <w:t xml:space="preserve"> on 1 July 2015 with its functions </w:t>
      </w:r>
      <w:r w:rsidR="009C7BE8" w:rsidRPr="009C7BE8">
        <w:rPr>
          <w:rFonts w:ascii="Arial" w:hAnsi="Arial" w:cs="Arial"/>
          <w:sz w:val="16"/>
          <w:szCs w:val="16"/>
        </w:rPr>
        <w:t xml:space="preserve">transferred to the </w:t>
      </w:r>
      <w:r w:rsidR="00C22CD8" w:rsidRPr="009C7BE8">
        <w:rPr>
          <w:rFonts w:ascii="Arial" w:hAnsi="Arial" w:cs="Arial"/>
          <w:sz w:val="16"/>
          <w:szCs w:val="16"/>
        </w:rPr>
        <w:t>Department</w:t>
      </w:r>
      <w:r w:rsidR="00C22CD8">
        <w:rPr>
          <w:rFonts w:ascii="Arial" w:hAnsi="Arial" w:cs="Arial"/>
          <w:sz w:val="16"/>
          <w:szCs w:val="16"/>
        </w:rPr>
        <w:t>.</w:t>
      </w:r>
      <w:r w:rsidR="00C22CD8" w:rsidRPr="008742F0">
        <w:rPr>
          <w:rFonts w:ascii="Arial" w:hAnsi="Arial" w:cs="Arial"/>
          <w:sz w:val="16"/>
          <w:szCs w:val="16"/>
        </w:rPr>
        <w:t xml:space="preserve"> The</w:t>
      </w:r>
      <w:r w:rsidR="008742F0" w:rsidRPr="008742F0">
        <w:rPr>
          <w:rFonts w:ascii="Arial" w:hAnsi="Arial" w:cs="Arial"/>
          <w:sz w:val="16"/>
          <w:szCs w:val="16"/>
        </w:rPr>
        <w:t xml:space="preserve"> functions include the administration of the telecommunications universal service obligation, which provides for services such as public payphones and the National Relay Service for the hearing impaired. The reform is part of the Government’s </w:t>
      </w:r>
      <w:r w:rsidR="008742F0" w:rsidRPr="00E60D15">
        <w:rPr>
          <w:rFonts w:ascii="Arial" w:hAnsi="Arial" w:cs="Arial"/>
          <w:i/>
          <w:sz w:val="16"/>
          <w:szCs w:val="16"/>
        </w:rPr>
        <w:t>Smaller Government Reform Agenda</w:t>
      </w:r>
      <w:r w:rsidR="008742F0" w:rsidRPr="008742F0">
        <w:rPr>
          <w:rFonts w:ascii="Arial" w:hAnsi="Arial" w:cs="Arial"/>
          <w:sz w:val="16"/>
          <w:szCs w:val="16"/>
        </w:rPr>
        <w:t>, which was announced in the 2014-15 Budget in order to streamline the delivery of public services.</w:t>
      </w:r>
    </w:p>
    <w:p w14:paraId="053DE38F" w14:textId="47977D26" w:rsidR="00C22CD8" w:rsidRPr="009C7BE8" w:rsidRDefault="00C22CD8" w:rsidP="005E1919">
      <w:pPr>
        <w:shd w:val="clear" w:color="auto" w:fill="BFBFBF" w:themeFill="background1" w:themeFillShade="BF"/>
        <w:spacing w:before="160" w:after="160"/>
        <w:jc w:val="both"/>
        <w:rPr>
          <w:rFonts w:ascii="Arial" w:hAnsi="Arial" w:cs="Arial"/>
          <w:sz w:val="16"/>
          <w:szCs w:val="16"/>
        </w:rPr>
      </w:pPr>
      <w:r>
        <w:rPr>
          <w:rFonts w:ascii="Arial" w:hAnsi="Arial" w:cs="Arial"/>
          <w:sz w:val="16"/>
          <w:szCs w:val="16"/>
        </w:rPr>
        <w:t xml:space="preserve">There are no other events that occurred after reporting date that would materially affect the administered financial statements. </w:t>
      </w:r>
    </w:p>
    <w:sectPr w:rsidR="00C22CD8" w:rsidRPr="009C7BE8" w:rsidSect="00417B0F">
      <w:headerReference w:type="default" r:id="rId8"/>
      <w:pgSz w:w="11906" w:h="16838" w:code="9"/>
      <w:pgMar w:top="1440" w:right="1080" w:bottom="1440" w:left="1080" w:header="116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45E66" w14:textId="77777777" w:rsidR="006C6F87" w:rsidRDefault="006C6F87">
      <w:r>
        <w:separator/>
      </w:r>
    </w:p>
  </w:endnote>
  <w:endnote w:type="continuationSeparator" w:id="0">
    <w:p w14:paraId="71D611CA" w14:textId="77777777" w:rsidR="006C6F87" w:rsidRDefault="006C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8E3DE" w14:textId="77777777" w:rsidR="006C6F87" w:rsidRDefault="006C6F87">
      <w:r>
        <w:separator/>
      </w:r>
    </w:p>
  </w:footnote>
  <w:footnote w:type="continuationSeparator" w:id="0">
    <w:p w14:paraId="6086E2E7" w14:textId="77777777" w:rsidR="006C6F87" w:rsidRDefault="006C6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44309" w14:textId="77777777" w:rsidR="00095D96" w:rsidRPr="00A43A29" w:rsidRDefault="00095D96" w:rsidP="00711632">
    <w:pPr>
      <w:rPr>
        <w:rFonts w:ascii="Arial" w:hAnsi="Arial" w:cs="Arial"/>
        <w:b/>
        <w:sz w:val="16"/>
        <w:szCs w:val="16"/>
      </w:rPr>
    </w:pPr>
    <w:r w:rsidRPr="00A43A29">
      <w:rPr>
        <w:rFonts w:ascii="Arial" w:hAnsi="Arial" w:cs="Arial"/>
        <w:b/>
        <w:sz w:val="16"/>
        <w:szCs w:val="16"/>
      </w:rPr>
      <w:t>Department of Communications</w:t>
    </w:r>
  </w:p>
  <w:p w14:paraId="761CBA96" w14:textId="77777777" w:rsidR="00095D96" w:rsidRPr="00A43A29" w:rsidRDefault="00095D96" w:rsidP="00711632">
    <w:pPr>
      <w:rPr>
        <w:rFonts w:ascii="Arial" w:hAnsi="Arial" w:cs="Arial"/>
        <w:b/>
        <w:sz w:val="16"/>
        <w:szCs w:val="16"/>
      </w:rPr>
    </w:pPr>
    <w:r w:rsidRPr="00A43A29">
      <w:rPr>
        <w:rFonts w:ascii="Arial" w:hAnsi="Arial" w:cs="Arial"/>
        <w:b/>
        <w:sz w:val="16"/>
        <w:szCs w:val="16"/>
      </w:rPr>
      <w:t>NOTES TO AND FORMING PART OF THE FINANCIAL STATEMENTS</w:t>
    </w:r>
  </w:p>
  <w:p w14:paraId="472EF252" w14:textId="5660BBA7" w:rsidR="00095D96" w:rsidRPr="00294E88" w:rsidRDefault="00095D96" w:rsidP="00A43A29">
    <w:pPr>
      <w:pBdr>
        <w:bottom w:val="single" w:sz="4" w:space="1" w:color="auto"/>
      </w:pBdr>
      <w:rPr>
        <w:rFonts w:ascii="Arial" w:hAnsi="Arial" w:cs="Arial"/>
        <w:i/>
        <w:sz w:val="16"/>
        <w:szCs w:val="16"/>
      </w:rPr>
    </w:pPr>
    <w:proofErr w:type="gramStart"/>
    <w:r w:rsidRPr="00723E4F">
      <w:rPr>
        <w:rFonts w:ascii="Arial" w:hAnsi="Arial" w:cs="Arial"/>
        <w:i/>
        <w:sz w:val="16"/>
        <w:szCs w:val="16"/>
      </w:rPr>
      <w:t>for</w:t>
    </w:r>
    <w:proofErr w:type="gramEnd"/>
    <w:r w:rsidRPr="00723E4F">
      <w:rPr>
        <w:rFonts w:ascii="Arial" w:hAnsi="Arial" w:cs="Arial"/>
        <w:i/>
        <w:sz w:val="16"/>
        <w:szCs w:val="16"/>
      </w:rPr>
      <w:t xml:space="preserve"> the </w:t>
    </w:r>
    <w:r w:rsidR="00356DEB">
      <w:rPr>
        <w:rFonts w:ascii="Arial" w:hAnsi="Arial" w:cs="Arial"/>
        <w:i/>
        <w:sz w:val="16"/>
        <w:szCs w:val="16"/>
      </w:rPr>
      <w:t>year</w:t>
    </w:r>
    <w:r w:rsidRPr="00723E4F">
      <w:rPr>
        <w:rFonts w:ascii="Arial" w:hAnsi="Arial" w:cs="Arial"/>
        <w:i/>
        <w:sz w:val="16"/>
        <w:szCs w:val="16"/>
      </w:rPr>
      <w:t xml:space="preserve"> ended </w:t>
    </w:r>
    <w:r>
      <w:rPr>
        <w:rFonts w:ascii="Arial" w:hAnsi="Arial" w:cs="Arial"/>
        <w:i/>
        <w:sz w:val="16"/>
        <w:szCs w:val="16"/>
      </w:rPr>
      <w:t>30 June  201</w:t>
    </w:r>
    <w:r w:rsidR="00381285">
      <w:rPr>
        <w:rFonts w:ascii="Arial" w:hAnsi="Arial" w:cs="Arial"/>
        <w:i/>
        <w:sz w:val="16"/>
        <w:szCs w:val="16"/>
      </w:rPr>
      <w:t>5</w:t>
    </w:r>
  </w:p>
  <w:p w14:paraId="6F1307EE" w14:textId="77777777" w:rsidR="00095D96" w:rsidRPr="00B3662E" w:rsidRDefault="00095D96">
    <w:pPr>
      <w:pStyle w:val="Header"/>
      <w:rPr>
        <w:rFonts w:ascii="Arial Narrow" w:hAnsi="Arial Narrow"/>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50C6"/>
    <w:multiLevelType w:val="hybridMultilevel"/>
    <w:tmpl w:val="ED244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9B6ABE"/>
    <w:multiLevelType w:val="hybridMultilevel"/>
    <w:tmpl w:val="727465F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673A1"/>
    <w:multiLevelType w:val="hybridMultilevel"/>
    <w:tmpl w:val="749AA42E"/>
    <w:lvl w:ilvl="0" w:tplc="9112C45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B29AC"/>
    <w:multiLevelType w:val="hybridMultilevel"/>
    <w:tmpl w:val="3618B4D0"/>
    <w:lvl w:ilvl="0" w:tplc="9EBE507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14D1E"/>
    <w:multiLevelType w:val="hybridMultilevel"/>
    <w:tmpl w:val="7A3490E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82C77A2"/>
    <w:multiLevelType w:val="hybridMultilevel"/>
    <w:tmpl w:val="3B52272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A4A3EE4"/>
    <w:multiLevelType w:val="multilevel"/>
    <w:tmpl w:val="35AC747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ADB0613"/>
    <w:multiLevelType w:val="hybridMultilevel"/>
    <w:tmpl w:val="09E4BAB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D47746"/>
    <w:multiLevelType w:val="hybridMultilevel"/>
    <w:tmpl w:val="36BA04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840141"/>
    <w:multiLevelType w:val="hybridMultilevel"/>
    <w:tmpl w:val="A0B4B7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D11573"/>
    <w:multiLevelType w:val="multilevel"/>
    <w:tmpl w:val="35AC747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9195347"/>
    <w:multiLevelType w:val="hybridMultilevel"/>
    <w:tmpl w:val="1464A7D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E4437B"/>
    <w:multiLevelType w:val="hybridMultilevel"/>
    <w:tmpl w:val="B9D84C48"/>
    <w:lvl w:ilvl="0" w:tplc="9EBE507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435D61"/>
    <w:multiLevelType w:val="hybridMultilevel"/>
    <w:tmpl w:val="E946C970"/>
    <w:lvl w:ilvl="0" w:tplc="6464B0B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894C4E"/>
    <w:multiLevelType w:val="hybridMultilevel"/>
    <w:tmpl w:val="9128555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474EF0"/>
    <w:multiLevelType w:val="hybridMultilevel"/>
    <w:tmpl w:val="EE98DA3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6C1A02"/>
    <w:multiLevelType w:val="hybridMultilevel"/>
    <w:tmpl w:val="D090BD1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1C97EFE"/>
    <w:multiLevelType w:val="multilevel"/>
    <w:tmpl w:val="B09836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0742BA"/>
    <w:multiLevelType w:val="hybridMultilevel"/>
    <w:tmpl w:val="FA68EB7C"/>
    <w:lvl w:ilvl="0" w:tplc="E1B0D9F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403783"/>
    <w:multiLevelType w:val="hybridMultilevel"/>
    <w:tmpl w:val="0DE21B34"/>
    <w:lvl w:ilvl="0" w:tplc="720A77F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AB5076"/>
    <w:multiLevelType w:val="hybridMultilevel"/>
    <w:tmpl w:val="288E3B1E"/>
    <w:lvl w:ilvl="0" w:tplc="9EBE507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33657"/>
    <w:multiLevelType w:val="hybridMultilevel"/>
    <w:tmpl w:val="7CC4DC0E"/>
    <w:lvl w:ilvl="0" w:tplc="A4A274C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DF23D5"/>
    <w:multiLevelType w:val="hybridMultilevel"/>
    <w:tmpl w:val="A526131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B312A2"/>
    <w:multiLevelType w:val="hybridMultilevel"/>
    <w:tmpl w:val="1C309CE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9C04C3"/>
    <w:multiLevelType w:val="multilevel"/>
    <w:tmpl w:val="C3A046A8"/>
    <w:lvl w:ilvl="0">
      <w:start w:val="1"/>
      <w:numFmt w:val="decimal"/>
      <w:lvlText w:val="%1"/>
      <w:lvlJc w:val="left"/>
      <w:pPr>
        <w:tabs>
          <w:tab w:val="num" w:pos="600"/>
        </w:tabs>
        <w:ind w:left="600" w:hanging="600"/>
      </w:pPr>
      <w:rPr>
        <w:rFonts w:hint="default"/>
      </w:rPr>
    </w:lvl>
    <w:lvl w:ilvl="1">
      <w:start w:val="20"/>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F800E96"/>
    <w:multiLevelType w:val="hybridMultilevel"/>
    <w:tmpl w:val="80DE3BBC"/>
    <w:lvl w:ilvl="0" w:tplc="9EBE507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34FF5"/>
    <w:multiLevelType w:val="hybridMultilevel"/>
    <w:tmpl w:val="6B38B29E"/>
    <w:lvl w:ilvl="0" w:tplc="9EBE507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5B5D9D"/>
    <w:multiLevelType w:val="hybridMultilevel"/>
    <w:tmpl w:val="4BA211E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E4F1B0A"/>
    <w:multiLevelType w:val="hybridMultilevel"/>
    <w:tmpl w:val="866425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E13D16"/>
    <w:multiLevelType w:val="hybridMultilevel"/>
    <w:tmpl w:val="70CA61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58D7196"/>
    <w:multiLevelType w:val="multilevel"/>
    <w:tmpl w:val="D5D4CB96"/>
    <w:lvl w:ilvl="0">
      <w:start w:val="1"/>
      <w:numFmt w:val="decimal"/>
      <w:lvlText w:val="%1"/>
      <w:lvlJc w:val="left"/>
      <w:pPr>
        <w:tabs>
          <w:tab w:val="num" w:pos="420"/>
        </w:tabs>
        <w:ind w:left="420" w:hanging="420"/>
      </w:pPr>
      <w:rPr>
        <w:rFonts w:hint="default"/>
      </w:rPr>
    </w:lvl>
    <w:lvl w:ilvl="1">
      <w:start w:val="24"/>
      <w:numFmt w:val="decimal"/>
      <w:lvlText w:val="%1.%2"/>
      <w:lvlJc w:val="left"/>
      <w:pPr>
        <w:tabs>
          <w:tab w:val="num" w:pos="600"/>
        </w:tabs>
        <w:ind w:left="600" w:hanging="4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1" w15:restartNumberingAfterBreak="0">
    <w:nsid w:val="79A463C7"/>
    <w:multiLevelType w:val="hybridMultilevel"/>
    <w:tmpl w:val="3AC870CA"/>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601C2B"/>
    <w:multiLevelType w:val="hybridMultilevel"/>
    <w:tmpl w:val="A192F11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D601C70"/>
    <w:multiLevelType w:val="hybridMultilevel"/>
    <w:tmpl w:val="3AF8B23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33"/>
  </w:num>
  <w:num w:numId="4">
    <w:abstractNumId w:val="7"/>
  </w:num>
  <w:num w:numId="5">
    <w:abstractNumId w:val="15"/>
  </w:num>
  <w:num w:numId="6">
    <w:abstractNumId w:val="32"/>
  </w:num>
  <w:num w:numId="7">
    <w:abstractNumId w:val="23"/>
  </w:num>
  <w:num w:numId="8">
    <w:abstractNumId w:val="11"/>
  </w:num>
  <w:num w:numId="9">
    <w:abstractNumId w:val="14"/>
  </w:num>
  <w:num w:numId="10">
    <w:abstractNumId w:val="16"/>
  </w:num>
  <w:num w:numId="11">
    <w:abstractNumId w:val="31"/>
  </w:num>
  <w:num w:numId="12">
    <w:abstractNumId w:val="22"/>
  </w:num>
  <w:num w:numId="13">
    <w:abstractNumId w:val="24"/>
  </w:num>
  <w:num w:numId="14">
    <w:abstractNumId w:val="1"/>
  </w:num>
  <w:num w:numId="15">
    <w:abstractNumId w:val="27"/>
  </w:num>
  <w:num w:numId="16">
    <w:abstractNumId w:val="5"/>
  </w:num>
  <w:num w:numId="17">
    <w:abstractNumId w:val="30"/>
  </w:num>
  <w:num w:numId="18">
    <w:abstractNumId w:val="10"/>
  </w:num>
  <w:num w:numId="19">
    <w:abstractNumId w:val="4"/>
  </w:num>
  <w:num w:numId="20">
    <w:abstractNumId w:val="20"/>
  </w:num>
  <w:num w:numId="21">
    <w:abstractNumId w:val="25"/>
  </w:num>
  <w:num w:numId="22">
    <w:abstractNumId w:val="3"/>
  </w:num>
  <w:num w:numId="23">
    <w:abstractNumId w:val="17"/>
  </w:num>
  <w:num w:numId="24">
    <w:abstractNumId w:val="26"/>
  </w:num>
  <w:num w:numId="25">
    <w:abstractNumId w:val="12"/>
  </w:num>
  <w:num w:numId="26">
    <w:abstractNumId w:val="28"/>
  </w:num>
  <w:num w:numId="27">
    <w:abstractNumId w:val="21"/>
  </w:num>
  <w:num w:numId="28">
    <w:abstractNumId w:val="18"/>
  </w:num>
  <w:num w:numId="29">
    <w:abstractNumId w:val="19"/>
  </w:num>
  <w:num w:numId="30">
    <w:abstractNumId w:val="2"/>
  </w:num>
  <w:num w:numId="31">
    <w:abstractNumId w:val="13"/>
  </w:num>
  <w:num w:numId="32">
    <w:abstractNumId w:val="29"/>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1"/>
  <w:displayHorizont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0E"/>
    <w:rsid w:val="0000002B"/>
    <w:rsid w:val="00000633"/>
    <w:rsid w:val="000009FE"/>
    <w:rsid w:val="00001D2E"/>
    <w:rsid w:val="00002E0B"/>
    <w:rsid w:val="00004212"/>
    <w:rsid w:val="00007C04"/>
    <w:rsid w:val="000102FF"/>
    <w:rsid w:val="0001036C"/>
    <w:rsid w:val="0001059C"/>
    <w:rsid w:val="000120F9"/>
    <w:rsid w:val="00014431"/>
    <w:rsid w:val="00014BAC"/>
    <w:rsid w:val="000151A7"/>
    <w:rsid w:val="00015C5E"/>
    <w:rsid w:val="00015CFF"/>
    <w:rsid w:val="00017541"/>
    <w:rsid w:val="00021993"/>
    <w:rsid w:val="00021BB5"/>
    <w:rsid w:val="00024A0D"/>
    <w:rsid w:val="00024D76"/>
    <w:rsid w:val="00024F4A"/>
    <w:rsid w:val="0002545D"/>
    <w:rsid w:val="00026769"/>
    <w:rsid w:val="00026C71"/>
    <w:rsid w:val="0003069A"/>
    <w:rsid w:val="00031653"/>
    <w:rsid w:val="000325FD"/>
    <w:rsid w:val="00033212"/>
    <w:rsid w:val="00033FA7"/>
    <w:rsid w:val="000347DA"/>
    <w:rsid w:val="00035DD9"/>
    <w:rsid w:val="0004030D"/>
    <w:rsid w:val="00040904"/>
    <w:rsid w:val="00042A5E"/>
    <w:rsid w:val="00043247"/>
    <w:rsid w:val="00044B5A"/>
    <w:rsid w:val="00046F46"/>
    <w:rsid w:val="00051389"/>
    <w:rsid w:val="00052734"/>
    <w:rsid w:val="00055076"/>
    <w:rsid w:val="000561D5"/>
    <w:rsid w:val="000566A9"/>
    <w:rsid w:val="000567E3"/>
    <w:rsid w:val="00056C1C"/>
    <w:rsid w:val="00057383"/>
    <w:rsid w:val="0005746A"/>
    <w:rsid w:val="0006289A"/>
    <w:rsid w:val="000643FD"/>
    <w:rsid w:val="00064A3C"/>
    <w:rsid w:val="000656A9"/>
    <w:rsid w:val="000664B1"/>
    <w:rsid w:val="00071C66"/>
    <w:rsid w:val="000724FA"/>
    <w:rsid w:val="00072F81"/>
    <w:rsid w:val="00073261"/>
    <w:rsid w:val="00076C22"/>
    <w:rsid w:val="00076EF0"/>
    <w:rsid w:val="00080E78"/>
    <w:rsid w:val="0008132A"/>
    <w:rsid w:val="00085DF4"/>
    <w:rsid w:val="000867B9"/>
    <w:rsid w:val="00086E76"/>
    <w:rsid w:val="00090FF1"/>
    <w:rsid w:val="00092BD1"/>
    <w:rsid w:val="0009303B"/>
    <w:rsid w:val="00094459"/>
    <w:rsid w:val="0009582F"/>
    <w:rsid w:val="00095D96"/>
    <w:rsid w:val="0009630B"/>
    <w:rsid w:val="0009763A"/>
    <w:rsid w:val="00097B9F"/>
    <w:rsid w:val="000A23A5"/>
    <w:rsid w:val="000A2995"/>
    <w:rsid w:val="000A2FBD"/>
    <w:rsid w:val="000A3B6E"/>
    <w:rsid w:val="000A6AD5"/>
    <w:rsid w:val="000B0E71"/>
    <w:rsid w:val="000B37B3"/>
    <w:rsid w:val="000B504C"/>
    <w:rsid w:val="000B5B1B"/>
    <w:rsid w:val="000B72C7"/>
    <w:rsid w:val="000B7365"/>
    <w:rsid w:val="000C0537"/>
    <w:rsid w:val="000C0D92"/>
    <w:rsid w:val="000C412C"/>
    <w:rsid w:val="000C4401"/>
    <w:rsid w:val="000C447F"/>
    <w:rsid w:val="000C45D0"/>
    <w:rsid w:val="000D113C"/>
    <w:rsid w:val="000D3D89"/>
    <w:rsid w:val="000D4F09"/>
    <w:rsid w:val="000D5348"/>
    <w:rsid w:val="000D5476"/>
    <w:rsid w:val="000D6F0C"/>
    <w:rsid w:val="000D7AF5"/>
    <w:rsid w:val="000E0C95"/>
    <w:rsid w:val="000E2042"/>
    <w:rsid w:val="000E3972"/>
    <w:rsid w:val="000E41CC"/>
    <w:rsid w:val="000E53DC"/>
    <w:rsid w:val="000E5F16"/>
    <w:rsid w:val="000E6015"/>
    <w:rsid w:val="000E66B5"/>
    <w:rsid w:val="000E67CA"/>
    <w:rsid w:val="000E6D05"/>
    <w:rsid w:val="000F2201"/>
    <w:rsid w:val="000F2782"/>
    <w:rsid w:val="000F316F"/>
    <w:rsid w:val="000F485A"/>
    <w:rsid w:val="000F52E9"/>
    <w:rsid w:val="000F5AD1"/>
    <w:rsid w:val="000F7B91"/>
    <w:rsid w:val="000F7E72"/>
    <w:rsid w:val="0010083A"/>
    <w:rsid w:val="0010103D"/>
    <w:rsid w:val="00103459"/>
    <w:rsid w:val="00104DC0"/>
    <w:rsid w:val="00107485"/>
    <w:rsid w:val="00107D68"/>
    <w:rsid w:val="00107D93"/>
    <w:rsid w:val="00110639"/>
    <w:rsid w:val="00110ADA"/>
    <w:rsid w:val="0011112C"/>
    <w:rsid w:val="0011119D"/>
    <w:rsid w:val="00111439"/>
    <w:rsid w:val="001119CE"/>
    <w:rsid w:val="00111FC7"/>
    <w:rsid w:val="001123B8"/>
    <w:rsid w:val="00112ED1"/>
    <w:rsid w:val="001134DD"/>
    <w:rsid w:val="00113DA8"/>
    <w:rsid w:val="00114073"/>
    <w:rsid w:val="00117397"/>
    <w:rsid w:val="001173E0"/>
    <w:rsid w:val="0011778A"/>
    <w:rsid w:val="0012001B"/>
    <w:rsid w:val="00120B1B"/>
    <w:rsid w:val="00125285"/>
    <w:rsid w:val="00125674"/>
    <w:rsid w:val="00126DD1"/>
    <w:rsid w:val="00127418"/>
    <w:rsid w:val="0013017F"/>
    <w:rsid w:val="00130325"/>
    <w:rsid w:val="001326BD"/>
    <w:rsid w:val="00132C2E"/>
    <w:rsid w:val="00133238"/>
    <w:rsid w:val="00136445"/>
    <w:rsid w:val="00136F01"/>
    <w:rsid w:val="001377F3"/>
    <w:rsid w:val="0014043C"/>
    <w:rsid w:val="00140896"/>
    <w:rsid w:val="0014266D"/>
    <w:rsid w:val="00143CA7"/>
    <w:rsid w:val="00144FDD"/>
    <w:rsid w:val="00145761"/>
    <w:rsid w:val="00146E74"/>
    <w:rsid w:val="00146F99"/>
    <w:rsid w:val="00147072"/>
    <w:rsid w:val="0014738C"/>
    <w:rsid w:val="001503DE"/>
    <w:rsid w:val="00152CCE"/>
    <w:rsid w:val="0015313B"/>
    <w:rsid w:val="001534DE"/>
    <w:rsid w:val="001539BE"/>
    <w:rsid w:val="001569FD"/>
    <w:rsid w:val="00162471"/>
    <w:rsid w:val="001633F8"/>
    <w:rsid w:val="00163428"/>
    <w:rsid w:val="00165B5D"/>
    <w:rsid w:val="00167593"/>
    <w:rsid w:val="00167925"/>
    <w:rsid w:val="00171EBF"/>
    <w:rsid w:val="001722FA"/>
    <w:rsid w:val="00173FCD"/>
    <w:rsid w:val="00175F22"/>
    <w:rsid w:val="001765F3"/>
    <w:rsid w:val="00177406"/>
    <w:rsid w:val="00180804"/>
    <w:rsid w:val="0018258B"/>
    <w:rsid w:val="00183730"/>
    <w:rsid w:val="00185189"/>
    <w:rsid w:val="001851B3"/>
    <w:rsid w:val="001859BB"/>
    <w:rsid w:val="00186343"/>
    <w:rsid w:val="00186D10"/>
    <w:rsid w:val="00190EBB"/>
    <w:rsid w:val="00191052"/>
    <w:rsid w:val="00191628"/>
    <w:rsid w:val="001927A8"/>
    <w:rsid w:val="00192E81"/>
    <w:rsid w:val="00192F25"/>
    <w:rsid w:val="001942D5"/>
    <w:rsid w:val="00195055"/>
    <w:rsid w:val="00195C01"/>
    <w:rsid w:val="00197932"/>
    <w:rsid w:val="001A0AB2"/>
    <w:rsid w:val="001A0B78"/>
    <w:rsid w:val="001A0F56"/>
    <w:rsid w:val="001A1BB5"/>
    <w:rsid w:val="001A222C"/>
    <w:rsid w:val="001A3AE0"/>
    <w:rsid w:val="001A4DBE"/>
    <w:rsid w:val="001A539F"/>
    <w:rsid w:val="001A5955"/>
    <w:rsid w:val="001A59C9"/>
    <w:rsid w:val="001A5C22"/>
    <w:rsid w:val="001A5CF0"/>
    <w:rsid w:val="001A5EBE"/>
    <w:rsid w:val="001A68A2"/>
    <w:rsid w:val="001A7423"/>
    <w:rsid w:val="001B0A90"/>
    <w:rsid w:val="001B0E77"/>
    <w:rsid w:val="001B4BC6"/>
    <w:rsid w:val="001C0785"/>
    <w:rsid w:val="001C1644"/>
    <w:rsid w:val="001C16FA"/>
    <w:rsid w:val="001C196E"/>
    <w:rsid w:val="001C2AAE"/>
    <w:rsid w:val="001C336C"/>
    <w:rsid w:val="001C4FBF"/>
    <w:rsid w:val="001C518E"/>
    <w:rsid w:val="001C5406"/>
    <w:rsid w:val="001C723F"/>
    <w:rsid w:val="001D0305"/>
    <w:rsid w:val="001D1580"/>
    <w:rsid w:val="001D50F1"/>
    <w:rsid w:val="001D59F7"/>
    <w:rsid w:val="001D6813"/>
    <w:rsid w:val="001D7598"/>
    <w:rsid w:val="001E13CE"/>
    <w:rsid w:val="001E1F0E"/>
    <w:rsid w:val="001E2B97"/>
    <w:rsid w:val="001F0BC4"/>
    <w:rsid w:val="001F100C"/>
    <w:rsid w:val="001F12BB"/>
    <w:rsid w:val="001F5177"/>
    <w:rsid w:val="001F792A"/>
    <w:rsid w:val="00200343"/>
    <w:rsid w:val="00200F30"/>
    <w:rsid w:val="00204DFB"/>
    <w:rsid w:val="00205811"/>
    <w:rsid w:val="0020583A"/>
    <w:rsid w:val="0020595B"/>
    <w:rsid w:val="00206CBA"/>
    <w:rsid w:val="00206DAE"/>
    <w:rsid w:val="00207F2D"/>
    <w:rsid w:val="00207FED"/>
    <w:rsid w:val="00211393"/>
    <w:rsid w:val="002114FA"/>
    <w:rsid w:val="00212334"/>
    <w:rsid w:val="0021330D"/>
    <w:rsid w:val="00215AE5"/>
    <w:rsid w:val="00215FEA"/>
    <w:rsid w:val="00216206"/>
    <w:rsid w:val="002162B6"/>
    <w:rsid w:val="002170FC"/>
    <w:rsid w:val="00217EA8"/>
    <w:rsid w:val="002201F1"/>
    <w:rsid w:val="00221962"/>
    <w:rsid w:val="0022294F"/>
    <w:rsid w:val="00222ACC"/>
    <w:rsid w:val="002230FB"/>
    <w:rsid w:val="0022357F"/>
    <w:rsid w:val="00223E04"/>
    <w:rsid w:val="00224C96"/>
    <w:rsid w:val="002250B9"/>
    <w:rsid w:val="0023072B"/>
    <w:rsid w:val="00230A2B"/>
    <w:rsid w:val="002320C4"/>
    <w:rsid w:val="002324E0"/>
    <w:rsid w:val="0023364A"/>
    <w:rsid w:val="002336F6"/>
    <w:rsid w:val="002366C7"/>
    <w:rsid w:val="002375E5"/>
    <w:rsid w:val="00240CAF"/>
    <w:rsid w:val="00241177"/>
    <w:rsid w:val="00242E31"/>
    <w:rsid w:val="002462F5"/>
    <w:rsid w:val="00247395"/>
    <w:rsid w:val="002477B8"/>
    <w:rsid w:val="002530BB"/>
    <w:rsid w:val="00254D0F"/>
    <w:rsid w:val="002570FC"/>
    <w:rsid w:val="002571B6"/>
    <w:rsid w:val="00260034"/>
    <w:rsid w:val="002604D7"/>
    <w:rsid w:val="00263A29"/>
    <w:rsid w:val="002670F6"/>
    <w:rsid w:val="00271AE7"/>
    <w:rsid w:val="002726BE"/>
    <w:rsid w:val="002736B4"/>
    <w:rsid w:val="0027433E"/>
    <w:rsid w:val="00274B82"/>
    <w:rsid w:val="00274D7D"/>
    <w:rsid w:val="00274ED9"/>
    <w:rsid w:val="00275D4E"/>
    <w:rsid w:val="00276822"/>
    <w:rsid w:val="002805C2"/>
    <w:rsid w:val="00281444"/>
    <w:rsid w:val="00281FE5"/>
    <w:rsid w:val="0028226A"/>
    <w:rsid w:val="002848B0"/>
    <w:rsid w:val="00285163"/>
    <w:rsid w:val="00285A32"/>
    <w:rsid w:val="002861D5"/>
    <w:rsid w:val="00291DFD"/>
    <w:rsid w:val="00291E39"/>
    <w:rsid w:val="00291E82"/>
    <w:rsid w:val="0029222F"/>
    <w:rsid w:val="00293BAB"/>
    <w:rsid w:val="00294269"/>
    <w:rsid w:val="00294E88"/>
    <w:rsid w:val="00294ECB"/>
    <w:rsid w:val="0029582E"/>
    <w:rsid w:val="00295922"/>
    <w:rsid w:val="00295ED0"/>
    <w:rsid w:val="00297B34"/>
    <w:rsid w:val="002A0B17"/>
    <w:rsid w:val="002A281E"/>
    <w:rsid w:val="002A3015"/>
    <w:rsid w:val="002A321F"/>
    <w:rsid w:val="002A3C3C"/>
    <w:rsid w:val="002A4091"/>
    <w:rsid w:val="002A4608"/>
    <w:rsid w:val="002A4693"/>
    <w:rsid w:val="002A4B19"/>
    <w:rsid w:val="002A4C04"/>
    <w:rsid w:val="002A57ED"/>
    <w:rsid w:val="002A7554"/>
    <w:rsid w:val="002B0849"/>
    <w:rsid w:val="002B0FA3"/>
    <w:rsid w:val="002B3D2A"/>
    <w:rsid w:val="002B47C8"/>
    <w:rsid w:val="002B4978"/>
    <w:rsid w:val="002B5B7E"/>
    <w:rsid w:val="002B5C3B"/>
    <w:rsid w:val="002B7486"/>
    <w:rsid w:val="002C067C"/>
    <w:rsid w:val="002C246B"/>
    <w:rsid w:val="002C2E17"/>
    <w:rsid w:val="002C35D0"/>
    <w:rsid w:val="002C4341"/>
    <w:rsid w:val="002C44C1"/>
    <w:rsid w:val="002C5034"/>
    <w:rsid w:val="002D0437"/>
    <w:rsid w:val="002D0AF4"/>
    <w:rsid w:val="002D2911"/>
    <w:rsid w:val="002D36E4"/>
    <w:rsid w:val="002D591A"/>
    <w:rsid w:val="002D723E"/>
    <w:rsid w:val="002E0AB0"/>
    <w:rsid w:val="002E466F"/>
    <w:rsid w:val="002E6212"/>
    <w:rsid w:val="002F161A"/>
    <w:rsid w:val="002F4B30"/>
    <w:rsid w:val="002F5C73"/>
    <w:rsid w:val="002F6354"/>
    <w:rsid w:val="002F6489"/>
    <w:rsid w:val="002F6756"/>
    <w:rsid w:val="002F6CA3"/>
    <w:rsid w:val="002F6F58"/>
    <w:rsid w:val="00300E94"/>
    <w:rsid w:val="003015D2"/>
    <w:rsid w:val="0030173C"/>
    <w:rsid w:val="00301806"/>
    <w:rsid w:val="00301FD1"/>
    <w:rsid w:val="003024A7"/>
    <w:rsid w:val="00302EC4"/>
    <w:rsid w:val="003035D1"/>
    <w:rsid w:val="00304E60"/>
    <w:rsid w:val="003050B3"/>
    <w:rsid w:val="00305C90"/>
    <w:rsid w:val="003076E8"/>
    <w:rsid w:val="00307E44"/>
    <w:rsid w:val="0031165E"/>
    <w:rsid w:val="00311B9B"/>
    <w:rsid w:val="003136BC"/>
    <w:rsid w:val="00314137"/>
    <w:rsid w:val="003147DD"/>
    <w:rsid w:val="0031778C"/>
    <w:rsid w:val="00320453"/>
    <w:rsid w:val="00320D6C"/>
    <w:rsid w:val="00321790"/>
    <w:rsid w:val="00322B45"/>
    <w:rsid w:val="0032400C"/>
    <w:rsid w:val="00330D65"/>
    <w:rsid w:val="00331C20"/>
    <w:rsid w:val="0033272F"/>
    <w:rsid w:val="00332E54"/>
    <w:rsid w:val="00333AB3"/>
    <w:rsid w:val="00334333"/>
    <w:rsid w:val="00334F26"/>
    <w:rsid w:val="0034081F"/>
    <w:rsid w:val="0034309F"/>
    <w:rsid w:val="00344413"/>
    <w:rsid w:val="00350215"/>
    <w:rsid w:val="00350CCA"/>
    <w:rsid w:val="003511BE"/>
    <w:rsid w:val="00354364"/>
    <w:rsid w:val="003548AE"/>
    <w:rsid w:val="00356196"/>
    <w:rsid w:val="00356941"/>
    <w:rsid w:val="00356DEB"/>
    <w:rsid w:val="00356EC4"/>
    <w:rsid w:val="0035753B"/>
    <w:rsid w:val="00363DDA"/>
    <w:rsid w:val="003644C5"/>
    <w:rsid w:val="00364572"/>
    <w:rsid w:val="00370CFC"/>
    <w:rsid w:val="0037169D"/>
    <w:rsid w:val="003729F8"/>
    <w:rsid w:val="00374997"/>
    <w:rsid w:val="00376BAB"/>
    <w:rsid w:val="00380B19"/>
    <w:rsid w:val="003810D0"/>
    <w:rsid w:val="00381285"/>
    <w:rsid w:val="00383B30"/>
    <w:rsid w:val="00385383"/>
    <w:rsid w:val="0038678F"/>
    <w:rsid w:val="00387AC7"/>
    <w:rsid w:val="00390069"/>
    <w:rsid w:val="0039095B"/>
    <w:rsid w:val="003913F5"/>
    <w:rsid w:val="0039262B"/>
    <w:rsid w:val="00392D03"/>
    <w:rsid w:val="00393B26"/>
    <w:rsid w:val="00393CCA"/>
    <w:rsid w:val="00393D8A"/>
    <w:rsid w:val="003A16A3"/>
    <w:rsid w:val="003A3C35"/>
    <w:rsid w:val="003A4D17"/>
    <w:rsid w:val="003A645B"/>
    <w:rsid w:val="003B2665"/>
    <w:rsid w:val="003B2C08"/>
    <w:rsid w:val="003B3D6B"/>
    <w:rsid w:val="003B50E9"/>
    <w:rsid w:val="003B67C2"/>
    <w:rsid w:val="003B6FD8"/>
    <w:rsid w:val="003C007C"/>
    <w:rsid w:val="003C0B51"/>
    <w:rsid w:val="003C0C2B"/>
    <w:rsid w:val="003C12A4"/>
    <w:rsid w:val="003C1579"/>
    <w:rsid w:val="003C1C0B"/>
    <w:rsid w:val="003C5832"/>
    <w:rsid w:val="003C651B"/>
    <w:rsid w:val="003C669E"/>
    <w:rsid w:val="003C6D24"/>
    <w:rsid w:val="003C6EE5"/>
    <w:rsid w:val="003D0296"/>
    <w:rsid w:val="003D040F"/>
    <w:rsid w:val="003D2D96"/>
    <w:rsid w:val="003D3CA3"/>
    <w:rsid w:val="003D4291"/>
    <w:rsid w:val="003D5103"/>
    <w:rsid w:val="003D72AE"/>
    <w:rsid w:val="003D754A"/>
    <w:rsid w:val="003E11CE"/>
    <w:rsid w:val="003E2875"/>
    <w:rsid w:val="003E2E4A"/>
    <w:rsid w:val="003E36B9"/>
    <w:rsid w:val="003E583F"/>
    <w:rsid w:val="003E6034"/>
    <w:rsid w:val="003E7496"/>
    <w:rsid w:val="003E7BE8"/>
    <w:rsid w:val="003F1732"/>
    <w:rsid w:val="003F178A"/>
    <w:rsid w:val="003F1ADB"/>
    <w:rsid w:val="003F1C2B"/>
    <w:rsid w:val="003F1C68"/>
    <w:rsid w:val="003F2497"/>
    <w:rsid w:val="003F2A44"/>
    <w:rsid w:val="003F3879"/>
    <w:rsid w:val="003F6009"/>
    <w:rsid w:val="003F7A39"/>
    <w:rsid w:val="00400570"/>
    <w:rsid w:val="0040206E"/>
    <w:rsid w:val="004037C2"/>
    <w:rsid w:val="00403C8C"/>
    <w:rsid w:val="00404AAA"/>
    <w:rsid w:val="00407AB6"/>
    <w:rsid w:val="00407F6E"/>
    <w:rsid w:val="0041146E"/>
    <w:rsid w:val="00412E50"/>
    <w:rsid w:val="004164F2"/>
    <w:rsid w:val="00417B0F"/>
    <w:rsid w:val="00421B95"/>
    <w:rsid w:val="00422736"/>
    <w:rsid w:val="004245F5"/>
    <w:rsid w:val="00426E6F"/>
    <w:rsid w:val="0043175A"/>
    <w:rsid w:val="004319EC"/>
    <w:rsid w:val="004321A7"/>
    <w:rsid w:val="0043262E"/>
    <w:rsid w:val="004336A3"/>
    <w:rsid w:val="00435668"/>
    <w:rsid w:val="004371D8"/>
    <w:rsid w:val="00440726"/>
    <w:rsid w:val="00442218"/>
    <w:rsid w:val="004425DC"/>
    <w:rsid w:val="004442D2"/>
    <w:rsid w:val="00445909"/>
    <w:rsid w:val="00445EB9"/>
    <w:rsid w:val="00446277"/>
    <w:rsid w:val="00446F1E"/>
    <w:rsid w:val="00450968"/>
    <w:rsid w:val="0045256F"/>
    <w:rsid w:val="00452F6A"/>
    <w:rsid w:val="00453547"/>
    <w:rsid w:val="0046073D"/>
    <w:rsid w:val="00461362"/>
    <w:rsid w:val="00461A6F"/>
    <w:rsid w:val="004624AB"/>
    <w:rsid w:val="00462E73"/>
    <w:rsid w:val="00467DB6"/>
    <w:rsid w:val="00473445"/>
    <w:rsid w:val="00474B0A"/>
    <w:rsid w:val="00476233"/>
    <w:rsid w:val="0047629C"/>
    <w:rsid w:val="00476B8E"/>
    <w:rsid w:val="00477499"/>
    <w:rsid w:val="00484CED"/>
    <w:rsid w:val="00485281"/>
    <w:rsid w:val="004879BA"/>
    <w:rsid w:val="00490523"/>
    <w:rsid w:val="00491F9F"/>
    <w:rsid w:val="00492704"/>
    <w:rsid w:val="0049373E"/>
    <w:rsid w:val="00493937"/>
    <w:rsid w:val="00496322"/>
    <w:rsid w:val="004965E7"/>
    <w:rsid w:val="004A47E9"/>
    <w:rsid w:val="004A50E2"/>
    <w:rsid w:val="004A61D8"/>
    <w:rsid w:val="004A7559"/>
    <w:rsid w:val="004B2669"/>
    <w:rsid w:val="004B4961"/>
    <w:rsid w:val="004B5567"/>
    <w:rsid w:val="004B5C48"/>
    <w:rsid w:val="004B5FF1"/>
    <w:rsid w:val="004B631D"/>
    <w:rsid w:val="004B64ED"/>
    <w:rsid w:val="004B7461"/>
    <w:rsid w:val="004C0263"/>
    <w:rsid w:val="004C271A"/>
    <w:rsid w:val="004C3218"/>
    <w:rsid w:val="004C464B"/>
    <w:rsid w:val="004C5A86"/>
    <w:rsid w:val="004C6460"/>
    <w:rsid w:val="004C6DDE"/>
    <w:rsid w:val="004D125B"/>
    <w:rsid w:val="004D2E72"/>
    <w:rsid w:val="004D434B"/>
    <w:rsid w:val="004E0777"/>
    <w:rsid w:val="004E08E1"/>
    <w:rsid w:val="004E09CD"/>
    <w:rsid w:val="004E371C"/>
    <w:rsid w:val="004E4ECD"/>
    <w:rsid w:val="004E6245"/>
    <w:rsid w:val="004E6370"/>
    <w:rsid w:val="004E7513"/>
    <w:rsid w:val="004E7E12"/>
    <w:rsid w:val="004E7E53"/>
    <w:rsid w:val="004F0AB6"/>
    <w:rsid w:val="004F1539"/>
    <w:rsid w:val="004F190E"/>
    <w:rsid w:val="004F23E1"/>
    <w:rsid w:val="004F2BE1"/>
    <w:rsid w:val="004F32FD"/>
    <w:rsid w:val="004F4865"/>
    <w:rsid w:val="004F4FCE"/>
    <w:rsid w:val="004F5093"/>
    <w:rsid w:val="004F51D5"/>
    <w:rsid w:val="004F7189"/>
    <w:rsid w:val="00501A28"/>
    <w:rsid w:val="0050248C"/>
    <w:rsid w:val="005032E7"/>
    <w:rsid w:val="005037E1"/>
    <w:rsid w:val="00505BED"/>
    <w:rsid w:val="00507F1B"/>
    <w:rsid w:val="00510DF9"/>
    <w:rsid w:val="00510EAD"/>
    <w:rsid w:val="00511810"/>
    <w:rsid w:val="00511B50"/>
    <w:rsid w:val="00512762"/>
    <w:rsid w:val="005136D7"/>
    <w:rsid w:val="005139E0"/>
    <w:rsid w:val="0051497F"/>
    <w:rsid w:val="0051714D"/>
    <w:rsid w:val="00517418"/>
    <w:rsid w:val="0052036A"/>
    <w:rsid w:val="00520EA3"/>
    <w:rsid w:val="005214AC"/>
    <w:rsid w:val="00521682"/>
    <w:rsid w:val="005219F3"/>
    <w:rsid w:val="00523DA6"/>
    <w:rsid w:val="00524E68"/>
    <w:rsid w:val="0052742D"/>
    <w:rsid w:val="00530A8D"/>
    <w:rsid w:val="005406FC"/>
    <w:rsid w:val="00541A6E"/>
    <w:rsid w:val="00541BE1"/>
    <w:rsid w:val="00542173"/>
    <w:rsid w:val="00542B22"/>
    <w:rsid w:val="00542B27"/>
    <w:rsid w:val="00542DCB"/>
    <w:rsid w:val="00544980"/>
    <w:rsid w:val="00545BB6"/>
    <w:rsid w:val="00546F89"/>
    <w:rsid w:val="00547077"/>
    <w:rsid w:val="00550138"/>
    <w:rsid w:val="00553484"/>
    <w:rsid w:val="00553DA3"/>
    <w:rsid w:val="00554058"/>
    <w:rsid w:val="00554D0F"/>
    <w:rsid w:val="00556381"/>
    <w:rsid w:val="0055722D"/>
    <w:rsid w:val="0056051C"/>
    <w:rsid w:val="00560875"/>
    <w:rsid w:val="0056299C"/>
    <w:rsid w:val="00563ADF"/>
    <w:rsid w:val="00563D8F"/>
    <w:rsid w:val="0056534D"/>
    <w:rsid w:val="00565467"/>
    <w:rsid w:val="005663F7"/>
    <w:rsid w:val="00567BF2"/>
    <w:rsid w:val="00567C2F"/>
    <w:rsid w:val="0057142E"/>
    <w:rsid w:val="005714D9"/>
    <w:rsid w:val="0057592B"/>
    <w:rsid w:val="005774B3"/>
    <w:rsid w:val="005803A9"/>
    <w:rsid w:val="0058244B"/>
    <w:rsid w:val="00582671"/>
    <w:rsid w:val="0058563E"/>
    <w:rsid w:val="005865D4"/>
    <w:rsid w:val="00587B27"/>
    <w:rsid w:val="00590929"/>
    <w:rsid w:val="00591E38"/>
    <w:rsid w:val="00592C98"/>
    <w:rsid w:val="00593B75"/>
    <w:rsid w:val="00595313"/>
    <w:rsid w:val="00595E1B"/>
    <w:rsid w:val="005964DD"/>
    <w:rsid w:val="00597D62"/>
    <w:rsid w:val="005A0A60"/>
    <w:rsid w:val="005A190F"/>
    <w:rsid w:val="005A2E18"/>
    <w:rsid w:val="005A3CA1"/>
    <w:rsid w:val="005A42DA"/>
    <w:rsid w:val="005A5149"/>
    <w:rsid w:val="005A5866"/>
    <w:rsid w:val="005B0C68"/>
    <w:rsid w:val="005B0F50"/>
    <w:rsid w:val="005B133E"/>
    <w:rsid w:val="005B337E"/>
    <w:rsid w:val="005B3700"/>
    <w:rsid w:val="005B5D8F"/>
    <w:rsid w:val="005B5FA7"/>
    <w:rsid w:val="005C221B"/>
    <w:rsid w:val="005C456E"/>
    <w:rsid w:val="005C5609"/>
    <w:rsid w:val="005C6F8A"/>
    <w:rsid w:val="005D41A5"/>
    <w:rsid w:val="005D4814"/>
    <w:rsid w:val="005D7862"/>
    <w:rsid w:val="005D79F2"/>
    <w:rsid w:val="005E006B"/>
    <w:rsid w:val="005E1919"/>
    <w:rsid w:val="005E1B95"/>
    <w:rsid w:val="005E2D83"/>
    <w:rsid w:val="005E4182"/>
    <w:rsid w:val="005E53BF"/>
    <w:rsid w:val="005E608E"/>
    <w:rsid w:val="005E6129"/>
    <w:rsid w:val="005E703F"/>
    <w:rsid w:val="005E7551"/>
    <w:rsid w:val="005F01EC"/>
    <w:rsid w:val="005F0941"/>
    <w:rsid w:val="005F1E52"/>
    <w:rsid w:val="005F22B6"/>
    <w:rsid w:val="005F3E46"/>
    <w:rsid w:val="005F4343"/>
    <w:rsid w:val="005F4D73"/>
    <w:rsid w:val="005F5CD7"/>
    <w:rsid w:val="005F6178"/>
    <w:rsid w:val="005F6376"/>
    <w:rsid w:val="00601E05"/>
    <w:rsid w:val="00602208"/>
    <w:rsid w:val="00604EB7"/>
    <w:rsid w:val="0060501D"/>
    <w:rsid w:val="0060753C"/>
    <w:rsid w:val="0061021A"/>
    <w:rsid w:val="00611169"/>
    <w:rsid w:val="0061241F"/>
    <w:rsid w:val="006126A1"/>
    <w:rsid w:val="00612944"/>
    <w:rsid w:val="006134F5"/>
    <w:rsid w:val="00613579"/>
    <w:rsid w:val="00615FEC"/>
    <w:rsid w:val="0061625E"/>
    <w:rsid w:val="006168F0"/>
    <w:rsid w:val="006171E1"/>
    <w:rsid w:val="00620274"/>
    <w:rsid w:val="00620599"/>
    <w:rsid w:val="00620809"/>
    <w:rsid w:val="00621143"/>
    <w:rsid w:val="00621CAE"/>
    <w:rsid w:val="0062243E"/>
    <w:rsid w:val="00625B3A"/>
    <w:rsid w:val="00625BFA"/>
    <w:rsid w:val="00630B34"/>
    <w:rsid w:val="00631798"/>
    <w:rsid w:val="006321E9"/>
    <w:rsid w:val="006330C2"/>
    <w:rsid w:val="006341C3"/>
    <w:rsid w:val="006350D2"/>
    <w:rsid w:val="006361F8"/>
    <w:rsid w:val="006373E6"/>
    <w:rsid w:val="00637F3A"/>
    <w:rsid w:val="006409CB"/>
    <w:rsid w:val="00641287"/>
    <w:rsid w:val="00641FDC"/>
    <w:rsid w:val="006431C1"/>
    <w:rsid w:val="00644257"/>
    <w:rsid w:val="006454A4"/>
    <w:rsid w:val="006472DF"/>
    <w:rsid w:val="006511CA"/>
    <w:rsid w:val="00651E77"/>
    <w:rsid w:val="00652D33"/>
    <w:rsid w:val="0065376E"/>
    <w:rsid w:val="00654393"/>
    <w:rsid w:val="00654A2F"/>
    <w:rsid w:val="006561E2"/>
    <w:rsid w:val="0065664F"/>
    <w:rsid w:val="00657005"/>
    <w:rsid w:val="006579C4"/>
    <w:rsid w:val="00660A0E"/>
    <w:rsid w:val="0066209B"/>
    <w:rsid w:val="00666043"/>
    <w:rsid w:val="00666794"/>
    <w:rsid w:val="00667764"/>
    <w:rsid w:val="00670F54"/>
    <w:rsid w:val="0067336C"/>
    <w:rsid w:val="00673876"/>
    <w:rsid w:val="0067533B"/>
    <w:rsid w:val="00677345"/>
    <w:rsid w:val="00681178"/>
    <w:rsid w:val="006819FD"/>
    <w:rsid w:val="00684193"/>
    <w:rsid w:val="006844BF"/>
    <w:rsid w:val="00684961"/>
    <w:rsid w:val="00684CCA"/>
    <w:rsid w:val="006875AE"/>
    <w:rsid w:val="00687CC5"/>
    <w:rsid w:val="00687F1C"/>
    <w:rsid w:val="00690BB0"/>
    <w:rsid w:val="00691708"/>
    <w:rsid w:val="0069301C"/>
    <w:rsid w:val="00693BD8"/>
    <w:rsid w:val="006959EA"/>
    <w:rsid w:val="00696E7A"/>
    <w:rsid w:val="006A2017"/>
    <w:rsid w:val="006A29B6"/>
    <w:rsid w:val="006A4531"/>
    <w:rsid w:val="006A45C0"/>
    <w:rsid w:val="006A4648"/>
    <w:rsid w:val="006A5A18"/>
    <w:rsid w:val="006A78D2"/>
    <w:rsid w:val="006B0A10"/>
    <w:rsid w:val="006B1400"/>
    <w:rsid w:val="006B2D37"/>
    <w:rsid w:val="006B384E"/>
    <w:rsid w:val="006B550E"/>
    <w:rsid w:val="006B5ABC"/>
    <w:rsid w:val="006B64E2"/>
    <w:rsid w:val="006B6E35"/>
    <w:rsid w:val="006C001D"/>
    <w:rsid w:val="006C6745"/>
    <w:rsid w:val="006C6C37"/>
    <w:rsid w:val="006C6F87"/>
    <w:rsid w:val="006D0EA6"/>
    <w:rsid w:val="006D18D9"/>
    <w:rsid w:val="006D3DE3"/>
    <w:rsid w:val="006D5661"/>
    <w:rsid w:val="006D5DD0"/>
    <w:rsid w:val="006E1838"/>
    <w:rsid w:val="006E2D37"/>
    <w:rsid w:val="006E35AC"/>
    <w:rsid w:val="006E42A2"/>
    <w:rsid w:val="006E5284"/>
    <w:rsid w:val="006E5318"/>
    <w:rsid w:val="006E6E97"/>
    <w:rsid w:val="006E70D0"/>
    <w:rsid w:val="006E7315"/>
    <w:rsid w:val="006F0458"/>
    <w:rsid w:val="006F08FB"/>
    <w:rsid w:val="006F1C64"/>
    <w:rsid w:val="006F2F8C"/>
    <w:rsid w:val="006F34B0"/>
    <w:rsid w:val="006F3F4E"/>
    <w:rsid w:val="006F568B"/>
    <w:rsid w:val="006F5B3C"/>
    <w:rsid w:val="006F71F3"/>
    <w:rsid w:val="00700410"/>
    <w:rsid w:val="0070079A"/>
    <w:rsid w:val="00701AE8"/>
    <w:rsid w:val="00702B58"/>
    <w:rsid w:val="00703115"/>
    <w:rsid w:val="00703D20"/>
    <w:rsid w:val="00705E71"/>
    <w:rsid w:val="00711632"/>
    <w:rsid w:val="007124B7"/>
    <w:rsid w:val="0071257C"/>
    <w:rsid w:val="00712EB9"/>
    <w:rsid w:val="0071482F"/>
    <w:rsid w:val="00715B84"/>
    <w:rsid w:val="00716D87"/>
    <w:rsid w:val="00717582"/>
    <w:rsid w:val="007177FC"/>
    <w:rsid w:val="00717B20"/>
    <w:rsid w:val="007212E2"/>
    <w:rsid w:val="007237EB"/>
    <w:rsid w:val="00723E4F"/>
    <w:rsid w:val="00723FAA"/>
    <w:rsid w:val="007240A6"/>
    <w:rsid w:val="00724620"/>
    <w:rsid w:val="00724E26"/>
    <w:rsid w:val="007252D2"/>
    <w:rsid w:val="007259B5"/>
    <w:rsid w:val="007266EA"/>
    <w:rsid w:val="00726E51"/>
    <w:rsid w:val="00727F8C"/>
    <w:rsid w:val="0073066F"/>
    <w:rsid w:val="0073199B"/>
    <w:rsid w:val="00731C98"/>
    <w:rsid w:val="00732EE1"/>
    <w:rsid w:val="00734BCE"/>
    <w:rsid w:val="007355D6"/>
    <w:rsid w:val="00736AB5"/>
    <w:rsid w:val="00737651"/>
    <w:rsid w:val="00740960"/>
    <w:rsid w:val="007429AC"/>
    <w:rsid w:val="00744888"/>
    <w:rsid w:val="00745131"/>
    <w:rsid w:val="00747F88"/>
    <w:rsid w:val="00747FA3"/>
    <w:rsid w:val="00754687"/>
    <w:rsid w:val="0075508F"/>
    <w:rsid w:val="007567DB"/>
    <w:rsid w:val="007605CA"/>
    <w:rsid w:val="007606CE"/>
    <w:rsid w:val="0076150A"/>
    <w:rsid w:val="0076236D"/>
    <w:rsid w:val="00762A12"/>
    <w:rsid w:val="00762AA1"/>
    <w:rsid w:val="00762FF6"/>
    <w:rsid w:val="0076496E"/>
    <w:rsid w:val="0076539D"/>
    <w:rsid w:val="0076565B"/>
    <w:rsid w:val="00765E0A"/>
    <w:rsid w:val="00765F69"/>
    <w:rsid w:val="00767A13"/>
    <w:rsid w:val="00767C5A"/>
    <w:rsid w:val="007701A0"/>
    <w:rsid w:val="0077128E"/>
    <w:rsid w:val="00773053"/>
    <w:rsid w:val="00773090"/>
    <w:rsid w:val="00777A2B"/>
    <w:rsid w:val="007802C0"/>
    <w:rsid w:val="00781E0F"/>
    <w:rsid w:val="00782F34"/>
    <w:rsid w:val="00784E3D"/>
    <w:rsid w:val="007850DC"/>
    <w:rsid w:val="007866A1"/>
    <w:rsid w:val="00793051"/>
    <w:rsid w:val="0079457C"/>
    <w:rsid w:val="007A12FC"/>
    <w:rsid w:val="007A2833"/>
    <w:rsid w:val="007A2FFF"/>
    <w:rsid w:val="007A5ED8"/>
    <w:rsid w:val="007A5FC3"/>
    <w:rsid w:val="007B0C2C"/>
    <w:rsid w:val="007B0C80"/>
    <w:rsid w:val="007B0E76"/>
    <w:rsid w:val="007B1EBF"/>
    <w:rsid w:val="007B2852"/>
    <w:rsid w:val="007B3414"/>
    <w:rsid w:val="007B4E4A"/>
    <w:rsid w:val="007B52E1"/>
    <w:rsid w:val="007B57DA"/>
    <w:rsid w:val="007C03AC"/>
    <w:rsid w:val="007C3D3C"/>
    <w:rsid w:val="007C4AA0"/>
    <w:rsid w:val="007C609B"/>
    <w:rsid w:val="007D06D1"/>
    <w:rsid w:val="007D0CD4"/>
    <w:rsid w:val="007D2945"/>
    <w:rsid w:val="007D3A4B"/>
    <w:rsid w:val="007D5313"/>
    <w:rsid w:val="007D5D50"/>
    <w:rsid w:val="007D695F"/>
    <w:rsid w:val="007D7D22"/>
    <w:rsid w:val="007E1114"/>
    <w:rsid w:val="007E2115"/>
    <w:rsid w:val="007E4E45"/>
    <w:rsid w:val="007E54E1"/>
    <w:rsid w:val="007F30C2"/>
    <w:rsid w:val="007F451E"/>
    <w:rsid w:val="007F7003"/>
    <w:rsid w:val="007F7DB3"/>
    <w:rsid w:val="008002D4"/>
    <w:rsid w:val="00803B01"/>
    <w:rsid w:val="00806C68"/>
    <w:rsid w:val="008075D4"/>
    <w:rsid w:val="008076C8"/>
    <w:rsid w:val="00807B50"/>
    <w:rsid w:val="0081005E"/>
    <w:rsid w:val="00811291"/>
    <w:rsid w:val="008117BC"/>
    <w:rsid w:val="0081233C"/>
    <w:rsid w:val="00812A8A"/>
    <w:rsid w:val="0081322C"/>
    <w:rsid w:val="00813577"/>
    <w:rsid w:val="0081561D"/>
    <w:rsid w:val="008212B4"/>
    <w:rsid w:val="00822450"/>
    <w:rsid w:val="008228F3"/>
    <w:rsid w:val="00823DD8"/>
    <w:rsid w:val="00824B13"/>
    <w:rsid w:val="00825DD8"/>
    <w:rsid w:val="00826074"/>
    <w:rsid w:val="00830210"/>
    <w:rsid w:val="0083142B"/>
    <w:rsid w:val="00831E61"/>
    <w:rsid w:val="008322D7"/>
    <w:rsid w:val="00832652"/>
    <w:rsid w:val="008329AA"/>
    <w:rsid w:val="00834AE8"/>
    <w:rsid w:val="00835C1F"/>
    <w:rsid w:val="00836237"/>
    <w:rsid w:val="0083638A"/>
    <w:rsid w:val="00841398"/>
    <w:rsid w:val="0084193E"/>
    <w:rsid w:val="008430CF"/>
    <w:rsid w:val="00845294"/>
    <w:rsid w:val="008522FD"/>
    <w:rsid w:val="00853BFB"/>
    <w:rsid w:val="00862A84"/>
    <w:rsid w:val="0086454E"/>
    <w:rsid w:val="00864A99"/>
    <w:rsid w:val="00865BBB"/>
    <w:rsid w:val="00866E98"/>
    <w:rsid w:val="008671A4"/>
    <w:rsid w:val="008677E5"/>
    <w:rsid w:val="00867E06"/>
    <w:rsid w:val="00870744"/>
    <w:rsid w:val="008712A2"/>
    <w:rsid w:val="0087318A"/>
    <w:rsid w:val="008742F0"/>
    <w:rsid w:val="008750F8"/>
    <w:rsid w:val="00875A08"/>
    <w:rsid w:val="0087650D"/>
    <w:rsid w:val="00876FA5"/>
    <w:rsid w:val="00877B7A"/>
    <w:rsid w:val="008801AE"/>
    <w:rsid w:val="008823F2"/>
    <w:rsid w:val="00883A9A"/>
    <w:rsid w:val="00884A78"/>
    <w:rsid w:val="00885170"/>
    <w:rsid w:val="008863F3"/>
    <w:rsid w:val="00890B2E"/>
    <w:rsid w:val="0089290E"/>
    <w:rsid w:val="00892F51"/>
    <w:rsid w:val="008944D9"/>
    <w:rsid w:val="00894594"/>
    <w:rsid w:val="00894CB8"/>
    <w:rsid w:val="00895A60"/>
    <w:rsid w:val="00896392"/>
    <w:rsid w:val="00896C34"/>
    <w:rsid w:val="008971A2"/>
    <w:rsid w:val="008A137A"/>
    <w:rsid w:val="008A244B"/>
    <w:rsid w:val="008A3FAA"/>
    <w:rsid w:val="008A4BFC"/>
    <w:rsid w:val="008A6C9C"/>
    <w:rsid w:val="008A705C"/>
    <w:rsid w:val="008A790D"/>
    <w:rsid w:val="008B0D84"/>
    <w:rsid w:val="008B124F"/>
    <w:rsid w:val="008B3658"/>
    <w:rsid w:val="008B3A95"/>
    <w:rsid w:val="008B4752"/>
    <w:rsid w:val="008B550B"/>
    <w:rsid w:val="008B629F"/>
    <w:rsid w:val="008B7802"/>
    <w:rsid w:val="008C037C"/>
    <w:rsid w:val="008C039D"/>
    <w:rsid w:val="008C17D9"/>
    <w:rsid w:val="008C245A"/>
    <w:rsid w:val="008C395F"/>
    <w:rsid w:val="008C48A6"/>
    <w:rsid w:val="008D03BA"/>
    <w:rsid w:val="008D10E3"/>
    <w:rsid w:val="008D1A3E"/>
    <w:rsid w:val="008D1AE7"/>
    <w:rsid w:val="008D385D"/>
    <w:rsid w:val="008D38E3"/>
    <w:rsid w:val="008D3CF4"/>
    <w:rsid w:val="008D4C1D"/>
    <w:rsid w:val="008D58FC"/>
    <w:rsid w:val="008D68EE"/>
    <w:rsid w:val="008E1D50"/>
    <w:rsid w:val="008E24B1"/>
    <w:rsid w:val="008E3C84"/>
    <w:rsid w:val="008E3F29"/>
    <w:rsid w:val="008E4E09"/>
    <w:rsid w:val="008E530B"/>
    <w:rsid w:val="008E5CED"/>
    <w:rsid w:val="008E5E8C"/>
    <w:rsid w:val="008E7014"/>
    <w:rsid w:val="008F037D"/>
    <w:rsid w:val="008F0A6D"/>
    <w:rsid w:val="008F1508"/>
    <w:rsid w:val="008F1A1E"/>
    <w:rsid w:val="008F2A00"/>
    <w:rsid w:val="008F3EDE"/>
    <w:rsid w:val="008F53AD"/>
    <w:rsid w:val="008F5C00"/>
    <w:rsid w:val="008F6660"/>
    <w:rsid w:val="008F6B1F"/>
    <w:rsid w:val="008F6F53"/>
    <w:rsid w:val="008F7185"/>
    <w:rsid w:val="008F79D6"/>
    <w:rsid w:val="008F7B7E"/>
    <w:rsid w:val="008F7E94"/>
    <w:rsid w:val="009022B2"/>
    <w:rsid w:val="009036FF"/>
    <w:rsid w:val="009044F2"/>
    <w:rsid w:val="00907BC7"/>
    <w:rsid w:val="00910577"/>
    <w:rsid w:val="00910FFB"/>
    <w:rsid w:val="009119B9"/>
    <w:rsid w:val="0091337D"/>
    <w:rsid w:val="00914E82"/>
    <w:rsid w:val="00915261"/>
    <w:rsid w:val="00915DE1"/>
    <w:rsid w:val="00916F8D"/>
    <w:rsid w:val="009178F1"/>
    <w:rsid w:val="00917D0E"/>
    <w:rsid w:val="009204E7"/>
    <w:rsid w:val="0092213F"/>
    <w:rsid w:val="00924E4B"/>
    <w:rsid w:val="00926DF8"/>
    <w:rsid w:val="009275D9"/>
    <w:rsid w:val="00931161"/>
    <w:rsid w:val="00931844"/>
    <w:rsid w:val="009329FD"/>
    <w:rsid w:val="00932C9E"/>
    <w:rsid w:val="00934FBC"/>
    <w:rsid w:val="0093512D"/>
    <w:rsid w:val="00936DFC"/>
    <w:rsid w:val="009374E7"/>
    <w:rsid w:val="00937A4F"/>
    <w:rsid w:val="0094125D"/>
    <w:rsid w:val="00941E78"/>
    <w:rsid w:val="00941EDE"/>
    <w:rsid w:val="00942950"/>
    <w:rsid w:val="0094378B"/>
    <w:rsid w:val="00945ECB"/>
    <w:rsid w:val="0094738A"/>
    <w:rsid w:val="009473C5"/>
    <w:rsid w:val="0095219D"/>
    <w:rsid w:val="009528E7"/>
    <w:rsid w:val="0095352C"/>
    <w:rsid w:val="009549B7"/>
    <w:rsid w:val="00955295"/>
    <w:rsid w:val="00957F83"/>
    <w:rsid w:val="009607FF"/>
    <w:rsid w:val="009609E1"/>
    <w:rsid w:val="00961917"/>
    <w:rsid w:val="00964CA0"/>
    <w:rsid w:val="00964E47"/>
    <w:rsid w:val="00966262"/>
    <w:rsid w:val="009662E0"/>
    <w:rsid w:val="00966752"/>
    <w:rsid w:val="0096788D"/>
    <w:rsid w:val="009700BF"/>
    <w:rsid w:val="00970E16"/>
    <w:rsid w:val="00972BFB"/>
    <w:rsid w:val="009752CC"/>
    <w:rsid w:val="00976364"/>
    <w:rsid w:val="00976AFB"/>
    <w:rsid w:val="00980ADB"/>
    <w:rsid w:val="00982510"/>
    <w:rsid w:val="00983315"/>
    <w:rsid w:val="00983521"/>
    <w:rsid w:val="00985AC5"/>
    <w:rsid w:val="00985E8B"/>
    <w:rsid w:val="00986D9B"/>
    <w:rsid w:val="00986F73"/>
    <w:rsid w:val="00993480"/>
    <w:rsid w:val="009956D3"/>
    <w:rsid w:val="00995C09"/>
    <w:rsid w:val="009A0B20"/>
    <w:rsid w:val="009A14E2"/>
    <w:rsid w:val="009A4382"/>
    <w:rsid w:val="009A4EB7"/>
    <w:rsid w:val="009A548C"/>
    <w:rsid w:val="009A5A8F"/>
    <w:rsid w:val="009A7304"/>
    <w:rsid w:val="009B0514"/>
    <w:rsid w:val="009B1B30"/>
    <w:rsid w:val="009B7BA6"/>
    <w:rsid w:val="009C3249"/>
    <w:rsid w:val="009C4781"/>
    <w:rsid w:val="009C4D3B"/>
    <w:rsid w:val="009C5195"/>
    <w:rsid w:val="009C7BE8"/>
    <w:rsid w:val="009D0604"/>
    <w:rsid w:val="009D12A0"/>
    <w:rsid w:val="009D19A6"/>
    <w:rsid w:val="009D19DB"/>
    <w:rsid w:val="009D2902"/>
    <w:rsid w:val="009D292A"/>
    <w:rsid w:val="009D3215"/>
    <w:rsid w:val="009D3286"/>
    <w:rsid w:val="009D3D69"/>
    <w:rsid w:val="009D4E63"/>
    <w:rsid w:val="009D72AF"/>
    <w:rsid w:val="009E1516"/>
    <w:rsid w:val="009E21C0"/>
    <w:rsid w:val="009E7023"/>
    <w:rsid w:val="009E7497"/>
    <w:rsid w:val="009F018C"/>
    <w:rsid w:val="009F2048"/>
    <w:rsid w:val="009F3F04"/>
    <w:rsid w:val="009F409B"/>
    <w:rsid w:val="009F495C"/>
    <w:rsid w:val="009F6202"/>
    <w:rsid w:val="009F63E1"/>
    <w:rsid w:val="009F7229"/>
    <w:rsid w:val="00A005F1"/>
    <w:rsid w:val="00A014CD"/>
    <w:rsid w:val="00A02B9C"/>
    <w:rsid w:val="00A0408C"/>
    <w:rsid w:val="00A05B3D"/>
    <w:rsid w:val="00A07686"/>
    <w:rsid w:val="00A07B23"/>
    <w:rsid w:val="00A10090"/>
    <w:rsid w:val="00A1024E"/>
    <w:rsid w:val="00A10E67"/>
    <w:rsid w:val="00A1181F"/>
    <w:rsid w:val="00A163F2"/>
    <w:rsid w:val="00A16A1B"/>
    <w:rsid w:val="00A1792C"/>
    <w:rsid w:val="00A20621"/>
    <w:rsid w:val="00A227FF"/>
    <w:rsid w:val="00A24926"/>
    <w:rsid w:val="00A2531E"/>
    <w:rsid w:val="00A25761"/>
    <w:rsid w:val="00A25F37"/>
    <w:rsid w:val="00A31CCF"/>
    <w:rsid w:val="00A342ED"/>
    <w:rsid w:val="00A34C43"/>
    <w:rsid w:val="00A371E6"/>
    <w:rsid w:val="00A372C1"/>
    <w:rsid w:val="00A37A79"/>
    <w:rsid w:val="00A4100F"/>
    <w:rsid w:val="00A41626"/>
    <w:rsid w:val="00A41CCC"/>
    <w:rsid w:val="00A43A29"/>
    <w:rsid w:val="00A44976"/>
    <w:rsid w:val="00A449A4"/>
    <w:rsid w:val="00A47454"/>
    <w:rsid w:val="00A501F6"/>
    <w:rsid w:val="00A50A13"/>
    <w:rsid w:val="00A50A26"/>
    <w:rsid w:val="00A512B4"/>
    <w:rsid w:val="00A51605"/>
    <w:rsid w:val="00A5213F"/>
    <w:rsid w:val="00A52B88"/>
    <w:rsid w:val="00A5779B"/>
    <w:rsid w:val="00A6026C"/>
    <w:rsid w:val="00A613E4"/>
    <w:rsid w:val="00A613F0"/>
    <w:rsid w:val="00A622BD"/>
    <w:rsid w:val="00A639C1"/>
    <w:rsid w:val="00A63C2A"/>
    <w:rsid w:val="00A64CF3"/>
    <w:rsid w:val="00A64DBF"/>
    <w:rsid w:val="00A650EF"/>
    <w:rsid w:val="00A6511E"/>
    <w:rsid w:val="00A6729F"/>
    <w:rsid w:val="00A67B65"/>
    <w:rsid w:val="00A7172F"/>
    <w:rsid w:val="00A71E72"/>
    <w:rsid w:val="00A72432"/>
    <w:rsid w:val="00A731D0"/>
    <w:rsid w:val="00A74AB9"/>
    <w:rsid w:val="00A74BE9"/>
    <w:rsid w:val="00A764F9"/>
    <w:rsid w:val="00A80D43"/>
    <w:rsid w:val="00A82041"/>
    <w:rsid w:val="00A826B1"/>
    <w:rsid w:val="00A8334A"/>
    <w:rsid w:val="00A84F20"/>
    <w:rsid w:val="00A9077A"/>
    <w:rsid w:val="00A90F73"/>
    <w:rsid w:val="00A9114B"/>
    <w:rsid w:val="00A92068"/>
    <w:rsid w:val="00A92C64"/>
    <w:rsid w:val="00A939A1"/>
    <w:rsid w:val="00A94127"/>
    <w:rsid w:val="00A963A5"/>
    <w:rsid w:val="00A96E82"/>
    <w:rsid w:val="00A979F1"/>
    <w:rsid w:val="00A97B80"/>
    <w:rsid w:val="00A97C7F"/>
    <w:rsid w:val="00AA0DE6"/>
    <w:rsid w:val="00AA359B"/>
    <w:rsid w:val="00AA3F86"/>
    <w:rsid w:val="00AA45ED"/>
    <w:rsid w:val="00AA5967"/>
    <w:rsid w:val="00AA7AAD"/>
    <w:rsid w:val="00AB1176"/>
    <w:rsid w:val="00AB3306"/>
    <w:rsid w:val="00AB3A8F"/>
    <w:rsid w:val="00AB3E4E"/>
    <w:rsid w:val="00AB4F51"/>
    <w:rsid w:val="00AB5EF5"/>
    <w:rsid w:val="00AB618B"/>
    <w:rsid w:val="00AC04B7"/>
    <w:rsid w:val="00AC18F1"/>
    <w:rsid w:val="00AC1BBD"/>
    <w:rsid w:val="00AC227F"/>
    <w:rsid w:val="00AC2DAD"/>
    <w:rsid w:val="00AC3D0D"/>
    <w:rsid w:val="00AC4B4E"/>
    <w:rsid w:val="00AC578E"/>
    <w:rsid w:val="00AD04CF"/>
    <w:rsid w:val="00AD0BC0"/>
    <w:rsid w:val="00AD1834"/>
    <w:rsid w:val="00AD2617"/>
    <w:rsid w:val="00AD3182"/>
    <w:rsid w:val="00AD71D5"/>
    <w:rsid w:val="00AD7CD1"/>
    <w:rsid w:val="00AE0BE7"/>
    <w:rsid w:val="00AE0EE2"/>
    <w:rsid w:val="00AE3D47"/>
    <w:rsid w:val="00AE6A4A"/>
    <w:rsid w:val="00AE6E26"/>
    <w:rsid w:val="00AF0F3F"/>
    <w:rsid w:val="00AF30D7"/>
    <w:rsid w:val="00AF3AAE"/>
    <w:rsid w:val="00AF5703"/>
    <w:rsid w:val="00AF7350"/>
    <w:rsid w:val="00B04C77"/>
    <w:rsid w:val="00B067DB"/>
    <w:rsid w:val="00B11415"/>
    <w:rsid w:val="00B131E9"/>
    <w:rsid w:val="00B137BE"/>
    <w:rsid w:val="00B13A4D"/>
    <w:rsid w:val="00B15A6E"/>
    <w:rsid w:val="00B15E1C"/>
    <w:rsid w:val="00B17096"/>
    <w:rsid w:val="00B17A72"/>
    <w:rsid w:val="00B21164"/>
    <w:rsid w:val="00B211EE"/>
    <w:rsid w:val="00B23845"/>
    <w:rsid w:val="00B258A9"/>
    <w:rsid w:val="00B2599D"/>
    <w:rsid w:val="00B31650"/>
    <w:rsid w:val="00B32D18"/>
    <w:rsid w:val="00B3302D"/>
    <w:rsid w:val="00B33933"/>
    <w:rsid w:val="00B33E05"/>
    <w:rsid w:val="00B35DAE"/>
    <w:rsid w:val="00B362BC"/>
    <w:rsid w:val="00B3662E"/>
    <w:rsid w:val="00B36D67"/>
    <w:rsid w:val="00B40183"/>
    <w:rsid w:val="00B40D71"/>
    <w:rsid w:val="00B41F52"/>
    <w:rsid w:val="00B42F2D"/>
    <w:rsid w:val="00B4784C"/>
    <w:rsid w:val="00B47C0A"/>
    <w:rsid w:val="00B507DA"/>
    <w:rsid w:val="00B52ABD"/>
    <w:rsid w:val="00B535EF"/>
    <w:rsid w:val="00B544D4"/>
    <w:rsid w:val="00B55089"/>
    <w:rsid w:val="00B56912"/>
    <w:rsid w:val="00B60E90"/>
    <w:rsid w:val="00B61F98"/>
    <w:rsid w:val="00B62903"/>
    <w:rsid w:val="00B636D4"/>
    <w:rsid w:val="00B63707"/>
    <w:rsid w:val="00B63CF0"/>
    <w:rsid w:val="00B64D0D"/>
    <w:rsid w:val="00B66879"/>
    <w:rsid w:val="00B66B42"/>
    <w:rsid w:val="00B71C7D"/>
    <w:rsid w:val="00B71D6F"/>
    <w:rsid w:val="00B739BF"/>
    <w:rsid w:val="00B760D7"/>
    <w:rsid w:val="00B77125"/>
    <w:rsid w:val="00B80A9C"/>
    <w:rsid w:val="00B816DC"/>
    <w:rsid w:val="00B82352"/>
    <w:rsid w:val="00B82480"/>
    <w:rsid w:val="00B8292B"/>
    <w:rsid w:val="00B83F4A"/>
    <w:rsid w:val="00B84C2A"/>
    <w:rsid w:val="00B8569D"/>
    <w:rsid w:val="00B86A51"/>
    <w:rsid w:val="00B90E50"/>
    <w:rsid w:val="00B92184"/>
    <w:rsid w:val="00B93FAA"/>
    <w:rsid w:val="00B97F59"/>
    <w:rsid w:val="00BA099B"/>
    <w:rsid w:val="00BA2C8B"/>
    <w:rsid w:val="00BA326B"/>
    <w:rsid w:val="00BA4472"/>
    <w:rsid w:val="00BA44C7"/>
    <w:rsid w:val="00BA481B"/>
    <w:rsid w:val="00BA5357"/>
    <w:rsid w:val="00BA5437"/>
    <w:rsid w:val="00BA674D"/>
    <w:rsid w:val="00BA7F2A"/>
    <w:rsid w:val="00BB07F9"/>
    <w:rsid w:val="00BB0E62"/>
    <w:rsid w:val="00BB1312"/>
    <w:rsid w:val="00BB1453"/>
    <w:rsid w:val="00BB2F04"/>
    <w:rsid w:val="00BB2FFB"/>
    <w:rsid w:val="00BB30B7"/>
    <w:rsid w:val="00BB4F96"/>
    <w:rsid w:val="00BB5157"/>
    <w:rsid w:val="00BB5C76"/>
    <w:rsid w:val="00BB64F6"/>
    <w:rsid w:val="00BB66FE"/>
    <w:rsid w:val="00BB7546"/>
    <w:rsid w:val="00BC3382"/>
    <w:rsid w:val="00BC4112"/>
    <w:rsid w:val="00BC5B81"/>
    <w:rsid w:val="00BC65AD"/>
    <w:rsid w:val="00BD05AA"/>
    <w:rsid w:val="00BD0DF0"/>
    <w:rsid w:val="00BD2230"/>
    <w:rsid w:val="00BD29BA"/>
    <w:rsid w:val="00BD2B4A"/>
    <w:rsid w:val="00BD2E8A"/>
    <w:rsid w:val="00BD5940"/>
    <w:rsid w:val="00BD6A94"/>
    <w:rsid w:val="00BE1DCE"/>
    <w:rsid w:val="00BE3CA8"/>
    <w:rsid w:val="00BE549B"/>
    <w:rsid w:val="00BE5837"/>
    <w:rsid w:val="00BE6D47"/>
    <w:rsid w:val="00BE7325"/>
    <w:rsid w:val="00BF0628"/>
    <w:rsid w:val="00BF06BE"/>
    <w:rsid w:val="00BF0A75"/>
    <w:rsid w:val="00BF3900"/>
    <w:rsid w:val="00BF477F"/>
    <w:rsid w:val="00BF4939"/>
    <w:rsid w:val="00BF495E"/>
    <w:rsid w:val="00BF5833"/>
    <w:rsid w:val="00BF59A6"/>
    <w:rsid w:val="00BF5C32"/>
    <w:rsid w:val="00BF654E"/>
    <w:rsid w:val="00C00A26"/>
    <w:rsid w:val="00C0412A"/>
    <w:rsid w:val="00C0461A"/>
    <w:rsid w:val="00C0514A"/>
    <w:rsid w:val="00C05B2E"/>
    <w:rsid w:val="00C05CFF"/>
    <w:rsid w:val="00C05EE5"/>
    <w:rsid w:val="00C06276"/>
    <w:rsid w:val="00C06F72"/>
    <w:rsid w:val="00C122D1"/>
    <w:rsid w:val="00C14F1E"/>
    <w:rsid w:val="00C14FCA"/>
    <w:rsid w:val="00C15CF5"/>
    <w:rsid w:val="00C17514"/>
    <w:rsid w:val="00C20181"/>
    <w:rsid w:val="00C226E3"/>
    <w:rsid w:val="00C22CD8"/>
    <w:rsid w:val="00C25284"/>
    <w:rsid w:val="00C2753D"/>
    <w:rsid w:val="00C30A99"/>
    <w:rsid w:val="00C319C3"/>
    <w:rsid w:val="00C339B4"/>
    <w:rsid w:val="00C33FC3"/>
    <w:rsid w:val="00C35234"/>
    <w:rsid w:val="00C35756"/>
    <w:rsid w:val="00C40A78"/>
    <w:rsid w:val="00C41021"/>
    <w:rsid w:val="00C42CC3"/>
    <w:rsid w:val="00C43590"/>
    <w:rsid w:val="00C44C5D"/>
    <w:rsid w:val="00C44E2B"/>
    <w:rsid w:val="00C45276"/>
    <w:rsid w:val="00C465AF"/>
    <w:rsid w:val="00C46BC6"/>
    <w:rsid w:val="00C46D51"/>
    <w:rsid w:val="00C4712D"/>
    <w:rsid w:val="00C479E6"/>
    <w:rsid w:val="00C47A6E"/>
    <w:rsid w:val="00C50FC5"/>
    <w:rsid w:val="00C52494"/>
    <w:rsid w:val="00C52754"/>
    <w:rsid w:val="00C5286E"/>
    <w:rsid w:val="00C538C5"/>
    <w:rsid w:val="00C539AC"/>
    <w:rsid w:val="00C5770D"/>
    <w:rsid w:val="00C577D4"/>
    <w:rsid w:val="00C61A7A"/>
    <w:rsid w:val="00C637D2"/>
    <w:rsid w:val="00C63AE9"/>
    <w:rsid w:val="00C64AF5"/>
    <w:rsid w:val="00C64EAA"/>
    <w:rsid w:val="00C670D9"/>
    <w:rsid w:val="00C70317"/>
    <w:rsid w:val="00C71652"/>
    <w:rsid w:val="00C72D39"/>
    <w:rsid w:val="00C72DCC"/>
    <w:rsid w:val="00C74375"/>
    <w:rsid w:val="00C80A72"/>
    <w:rsid w:val="00C81924"/>
    <w:rsid w:val="00C8192C"/>
    <w:rsid w:val="00C81C8C"/>
    <w:rsid w:val="00C83F16"/>
    <w:rsid w:val="00C84A93"/>
    <w:rsid w:val="00C85DCC"/>
    <w:rsid w:val="00C871FD"/>
    <w:rsid w:val="00C87492"/>
    <w:rsid w:val="00C90C09"/>
    <w:rsid w:val="00C90C41"/>
    <w:rsid w:val="00C9242E"/>
    <w:rsid w:val="00C93C2D"/>
    <w:rsid w:val="00C9403D"/>
    <w:rsid w:val="00C94184"/>
    <w:rsid w:val="00C94905"/>
    <w:rsid w:val="00C94E36"/>
    <w:rsid w:val="00C958B7"/>
    <w:rsid w:val="00C95922"/>
    <w:rsid w:val="00C95FD1"/>
    <w:rsid w:val="00C97039"/>
    <w:rsid w:val="00C97559"/>
    <w:rsid w:val="00C97743"/>
    <w:rsid w:val="00C97EC4"/>
    <w:rsid w:val="00CA11C3"/>
    <w:rsid w:val="00CA26FD"/>
    <w:rsid w:val="00CA2ACC"/>
    <w:rsid w:val="00CA36B8"/>
    <w:rsid w:val="00CA37AC"/>
    <w:rsid w:val="00CA3AE0"/>
    <w:rsid w:val="00CA4441"/>
    <w:rsid w:val="00CA4DE2"/>
    <w:rsid w:val="00CA760D"/>
    <w:rsid w:val="00CA7B7E"/>
    <w:rsid w:val="00CA7C00"/>
    <w:rsid w:val="00CB1C7D"/>
    <w:rsid w:val="00CB4797"/>
    <w:rsid w:val="00CB6487"/>
    <w:rsid w:val="00CB6E44"/>
    <w:rsid w:val="00CC0B3C"/>
    <w:rsid w:val="00CC0C48"/>
    <w:rsid w:val="00CC23CF"/>
    <w:rsid w:val="00CC3D64"/>
    <w:rsid w:val="00CC4061"/>
    <w:rsid w:val="00CC7BDA"/>
    <w:rsid w:val="00CD54DF"/>
    <w:rsid w:val="00CD63C4"/>
    <w:rsid w:val="00CD6C7C"/>
    <w:rsid w:val="00CE08D4"/>
    <w:rsid w:val="00CE0BFD"/>
    <w:rsid w:val="00CE1B6A"/>
    <w:rsid w:val="00CE1EA0"/>
    <w:rsid w:val="00CE2C20"/>
    <w:rsid w:val="00CE4146"/>
    <w:rsid w:val="00CE47B5"/>
    <w:rsid w:val="00CE4FCD"/>
    <w:rsid w:val="00CE572E"/>
    <w:rsid w:val="00CE693C"/>
    <w:rsid w:val="00CE6EE3"/>
    <w:rsid w:val="00CE7466"/>
    <w:rsid w:val="00CF1755"/>
    <w:rsid w:val="00CF26C5"/>
    <w:rsid w:val="00CF28CB"/>
    <w:rsid w:val="00CF296F"/>
    <w:rsid w:val="00CF2BC0"/>
    <w:rsid w:val="00CF2FAB"/>
    <w:rsid w:val="00CF325D"/>
    <w:rsid w:val="00CF5899"/>
    <w:rsid w:val="00CF6928"/>
    <w:rsid w:val="00CF6BE1"/>
    <w:rsid w:val="00CF70C6"/>
    <w:rsid w:val="00CF79DF"/>
    <w:rsid w:val="00D02254"/>
    <w:rsid w:val="00D02B06"/>
    <w:rsid w:val="00D03426"/>
    <w:rsid w:val="00D03F74"/>
    <w:rsid w:val="00D0496A"/>
    <w:rsid w:val="00D10263"/>
    <w:rsid w:val="00D1056D"/>
    <w:rsid w:val="00D14656"/>
    <w:rsid w:val="00D1610C"/>
    <w:rsid w:val="00D1759D"/>
    <w:rsid w:val="00D17633"/>
    <w:rsid w:val="00D17E1A"/>
    <w:rsid w:val="00D20660"/>
    <w:rsid w:val="00D20F82"/>
    <w:rsid w:val="00D225B4"/>
    <w:rsid w:val="00D2424E"/>
    <w:rsid w:val="00D24994"/>
    <w:rsid w:val="00D26354"/>
    <w:rsid w:val="00D27047"/>
    <w:rsid w:val="00D27486"/>
    <w:rsid w:val="00D30344"/>
    <w:rsid w:val="00D33B69"/>
    <w:rsid w:val="00D33D07"/>
    <w:rsid w:val="00D34D8F"/>
    <w:rsid w:val="00D37D37"/>
    <w:rsid w:val="00D411D9"/>
    <w:rsid w:val="00D42B97"/>
    <w:rsid w:val="00D438E8"/>
    <w:rsid w:val="00D43A5B"/>
    <w:rsid w:val="00D43BFD"/>
    <w:rsid w:val="00D43E1B"/>
    <w:rsid w:val="00D47301"/>
    <w:rsid w:val="00D478CA"/>
    <w:rsid w:val="00D51483"/>
    <w:rsid w:val="00D528D3"/>
    <w:rsid w:val="00D5563A"/>
    <w:rsid w:val="00D55FA7"/>
    <w:rsid w:val="00D56C04"/>
    <w:rsid w:val="00D57024"/>
    <w:rsid w:val="00D57C65"/>
    <w:rsid w:val="00D60BC4"/>
    <w:rsid w:val="00D60CB0"/>
    <w:rsid w:val="00D61370"/>
    <w:rsid w:val="00D61E94"/>
    <w:rsid w:val="00D6336C"/>
    <w:rsid w:val="00D66FAD"/>
    <w:rsid w:val="00D70804"/>
    <w:rsid w:val="00D7088C"/>
    <w:rsid w:val="00D7223B"/>
    <w:rsid w:val="00D727C9"/>
    <w:rsid w:val="00D72CFA"/>
    <w:rsid w:val="00D74A02"/>
    <w:rsid w:val="00D74F69"/>
    <w:rsid w:val="00D76FC9"/>
    <w:rsid w:val="00D77A50"/>
    <w:rsid w:val="00D80CC0"/>
    <w:rsid w:val="00D816B0"/>
    <w:rsid w:val="00D81BFD"/>
    <w:rsid w:val="00D84C17"/>
    <w:rsid w:val="00D84F3A"/>
    <w:rsid w:val="00D8506E"/>
    <w:rsid w:val="00D8609A"/>
    <w:rsid w:val="00D86ACD"/>
    <w:rsid w:val="00D900DB"/>
    <w:rsid w:val="00D90470"/>
    <w:rsid w:val="00D91096"/>
    <w:rsid w:val="00D91424"/>
    <w:rsid w:val="00D94D68"/>
    <w:rsid w:val="00D94FBC"/>
    <w:rsid w:val="00D96CDC"/>
    <w:rsid w:val="00D97460"/>
    <w:rsid w:val="00D974C1"/>
    <w:rsid w:val="00DA2632"/>
    <w:rsid w:val="00DA46F8"/>
    <w:rsid w:val="00DA79BD"/>
    <w:rsid w:val="00DA7DB0"/>
    <w:rsid w:val="00DB155D"/>
    <w:rsid w:val="00DC00D3"/>
    <w:rsid w:val="00DC16F6"/>
    <w:rsid w:val="00DC37DB"/>
    <w:rsid w:val="00DD0BBB"/>
    <w:rsid w:val="00DD147E"/>
    <w:rsid w:val="00DD1505"/>
    <w:rsid w:val="00DD18C5"/>
    <w:rsid w:val="00DD3727"/>
    <w:rsid w:val="00DD3D44"/>
    <w:rsid w:val="00DE2713"/>
    <w:rsid w:val="00DE5F9C"/>
    <w:rsid w:val="00DE6135"/>
    <w:rsid w:val="00DE78BA"/>
    <w:rsid w:val="00DF0A74"/>
    <w:rsid w:val="00DF0E65"/>
    <w:rsid w:val="00DF1D55"/>
    <w:rsid w:val="00DF2116"/>
    <w:rsid w:val="00DF2408"/>
    <w:rsid w:val="00DF2E4A"/>
    <w:rsid w:val="00DF4AD5"/>
    <w:rsid w:val="00DF4E50"/>
    <w:rsid w:val="00DF5BD6"/>
    <w:rsid w:val="00DF60DD"/>
    <w:rsid w:val="00DF64C1"/>
    <w:rsid w:val="00DF6F41"/>
    <w:rsid w:val="00DF72EE"/>
    <w:rsid w:val="00E01DFD"/>
    <w:rsid w:val="00E02B51"/>
    <w:rsid w:val="00E040AF"/>
    <w:rsid w:val="00E060B7"/>
    <w:rsid w:val="00E0650D"/>
    <w:rsid w:val="00E06FDA"/>
    <w:rsid w:val="00E071A3"/>
    <w:rsid w:val="00E11743"/>
    <w:rsid w:val="00E13313"/>
    <w:rsid w:val="00E13B0B"/>
    <w:rsid w:val="00E154FD"/>
    <w:rsid w:val="00E16119"/>
    <w:rsid w:val="00E227D6"/>
    <w:rsid w:val="00E23B2D"/>
    <w:rsid w:val="00E23EE8"/>
    <w:rsid w:val="00E30016"/>
    <w:rsid w:val="00E302C8"/>
    <w:rsid w:val="00E30514"/>
    <w:rsid w:val="00E3240C"/>
    <w:rsid w:val="00E3317A"/>
    <w:rsid w:val="00E357F2"/>
    <w:rsid w:val="00E36704"/>
    <w:rsid w:val="00E4241A"/>
    <w:rsid w:val="00E424FD"/>
    <w:rsid w:val="00E44196"/>
    <w:rsid w:val="00E456AC"/>
    <w:rsid w:val="00E45A99"/>
    <w:rsid w:val="00E45CBE"/>
    <w:rsid w:val="00E461C1"/>
    <w:rsid w:val="00E4651E"/>
    <w:rsid w:val="00E46DEB"/>
    <w:rsid w:val="00E52C2B"/>
    <w:rsid w:val="00E52FCF"/>
    <w:rsid w:val="00E566CD"/>
    <w:rsid w:val="00E57ACB"/>
    <w:rsid w:val="00E60401"/>
    <w:rsid w:val="00E609A9"/>
    <w:rsid w:val="00E60D15"/>
    <w:rsid w:val="00E62325"/>
    <w:rsid w:val="00E62B27"/>
    <w:rsid w:val="00E65C9C"/>
    <w:rsid w:val="00E66559"/>
    <w:rsid w:val="00E67A18"/>
    <w:rsid w:val="00E706C2"/>
    <w:rsid w:val="00E72DA3"/>
    <w:rsid w:val="00E73260"/>
    <w:rsid w:val="00E743C7"/>
    <w:rsid w:val="00E74FCB"/>
    <w:rsid w:val="00E76145"/>
    <w:rsid w:val="00E777F1"/>
    <w:rsid w:val="00E77FA1"/>
    <w:rsid w:val="00E80200"/>
    <w:rsid w:val="00E8197B"/>
    <w:rsid w:val="00E82161"/>
    <w:rsid w:val="00E833A8"/>
    <w:rsid w:val="00E84445"/>
    <w:rsid w:val="00E857FE"/>
    <w:rsid w:val="00E86841"/>
    <w:rsid w:val="00E87BDF"/>
    <w:rsid w:val="00E87D57"/>
    <w:rsid w:val="00E91A2E"/>
    <w:rsid w:val="00E93CFC"/>
    <w:rsid w:val="00E94C25"/>
    <w:rsid w:val="00E96C8B"/>
    <w:rsid w:val="00E97005"/>
    <w:rsid w:val="00E97F9F"/>
    <w:rsid w:val="00EA1445"/>
    <w:rsid w:val="00EA232C"/>
    <w:rsid w:val="00EA2CD0"/>
    <w:rsid w:val="00EA3286"/>
    <w:rsid w:val="00EA473B"/>
    <w:rsid w:val="00EA5819"/>
    <w:rsid w:val="00EA5EA6"/>
    <w:rsid w:val="00EB070C"/>
    <w:rsid w:val="00EB074B"/>
    <w:rsid w:val="00EB4C2E"/>
    <w:rsid w:val="00EB5720"/>
    <w:rsid w:val="00EB581F"/>
    <w:rsid w:val="00EB616B"/>
    <w:rsid w:val="00EB7351"/>
    <w:rsid w:val="00EC0698"/>
    <w:rsid w:val="00EC69D5"/>
    <w:rsid w:val="00EC6CA2"/>
    <w:rsid w:val="00EC7045"/>
    <w:rsid w:val="00EC7260"/>
    <w:rsid w:val="00EC7922"/>
    <w:rsid w:val="00ED1837"/>
    <w:rsid w:val="00ED1DBA"/>
    <w:rsid w:val="00ED36D8"/>
    <w:rsid w:val="00ED5EF5"/>
    <w:rsid w:val="00EE0E60"/>
    <w:rsid w:val="00EE0FC2"/>
    <w:rsid w:val="00EE2895"/>
    <w:rsid w:val="00EE3E54"/>
    <w:rsid w:val="00EE515E"/>
    <w:rsid w:val="00EE520E"/>
    <w:rsid w:val="00EE60A1"/>
    <w:rsid w:val="00EF00E6"/>
    <w:rsid w:val="00EF07E5"/>
    <w:rsid w:val="00EF1CEB"/>
    <w:rsid w:val="00EF2712"/>
    <w:rsid w:val="00EF4F5A"/>
    <w:rsid w:val="00EF56DD"/>
    <w:rsid w:val="00F00244"/>
    <w:rsid w:val="00F00921"/>
    <w:rsid w:val="00F0370C"/>
    <w:rsid w:val="00F040A2"/>
    <w:rsid w:val="00F04C6C"/>
    <w:rsid w:val="00F1022D"/>
    <w:rsid w:val="00F10D20"/>
    <w:rsid w:val="00F12749"/>
    <w:rsid w:val="00F12D5E"/>
    <w:rsid w:val="00F13618"/>
    <w:rsid w:val="00F14086"/>
    <w:rsid w:val="00F14A54"/>
    <w:rsid w:val="00F15BFF"/>
    <w:rsid w:val="00F16629"/>
    <w:rsid w:val="00F16792"/>
    <w:rsid w:val="00F1713D"/>
    <w:rsid w:val="00F178A0"/>
    <w:rsid w:val="00F226A4"/>
    <w:rsid w:val="00F23D8D"/>
    <w:rsid w:val="00F26883"/>
    <w:rsid w:val="00F27CF5"/>
    <w:rsid w:val="00F27DF7"/>
    <w:rsid w:val="00F31593"/>
    <w:rsid w:val="00F32069"/>
    <w:rsid w:val="00F32536"/>
    <w:rsid w:val="00F32CE6"/>
    <w:rsid w:val="00F32FA5"/>
    <w:rsid w:val="00F33336"/>
    <w:rsid w:val="00F34ED6"/>
    <w:rsid w:val="00F37363"/>
    <w:rsid w:val="00F40278"/>
    <w:rsid w:val="00F40D39"/>
    <w:rsid w:val="00F40FA1"/>
    <w:rsid w:val="00F41CF5"/>
    <w:rsid w:val="00F42077"/>
    <w:rsid w:val="00F43BBE"/>
    <w:rsid w:val="00F4440C"/>
    <w:rsid w:val="00F45357"/>
    <w:rsid w:val="00F464B6"/>
    <w:rsid w:val="00F46789"/>
    <w:rsid w:val="00F46C70"/>
    <w:rsid w:val="00F473AE"/>
    <w:rsid w:val="00F47EC9"/>
    <w:rsid w:val="00F50560"/>
    <w:rsid w:val="00F508B6"/>
    <w:rsid w:val="00F5366C"/>
    <w:rsid w:val="00F53FF6"/>
    <w:rsid w:val="00F543B8"/>
    <w:rsid w:val="00F54B11"/>
    <w:rsid w:val="00F54DD2"/>
    <w:rsid w:val="00F576ED"/>
    <w:rsid w:val="00F60017"/>
    <w:rsid w:val="00F606A0"/>
    <w:rsid w:val="00F617BC"/>
    <w:rsid w:val="00F620F9"/>
    <w:rsid w:val="00F633A8"/>
    <w:rsid w:val="00F63F3C"/>
    <w:rsid w:val="00F63F6F"/>
    <w:rsid w:val="00F65124"/>
    <w:rsid w:val="00F658B0"/>
    <w:rsid w:val="00F65D0E"/>
    <w:rsid w:val="00F66A62"/>
    <w:rsid w:val="00F67619"/>
    <w:rsid w:val="00F71214"/>
    <w:rsid w:val="00F715C2"/>
    <w:rsid w:val="00F71E66"/>
    <w:rsid w:val="00F72F33"/>
    <w:rsid w:val="00F73A4E"/>
    <w:rsid w:val="00F75B30"/>
    <w:rsid w:val="00F7764F"/>
    <w:rsid w:val="00F81C98"/>
    <w:rsid w:val="00F8282C"/>
    <w:rsid w:val="00F82AB4"/>
    <w:rsid w:val="00F82B97"/>
    <w:rsid w:val="00F82D56"/>
    <w:rsid w:val="00F85CD6"/>
    <w:rsid w:val="00F9030A"/>
    <w:rsid w:val="00F91CCC"/>
    <w:rsid w:val="00F952AE"/>
    <w:rsid w:val="00F95A96"/>
    <w:rsid w:val="00F95B38"/>
    <w:rsid w:val="00F95D4C"/>
    <w:rsid w:val="00F968CD"/>
    <w:rsid w:val="00F96B5C"/>
    <w:rsid w:val="00F96C14"/>
    <w:rsid w:val="00F96D73"/>
    <w:rsid w:val="00F9714F"/>
    <w:rsid w:val="00F9741C"/>
    <w:rsid w:val="00F97857"/>
    <w:rsid w:val="00FA020B"/>
    <w:rsid w:val="00FA1B89"/>
    <w:rsid w:val="00FA1CF1"/>
    <w:rsid w:val="00FA472E"/>
    <w:rsid w:val="00FA5033"/>
    <w:rsid w:val="00FA57C9"/>
    <w:rsid w:val="00FA70D0"/>
    <w:rsid w:val="00FB0D1C"/>
    <w:rsid w:val="00FB202A"/>
    <w:rsid w:val="00FB5810"/>
    <w:rsid w:val="00FB6A98"/>
    <w:rsid w:val="00FC1F8C"/>
    <w:rsid w:val="00FC3C87"/>
    <w:rsid w:val="00FC6C14"/>
    <w:rsid w:val="00FD1F4E"/>
    <w:rsid w:val="00FD2488"/>
    <w:rsid w:val="00FD2727"/>
    <w:rsid w:val="00FD2F1E"/>
    <w:rsid w:val="00FD3468"/>
    <w:rsid w:val="00FD40CD"/>
    <w:rsid w:val="00FD4409"/>
    <w:rsid w:val="00FD454E"/>
    <w:rsid w:val="00FD54A2"/>
    <w:rsid w:val="00FE0221"/>
    <w:rsid w:val="00FE0472"/>
    <w:rsid w:val="00FE1A66"/>
    <w:rsid w:val="00FE1B22"/>
    <w:rsid w:val="00FE1E66"/>
    <w:rsid w:val="00FE21ED"/>
    <w:rsid w:val="00FE24FD"/>
    <w:rsid w:val="00FE27E7"/>
    <w:rsid w:val="00FE3436"/>
    <w:rsid w:val="00FE52FB"/>
    <w:rsid w:val="00FE57B7"/>
    <w:rsid w:val="00FE60DD"/>
    <w:rsid w:val="00FE64CD"/>
    <w:rsid w:val="00FE672F"/>
    <w:rsid w:val="00FF0C1B"/>
    <w:rsid w:val="00FF1690"/>
    <w:rsid w:val="00FF21AD"/>
    <w:rsid w:val="00FF27C1"/>
    <w:rsid w:val="00FF2A42"/>
    <w:rsid w:val="00FF2F0D"/>
    <w:rsid w:val="00FF3BDA"/>
    <w:rsid w:val="00FF6A20"/>
    <w:rsid w:val="00FF7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7ACB19E0"/>
  <w15:docId w15:val="{AFB51393-B39C-46C5-A8DD-E4A19D0D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B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1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E1D50"/>
    <w:rPr>
      <w:rFonts w:ascii="Tahoma" w:hAnsi="Tahoma" w:cs="Tahoma"/>
      <w:sz w:val="16"/>
      <w:szCs w:val="16"/>
    </w:rPr>
  </w:style>
  <w:style w:type="paragraph" w:styleId="Header">
    <w:name w:val="header"/>
    <w:basedOn w:val="Normal"/>
    <w:rsid w:val="00835C1F"/>
    <w:pPr>
      <w:tabs>
        <w:tab w:val="center" w:pos="4153"/>
        <w:tab w:val="right" w:pos="8306"/>
      </w:tabs>
    </w:pPr>
  </w:style>
  <w:style w:type="paragraph" w:styleId="Footer">
    <w:name w:val="footer"/>
    <w:basedOn w:val="Normal"/>
    <w:link w:val="FooterChar"/>
    <w:uiPriority w:val="99"/>
    <w:rsid w:val="00835C1F"/>
    <w:pPr>
      <w:tabs>
        <w:tab w:val="center" w:pos="4153"/>
        <w:tab w:val="right" w:pos="8306"/>
      </w:tabs>
    </w:pPr>
  </w:style>
  <w:style w:type="character" w:styleId="CommentReference">
    <w:name w:val="annotation reference"/>
    <w:basedOn w:val="DefaultParagraphFont"/>
    <w:semiHidden/>
    <w:rsid w:val="00F71214"/>
    <w:rPr>
      <w:sz w:val="16"/>
      <w:szCs w:val="16"/>
    </w:rPr>
  </w:style>
  <w:style w:type="paragraph" w:styleId="CommentText">
    <w:name w:val="annotation text"/>
    <w:basedOn w:val="Normal"/>
    <w:semiHidden/>
    <w:rsid w:val="00F71214"/>
    <w:rPr>
      <w:sz w:val="20"/>
      <w:szCs w:val="20"/>
    </w:rPr>
  </w:style>
  <w:style w:type="paragraph" w:styleId="CommentSubject">
    <w:name w:val="annotation subject"/>
    <w:basedOn w:val="CommentText"/>
    <w:next w:val="CommentText"/>
    <w:semiHidden/>
    <w:rsid w:val="00F71214"/>
    <w:rPr>
      <w:b/>
      <w:bCs/>
    </w:rPr>
  </w:style>
  <w:style w:type="character" w:customStyle="1" w:styleId="FooterChar">
    <w:name w:val="Footer Char"/>
    <w:basedOn w:val="DefaultParagraphFont"/>
    <w:link w:val="Footer"/>
    <w:uiPriority w:val="99"/>
    <w:rsid w:val="00FF75A9"/>
    <w:rPr>
      <w:sz w:val="24"/>
      <w:szCs w:val="24"/>
    </w:rPr>
  </w:style>
  <w:style w:type="paragraph" w:customStyle="1" w:styleId="Default">
    <w:name w:val="Default"/>
    <w:rsid w:val="000B37B3"/>
    <w:pPr>
      <w:autoSpaceDE w:val="0"/>
      <w:autoSpaceDN w:val="0"/>
      <w:adjustRightInd w:val="0"/>
    </w:pPr>
    <w:rPr>
      <w:color w:val="000000"/>
      <w:sz w:val="24"/>
      <w:szCs w:val="24"/>
    </w:rPr>
  </w:style>
  <w:style w:type="paragraph" w:styleId="Revision">
    <w:name w:val="Revision"/>
    <w:hidden/>
    <w:uiPriority w:val="99"/>
    <w:semiHidden/>
    <w:rsid w:val="00D91424"/>
    <w:rPr>
      <w:sz w:val="24"/>
      <w:szCs w:val="24"/>
    </w:rPr>
  </w:style>
  <w:style w:type="paragraph" w:styleId="ListParagraph">
    <w:name w:val="List Paragraph"/>
    <w:basedOn w:val="Normal"/>
    <w:uiPriority w:val="34"/>
    <w:qFormat/>
    <w:rsid w:val="00565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7934">
      <w:bodyDiv w:val="1"/>
      <w:marLeft w:val="0"/>
      <w:marRight w:val="0"/>
      <w:marTop w:val="0"/>
      <w:marBottom w:val="0"/>
      <w:divBdr>
        <w:top w:val="none" w:sz="0" w:space="0" w:color="auto"/>
        <w:left w:val="none" w:sz="0" w:space="0" w:color="auto"/>
        <w:bottom w:val="none" w:sz="0" w:space="0" w:color="auto"/>
        <w:right w:val="none" w:sz="0" w:space="0" w:color="auto"/>
      </w:divBdr>
    </w:div>
    <w:div w:id="272635575">
      <w:bodyDiv w:val="1"/>
      <w:marLeft w:val="0"/>
      <w:marRight w:val="0"/>
      <w:marTop w:val="0"/>
      <w:marBottom w:val="0"/>
      <w:divBdr>
        <w:top w:val="none" w:sz="0" w:space="0" w:color="auto"/>
        <w:left w:val="none" w:sz="0" w:space="0" w:color="auto"/>
        <w:bottom w:val="none" w:sz="0" w:space="0" w:color="auto"/>
        <w:right w:val="none" w:sz="0" w:space="0" w:color="auto"/>
      </w:divBdr>
    </w:div>
    <w:div w:id="423113912">
      <w:bodyDiv w:val="1"/>
      <w:marLeft w:val="0"/>
      <w:marRight w:val="0"/>
      <w:marTop w:val="0"/>
      <w:marBottom w:val="0"/>
      <w:divBdr>
        <w:top w:val="none" w:sz="0" w:space="0" w:color="auto"/>
        <w:left w:val="none" w:sz="0" w:space="0" w:color="auto"/>
        <w:bottom w:val="none" w:sz="0" w:space="0" w:color="auto"/>
        <w:right w:val="none" w:sz="0" w:space="0" w:color="auto"/>
      </w:divBdr>
    </w:div>
    <w:div w:id="640236372">
      <w:bodyDiv w:val="1"/>
      <w:marLeft w:val="0"/>
      <w:marRight w:val="0"/>
      <w:marTop w:val="0"/>
      <w:marBottom w:val="0"/>
      <w:divBdr>
        <w:top w:val="none" w:sz="0" w:space="0" w:color="auto"/>
        <w:left w:val="none" w:sz="0" w:space="0" w:color="auto"/>
        <w:bottom w:val="none" w:sz="0" w:space="0" w:color="auto"/>
        <w:right w:val="none" w:sz="0" w:space="0" w:color="auto"/>
      </w:divBdr>
    </w:div>
    <w:div w:id="665280492">
      <w:bodyDiv w:val="1"/>
      <w:marLeft w:val="0"/>
      <w:marRight w:val="0"/>
      <w:marTop w:val="0"/>
      <w:marBottom w:val="0"/>
      <w:divBdr>
        <w:top w:val="none" w:sz="0" w:space="0" w:color="auto"/>
        <w:left w:val="none" w:sz="0" w:space="0" w:color="auto"/>
        <w:bottom w:val="none" w:sz="0" w:space="0" w:color="auto"/>
        <w:right w:val="none" w:sz="0" w:space="0" w:color="auto"/>
      </w:divBdr>
    </w:div>
    <w:div w:id="1313679266">
      <w:bodyDiv w:val="1"/>
      <w:marLeft w:val="0"/>
      <w:marRight w:val="0"/>
      <w:marTop w:val="0"/>
      <w:marBottom w:val="0"/>
      <w:divBdr>
        <w:top w:val="none" w:sz="0" w:space="0" w:color="auto"/>
        <w:left w:val="none" w:sz="0" w:space="0" w:color="auto"/>
        <w:bottom w:val="none" w:sz="0" w:space="0" w:color="auto"/>
        <w:right w:val="none" w:sz="0" w:space="0" w:color="auto"/>
      </w:divBdr>
    </w:div>
    <w:div w:id="1335917186">
      <w:bodyDiv w:val="1"/>
      <w:marLeft w:val="0"/>
      <w:marRight w:val="0"/>
      <w:marTop w:val="0"/>
      <w:marBottom w:val="0"/>
      <w:divBdr>
        <w:top w:val="none" w:sz="0" w:space="0" w:color="auto"/>
        <w:left w:val="none" w:sz="0" w:space="0" w:color="auto"/>
        <w:bottom w:val="none" w:sz="0" w:space="0" w:color="auto"/>
        <w:right w:val="none" w:sz="0" w:space="0" w:color="auto"/>
      </w:divBdr>
    </w:div>
    <w:div w:id="18720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B45CD-C328-4F1F-B178-EFA2EAA6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8</Pages>
  <Words>4824</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Note 1: Summary of Significant Accounting Policies</vt:lpstr>
    </vt:vector>
  </TitlesOfParts>
  <Company>DCITA</Company>
  <LinksUpToDate>false</LinksUpToDate>
  <CharactersWithSpaces>32101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1: Summary of Significant Accounting Policies</dc:title>
  <dc:creator>Gloria Radosavljevic</dc:creator>
  <cp:lastModifiedBy>Lane, Megan</cp:lastModifiedBy>
  <cp:revision>87</cp:revision>
  <cp:lastPrinted>2015-08-13T09:44:00Z</cp:lastPrinted>
  <dcterms:created xsi:type="dcterms:W3CDTF">2015-07-31T02:43:00Z</dcterms:created>
  <dcterms:modified xsi:type="dcterms:W3CDTF">2015-09-22T07:37:00Z</dcterms:modified>
</cp:coreProperties>
</file>