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отредактированный-абстракт"/>
    <w:p>
      <w:pPr>
        <w:pStyle w:val="Heading1"/>
      </w:pPr>
      <w:r>
        <w:t xml:space="preserve">Отредактированный абстракт</w:t>
      </w:r>
    </w:p>
    <w:p>
      <w:pPr>
        <w:pStyle w:val="FirstParagraph"/>
      </w:pPr>
      <w:r>
        <w:t xml:space="preserve">PPM1A и PPM1B – две связанные по структуре (≈75% идентичности каталитических доменов) фосфатазы семейства PP2C. Несмотря на схожесть субстратов (IKKβ, Smad2/3, AMPK и др.), их вклады в поддержание транскрипционного гомеостаза и адаптацию к воспалению ранее мало изучены. В нашей работе мы провели транскриптомный анализ (ГСЭА по коллекции Hallmark MSigDB) для изогенных клеток MC-38 с нокаутом PPM1A (PPM1A_KO), PPM1B (PPM1B_KO) и двойным нокаутом обоих генов (Double_KO) по сравнению с диким типом (WT) как в покое, так и после острой стимуляции TNF-α. Мы обнаружили, что подавление сигнатуры ответа на интерферон-α является единственным устойчиво согласованным эффектом при дефиците любой из фосфатаз (четыре независимых сравнения, средний NES = –1.97), что указывает на общее участие PPM1A и PPM1B в поддержании базового потенциала экспрессии ИСГ. Вне этой общей программы PPM1A и PPM1B продемонстрировали резко расходящиеся фенотипы. При отсутствии PPM1A подавляются гены-мишени E2F и G2M, что согласуется с остановкой клеточного цикла (ретинобластин-зависимая арест). Одновременно нокаут PPM1A приводит к сверхактивации TNF-α‑опосредованного эпителиально-мезенхимального перехода (EMT; NES = +2.25, Padj = 5.9×10⁻¹⁴) – сильнейшая сигнатура в анализе, – что свидетельствует о роли PPM1A как «тормоза» воспалительного EMT (вероятно, через дефосфорилирование Smad2/3). Напротив, при отсутствии PPM1B после стимуляции TNF-α наблюдается «биоэнергетический коллапс»: одновременно угнетаются Окислительное фосфорилирование, сигналы mTORC1, PI3K-AKT-mTOR, метаболизм жирных кислот, гликолиз и холестериновый гомеостаз (Padj &lt; 0.05). Это выявляет PPM1B как незаменимого хранителя метаболической устойчивости под воспалительным стрессом – вероятно, через его роль фосфатазы AMPKα【62†L301-L308】. Парадоксально, что в клетках Double_KO активируются программы E2F, MYC и G2M, обращая эффект клеточного цикла PPM1A_KO и указывая на компенсаторное транскрипционное «буферирование» при совместном удалении обоих фосфатаз. В целом эти данные показывают, что несмотря на общие субстраты, PPM1A и PPM1B выполняют нередундантные функции: PPM1A главным образом ограничивает мезенхимальные и пролиферативные программы, тогда как PPM1B защищает метаболический гомеостаз и компетентность интерферонового ответа в условиях острого воспаления.</w:t>
      </w:r>
    </w:p>
    <w:bookmarkStart w:id="21" w:name="аудит-новизны-и-публикабельности"/>
    <w:p>
      <w:pPr>
        <w:pStyle w:val="Heading2"/>
      </w:pPr>
      <w:r>
        <w:t xml:space="preserve">Аудит новизны и публикабельности</w:t>
      </w:r>
    </w:p>
    <w:p>
      <w:pPr>
        <w:pStyle w:val="FirstParagraph"/>
      </w:pPr>
      <w:r>
        <w:t xml:space="preserve">Известно, что PPM1A и PPM1B регулируют ключевые сигнальные пути воспаления и метаболизма. Так, Sun и соавторы (2009) показали, что PPM1A/PPM1B дефосфорилируют IKKβ, завершая TNF-α-индуцированную активацию NF-κB【2†L313-L322】. PPM1A также способствует деактивации Smad2/3 в TGF-β-сигналинге【14†L652-L660】【7†L69-L76】, а Lu и соавт. (2014) выявили PPM1A как фосфатазу RelA(p65), демонстрируя её противоопухолевую активность через подавление NF-κB【28†L98-L106】. С другой стороны, Zhao и соавт. (2012) показали, что PPM1B дефосфорилирует TBK1, отрицательно регулируя путь индукции интерферонов【22†L75-L83】. PPM1A также участвует в антивирусном и антибактериальном иммунитете: её экспрессия индуцируется при инфицировании, и она ослабляет макрофагальный ответ на ВИЧ-1 и Mycobacterium tuberculosis【53†L13-L17】. Кроме того, PPM1A влияет на клеточный цикл: Mazumdar и соавт. (2019) показали, что её экспрессия блокирует пролиферацию клеток тройного-негативного рака молочной железы, снижая фосфорилирование CDK и Rb【30†L89-L94】. Важную роль PPM1A/PPM1B в метаболизме иллюстрирует факт их участия в дефосфорилировании AMPKα【62†L301-L308】. Обзор Белотсерковской с соавт. (2024) подчёркивает, что семейство PP2C включает более 20 членов с перекрывающейся специфичностью (например, p53 является субстратом PPM1A, PPM1B или PPM1D) и регулирует стрессовые ответы, клеточный цикл и апоптоз【38†L255-L262】【38†L279-L284】.</w:t>
      </w:r>
    </w:p>
    <w:p>
      <w:pPr>
        <w:pStyle w:val="BodyText"/>
      </w:pPr>
      <w:r>
        <w:t xml:space="preserve">В то же время систематических исследований транскриптомных последствий нокаута PPM1A или PPM1B не проводилось. Представленное исследование впервые глобально демонстрирует: во-первых, наличие общей просигнатуры – подавление ответа интерферона – при дефиците любой из фосфатаз. Во-вторых, обнаруживает ранее неочевидные различия: PPM1A_KO приводит к аресту цикла и усиленному EMT в ответ на TNF, а PPM1B_KO – к коллапсу метаболических путей под воспалением. Чёткое различие ролей этих ферментов в контексте TNF-α не было ранее описано. Особенно новаторским выглядит наблюдение о том, что двойной нокаут даёт фенотип «противофазный» эффект PPM1A_KO, что указывает на сложное компенсаторное взаимодействие.</w:t>
      </w:r>
    </w:p>
    <w:p>
      <w:pPr>
        <w:pStyle w:val="BodyText"/>
      </w:pPr>
      <w:r>
        <w:t xml:space="preserve">Таким образом, результаты представляют собой значимый вклад в понимание биологии PP2C-фосфатаз и имеют потенциал для публикации в хороших профильных изданиях. Рекомендованные журналы включают</w:t>
      </w:r>
      <w:r>
        <w:t xml:space="preserve"> </w:t>
      </w:r>
      <w:r>
        <w:rPr>
          <w:b/>
          <w:bCs/>
        </w:rPr>
        <w:t xml:space="preserve">Molecular Cell</w:t>
      </w:r>
      <w:r>
        <w:t xml:space="preserve">,</w:t>
      </w:r>
      <w:r>
        <w:t xml:space="preserve"> </w:t>
      </w:r>
      <w:r>
        <w:rPr>
          <w:b/>
          <w:bCs/>
        </w:rPr>
        <w:t xml:space="preserve">EMBO Journal</w:t>
      </w:r>
      <w:r>
        <w:t xml:space="preserve">,</w:t>
      </w:r>
      <w:r>
        <w:t xml:space="preserve"> </w:t>
      </w:r>
      <w:r>
        <w:rPr>
          <w:b/>
          <w:bCs/>
        </w:rPr>
        <w:t xml:space="preserve">Nature Communications</w:t>
      </w:r>
      <w:r>
        <w:t xml:space="preserve">,</w:t>
      </w:r>
      <w:r>
        <w:t xml:space="preserve"> </w:t>
      </w:r>
      <w:r>
        <w:rPr>
          <w:b/>
          <w:bCs/>
        </w:rPr>
        <w:t xml:space="preserve">Cancer Research</w:t>
      </w:r>
      <w:r>
        <w:t xml:space="preserve">,</w:t>
      </w:r>
      <w:r>
        <w:t xml:space="preserve"> </w:t>
      </w:r>
      <w:r>
        <w:rPr>
          <w:b/>
          <w:bCs/>
        </w:rPr>
        <w:t xml:space="preserve">Cancer Immunology Research</w:t>
      </w:r>
      <w:r>
        <w:t xml:space="preserve">,</w:t>
      </w:r>
      <w:r>
        <w:t xml:space="preserve"> </w:t>
      </w:r>
      <w:r>
        <w:rPr>
          <w:b/>
          <w:bCs/>
        </w:rPr>
        <w:t xml:space="preserve">OncoImmunology</w:t>
      </w:r>
      <w:r>
        <w:t xml:space="preserve">,</w:t>
      </w:r>
      <w:r>
        <w:t xml:space="preserve"> </w:t>
      </w:r>
      <w:r>
        <w:rPr>
          <w:b/>
          <w:bCs/>
        </w:rPr>
        <w:t xml:space="preserve">Frontiers in Immunology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Cell Reports</w:t>
      </w:r>
      <w:r>
        <w:t xml:space="preserve">. Для повышения конкурентоспособности статьи рекомендуется провести дополнительные эксперименты на белковом и клеточном уровнях: например, валидация ключевых выводов через иммуноферментный анализ (ЕМГА) фосфорилирования Smad, RelA или AMPK; функциональные тесты EMT (изменения маркеров эпителия/мезенхимы) и метаболизма (кислородный обмен, уровень ATP) в KO-клетках. Желательно также рассмотреть эффект подавления PPM1A/PPM1B in vivo или в других модельных системах для подтверждения биологической значимости наблюдений. Улучшить манускрипт помогут чёткое описание статистических методов (GS–RRA сравнения), интеграция данных РНК-секвенирования с протеомными или метаболомными профилями, а также анализ потенциальных взаимодействий PP2C с сигнальными комплексами (например, co-IP с TBK1 или AMPK).</w:t>
      </w:r>
    </w:p>
    <w:bookmarkEnd w:id="21"/>
    <w:bookmarkStart w:id="22" w:name="рекомендованная-литература-для-введения"/>
    <w:p>
      <w:pPr>
        <w:pStyle w:val="Heading2"/>
      </w:pPr>
      <w:r>
        <w:t xml:space="preserve">Рекомендованная литература для введения</w:t>
      </w:r>
    </w:p>
    <w:p>
      <w:pPr>
        <w:pStyle w:val="Compact"/>
        <w:numPr>
          <w:ilvl w:val="0"/>
          <w:numId w:val="1001"/>
        </w:numPr>
      </w:pPr>
      <w:r>
        <w:t xml:space="preserve">ПП2C-фосфатазы – монотермодепендентные протеинфосфатазы семейства PPM, насчитывающие 16–20 членов【38†L255-L262】. Они имеют консервированный каталитический домен (с активацией Mg²⁺/Mn²⁺) и разнообразные C-концевые участки, определяющие специфичность субстратов【38†L250-L258】. Эти ферменты участвуют в регуляции стрессовых ответов, клеточного цикла и апоптоза【38†L255-L262】; многие из них могут дефосфорилировать одни и те же белки (например, р53 – PPM1A, PPM1B, PPM1D)【38†L255-L262】.</w:t>
      </w:r>
    </w:p>
    <w:p>
      <w:pPr>
        <w:pStyle w:val="Compact"/>
        <w:numPr>
          <w:ilvl w:val="0"/>
          <w:numId w:val="1001"/>
        </w:numPr>
      </w:pPr>
      <w:r>
        <w:t xml:space="preserve">Sun W. и соавт. (2009) продемонстрировали, что PPM1A и PPM1B действуют как фосфатазы IKKβ и тем самым завершают TNF-α-опосредованную активацию NF-κB【2†L313-L322】. Кроме того, Lu X. и соавт. (2014) показали, что PPM1A напрямую дефосфорилирует RelA(p65) NF-κB (в позициях S536 и S276), ингибируя транскрипционную активность NF-κB и проявляя «супрессороподобное» действие против метастазирования【28†L98-L106】.</w:t>
      </w:r>
    </w:p>
    <w:p>
      <w:pPr>
        <w:pStyle w:val="Compact"/>
        <w:numPr>
          <w:ilvl w:val="0"/>
          <w:numId w:val="1001"/>
        </w:numPr>
      </w:pPr>
      <w:r>
        <w:t xml:space="preserve">PPM1A также выступает фосфатазой Smad2/3, завершая сигналы TGF-β. Например, Dai F. и соавт. (2011) обнаружили, что PPM1A дефосфорилирует RanBP3 для выноса Smad2/3 из ядра, что прерывает TGF-β сигналы【7†L69-L76】. JCI Insight (2023) подтверждает, что PPM1A регулирует ядерный экспорт Smad2 и подавляет трансдукцию сигнала TGF-β【14†L652-L660】.</w:t>
      </w:r>
    </w:p>
    <w:p>
      <w:pPr>
        <w:pStyle w:val="Compact"/>
        <w:numPr>
          <w:ilvl w:val="0"/>
          <w:numId w:val="1001"/>
        </w:numPr>
      </w:pPr>
      <w:r>
        <w:t xml:space="preserve">Zhao Y. и соавт. (2012) описали, что PPM1B является фосфатазой TBK1; она дефосфорилирует TBK1 (Ser172) и тем самым тормозит путь индукции типа I интерферонов при вирусной инфекции【22†L75-L83】. Роль PPM1A/PPM1B в иммунитете также характеризовалась в других работах. Так, Sun J. и соавт. (2016) показали, что PPM1A ограничивает ВИЧ-1-индуцированный сигнал и ослабляет макрофагальный цитокиновый ответ как на вирусные, так и на бактериальные стимулы【53†L13-L17】.</w:t>
      </w:r>
    </w:p>
    <w:p>
      <w:pPr>
        <w:pStyle w:val="Compact"/>
        <w:numPr>
          <w:ilvl w:val="0"/>
          <w:numId w:val="1001"/>
        </w:numPr>
      </w:pPr>
      <w:r>
        <w:t xml:space="preserve">Помимо иммунной модуляции, PPM1A/PPM1B влияют на метаболизм: Chida T. и соавт. (2013) выявили их как фосфатазы, дефосфорилирующие α-субъединицу AMPK, связывая эти ферменты с энергометаболизмом【62†L301-L308】. С учётом этих данных PPM1A и PPM1B можно рассматривать как потенциальные регуляторы метаболической пластичности клеток.</w:t>
      </w:r>
    </w:p>
    <w:p>
      <w:pPr>
        <w:pStyle w:val="Compact"/>
        <w:numPr>
          <w:ilvl w:val="0"/>
          <w:numId w:val="1001"/>
        </w:numPr>
      </w:pPr>
      <w:r>
        <w:t xml:space="preserve">Изменения экспрессии PPM1A/PPM1B наблюдаются в онкологии: например, в раке молочной железы PPM1A потерялся во многих агрессивных подтипах, и его вынужденная рекомплементация блокирует клеточный цикл (путём снижения фосфорилирования CDK/Rb)【30†L89-L94】. Аналогично, снижение экспрессии PPM1A ассоциируется с повышенной инвазией опухолей (Oncogene, 2014)【28†L98-L106】. Эти наблюдения подчеркивают важность PPM1A как регулятора пролиферации и метастазирования, а PPM1B – как регулятора сигнальных ответов, включая пути интерферонов.</w:t>
      </w:r>
    </w:p>
    <w:bookmarkEnd w:id="22"/>
    <w:bookmarkStart w:id="23" w:name="X2c85a2ee9f0a7b0f60e4b4a6044a012769d65bf"/>
    <w:p>
      <w:pPr>
        <w:pStyle w:val="Heading2"/>
      </w:pPr>
      <w:r>
        <w:t xml:space="preserve">Целевые журналы и рекомендации по доработке рукописи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Целевые журналы:</w:t>
      </w:r>
      <w:r>
        <w:t xml:space="preserve"> </w:t>
      </w:r>
      <w:r>
        <w:t xml:space="preserve">исходя из мультидисциплинарного характера работы (онкоиммунология, транскриптомика), подходят высокорейтинговые журналаты по клеточной биологии и иммунологии. Например,</w:t>
      </w:r>
      <w:r>
        <w:t xml:space="preserve"> </w:t>
      </w:r>
      <w:r>
        <w:rPr>
          <w:i/>
          <w:iCs/>
        </w:rPr>
        <w:t xml:space="preserve">Molecular Cell</w:t>
      </w:r>
      <w:r>
        <w:t xml:space="preserve">,</w:t>
      </w:r>
      <w:r>
        <w:t xml:space="preserve"> </w:t>
      </w:r>
      <w:r>
        <w:rPr>
          <w:i/>
          <w:iCs/>
        </w:rPr>
        <w:t xml:space="preserve">EMBO Journal</w:t>
      </w:r>
      <w:r>
        <w:t xml:space="preserve">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для фундаментальных исследований;</w:t>
      </w:r>
      <w:r>
        <w:t xml:space="preserve"> </w:t>
      </w:r>
      <w:r>
        <w:rPr>
          <w:i/>
          <w:iCs/>
        </w:rPr>
        <w:t xml:space="preserve">Cancer Research</w:t>
      </w:r>
      <w:r>
        <w:t xml:space="preserve">,</w:t>
      </w:r>
      <w:r>
        <w:t xml:space="preserve"> </w:t>
      </w:r>
      <w:r>
        <w:rPr>
          <w:i/>
          <w:iCs/>
        </w:rPr>
        <w:t xml:space="preserve">Cancer Immunology Research</w:t>
      </w:r>
      <w:r>
        <w:t xml:space="preserve">,</w:t>
      </w:r>
      <w:r>
        <w:t xml:space="preserve"> </w:t>
      </w:r>
      <w:r>
        <w:rPr>
          <w:i/>
          <w:iCs/>
        </w:rPr>
        <w:t xml:space="preserve">OncoImmunology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Frontiers in Immunology</w:t>
      </w:r>
      <w:r>
        <w:t xml:space="preserve"> </w:t>
      </w:r>
      <w:r>
        <w:t xml:space="preserve">– для прикладного онкоиммунологического контекста.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BMC Cancer</w:t>
      </w:r>
      <w:r>
        <w:t xml:space="preserve"> </w:t>
      </w:r>
      <w:r>
        <w:t xml:space="preserve">могут служить альтернативой при необходимости открытого доступа.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Рекомендации по доработке:</w:t>
      </w:r>
      <w:r>
        <w:t xml:space="preserve"> </w:t>
      </w:r>
      <w:r>
        <w:t xml:space="preserve">важно подкрепить выводы экспериментальными данными. Рекомендуется провести валидацию ключевых находок на белковом уровне (Western- или MSD-анализа фосфорилирования Smad2/3, RelA, AMPK) и функциональные тесты: например, анализ маркеров EMT (E-cadherin, Vimentin) и контроль клеточной миграции/инвазии в PPM1A_KO, PPM1B_KO клетках; измерение метаболической активности (уровни ATP, гликолиза/окислительного фосфорилирования) при дефиците PPM1B. Желательно также исследовать, воспроизводятся ли эффекты в других клеточных моделях или при in vivo модификации PPM1A/PPM1B. Улучшению манускрипта поспособствует чёткое описание методов анализа РНК-seq (количество реплик, критерии фильтрации, алгоритмы GSEA), а также расширение обсуждения в контексте существующих данных о PP2C-фосфатазах (с упором на независимость ролей PPM1A и PPM1B). Такой комплексный подход повысит обоснованность выводов и шансы публикации работы в престижном издании.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2026-06-16T15:31:28Z</dcterms:created>
  <dcterms:modified xsi:type="dcterms:W3CDTF">2026-06-16T15:31:28Z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