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95.png" ContentType="image/png"/>
  <Override PartName="/word/media/rId118.png" ContentType="image/png"/>
  <Override PartName="/word/media/rId91.png" ContentType="image/png"/>
  <Override PartName="/word/media/rId104.png" ContentType="image/png"/>
  <Override PartName="/word/media/rId100.png" ContentType="image/png"/>
  <Override PartName="/word/media/rId48.png" ContentType="image/png"/>
  <Override PartName="/word/media/rId60.png" ContentType="image/png"/>
  <Override PartName="/word/media/rId52.png" ContentType="image/png"/>
  <Override PartName="/word/media/rId112.png" ContentType="image/png"/>
  <Override PartName="/word/media/rId109.png" ContentType="image/png"/>
  <Override PartName="/word/media/rId121.png" ContentType="image/png"/>
  <Override PartName="/word/media/rId79.png" ContentType="image/png"/>
  <Override PartName="/word/media/rId87.png" ContentType="image/png"/>
  <Override PartName="/word/media/rId115.png" ContentType="image/png"/>
  <Override PartName="/word/media/rId82.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gradecimientos"/>
    <w:p>
      <w:pPr>
        <w:pStyle w:val="Heading2"/>
      </w:pPr>
      <w:r>
        <w:t xml:space="preserve">Agradecimientos</w:t>
      </w:r>
    </w:p>
    <w:p>
      <w:pPr>
        <w:pStyle w:val="FirstParagraph"/>
      </w:pPr>
      <w:r>
        <w:t xml:space="preserve">A mi directora de tesis, la Dra. Eliana Mirledy Ocampo Toro, por su guía académica, paciencia y dedicación a lo largo de este proceso investigativo. Su rigor metodológico y visión estratégica fueron fundamentales para la culminación de este trabajo.</w:t>
      </w:r>
    </w:p>
    <w:p>
      <w:pPr>
        <w:pStyle w:val="BodyText"/>
      </w:pPr>
      <w:r>
        <w:t xml:space="preserve">A la Universidad Tecnológica de Pereira y la Maestría en Investigación de Operaciones y Estadística, por brindarme las herramientas y el espacio de formación para desarrollar esta investigación.</w:t>
      </w:r>
    </w:p>
    <w:p>
      <w:pPr>
        <w:pStyle w:val="BodyText"/>
      </w:pPr>
      <w:r>
        <w:t xml:space="preserve">A mi familia, por su apoyo incondicional y comprensión durante las largas jornadas de trabajo dedicadas a este proyecto.</w:t>
      </w:r>
    </w:p>
    <w:p>
      <w:pPr>
        <w:pStyle w:val="BodyText"/>
      </w:pPr>
      <w:r>
        <w:t xml:space="preserve">A mis compañeros de la maestría, por las discusiones enriquecedoras y el acompañamiento mutuo durante este camino académico.</w:t>
      </w:r>
    </w:p>
    <w:bookmarkEnd w:id="9"/>
    <w:bookmarkStart w:id="10" w:name="resumen"/>
    <w:p>
      <w:pPr>
        <w:pStyle w:val="Heading2"/>
      </w:pPr>
      <w:r>
        <w:t xml:space="preserve">Resumen</w:t>
      </w:r>
    </w:p>
    <w:p>
      <w:pPr>
        <w:pStyle w:val="FirstParagraph"/>
      </w:pPr>
      <w:r>
        <w:t xml:space="preserve">Este trabajo presenta el desarrollo de un modelo de optimización para la planificación de coproductos en la industria avícola colombiana, resuelto mediante técnicas metaheurísticas. El problema central aborda el desbalance estructural entre la oferta rígida de coproductos —determinada por la anatomía del ave— y la demanda variable del mercado. Se formula un modelo de Programación Lineal Entera Mixta (MILP) multi-periodo con estructura de lot-sizing estocástico, incluyendo decisiones binarias de setup, lote mínimo y restricciones de perecibilidad. Debido a la complejidad NP-hard del problema, se implementan y comparan cuatro metaheurísticas: Algoritmo Genético (GA), Recocido Simulado (SA), Evolución Diferencial (DE) y un algoritmo híbrido GA-SA. Los algoritmos se calibraron mediante el sampler TPE de Optuna y se evaluaron mediante un diseño experimental completo de 1,098 ejecuciones sobre 9 instancias sintéticas calibradas con datos del sector avícola colombiano. Los resultados muestran que el híbrido GA-SA produce soluciones de alta calidad con gaps</w:t>
      </w:r>
      <w:r>
        <w:t xml:space="preserve"> </w:t>
      </w:r>
      <m:oMath>
        <m:r>
          <m:rPr>
            <m:sty m:val="p"/>
          </m:rPr>
          <m:t>≤</m:t>
        </m:r>
        <m:r>
          <m:t>2</m:t>
        </m:r>
        <m:r>
          <m:rPr>
            <m:sty m:val="p"/>
          </m:rPr>
          <m:t>%</m:t>
        </m:r>
      </m:oMath>
      <w:r>
        <w:t xml:space="preserve"> </w:t>
      </w:r>
      <w:r>
        <w:t xml:space="preserve">respecto al solver exacto CBC en instancias medianas, confirmando su eficacia para problemas de escala industrial. La solución fue validada operativamente, demostrando robustez ante perturbaciones de</w:t>
      </w:r>
      <w:r>
        <w:t xml:space="preserve"> </w:t>
      </w:r>
      <m:oMath>
        <m:r>
          <m:rPr>
            <m:sty m:val="p"/>
          </m:rPr>
          <m:t>±</m:t>
        </m:r>
        <m:r>
          <m:t>10</m:t>
        </m:r>
        <m:r>
          <m:rPr>
            <m:sty m:val="p"/>
          </m:rPr>
          <m:t>%</m:t>
        </m:r>
      </m:oMath>
      <w:r>
        <w:t xml:space="preserve"> </w:t>
      </w:r>
      <w:r>
        <w:t xml:space="preserve">en la demanda con un deterioro máximo de</w:t>
      </w:r>
      <w:r>
        <w:t xml:space="preserve"> </w:t>
      </w:r>
      <m:oMath>
        <m:r>
          <m:t>0.04</m:t>
        </m:r>
        <m:r>
          <m:rPr>
            <m:sty m:val="p"/>
          </m:rPr>
          <m:t>%</m:t>
        </m:r>
      </m:oMath>
      <w:r>
        <w:t xml:space="preserve"> </w:t>
      </w:r>
      <w:r>
        <w:t xml:space="preserve">en la función objetivo. El código fuente, instancias y resultados están disponibles públicamente en el repositorio del proyecto.</w:t>
      </w:r>
    </w:p>
    <w:p>
      <w:pPr>
        <w:pStyle w:val="BodyText"/>
      </w:pPr>
      <w:r>
        <w:rPr>
          <w:b/>
          <w:bCs/>
        </w:rPr>
        <w:t xml:space="preserve">Palabras clave:</w:t>
      </w:r>
      <w:r>
        <w:t xml:space="preserve"> </w:t>
      </w:r>
      <w:r>
        <w:t xml:space="preserve">optimización, coproductos, metaheurísticas, industria avícola, lot-sizing estocástico</w:t>
      </w:r>
    </w:p>
    <w:bookmarkEnd w:id="10"/>
    <w:bookmarkStart w:id="11" w:name="abstract"/>
    <w:p>
      <w:pPr>
        <w:pStyle w:val="Heading2"/>
      </w:pPr>
      <w:r>
        <w:t xml:space="preserve">Abstract</w:t>
      </w:r>
    </w:p>
    <w:p>
      <w:pPr>
        <w:pStyle w:val="FirstParagraph"/>
      </w:pPr>
      <w:r>
        <w:t xml:space="preserve">This work presents the development of an optimization model for co-product planning in the Colombian poultry industry, solved using metaheuristic techniques. The central problem addresses the structural imbalance between the rigid supply of co-products —determined by the anatomy of the bird— and the variable market demand. A multi-period Mixed-Integer Linear Programming (MILP) model with stochastic lot-sizing structure is formulated, including binary setup decisions, minimum lot constraints, and perishability restrictions. Due to the NP-hard complexity of the problem, four metaheuristics are implemented and compared: Genetic Algorithm (GA), Simulated Annealing (SA), Differential Evolution (DE), and a hybrid GA-SA algorithm. The algorithms were calibrated using Optuna’s TPE sampler and evaluated through a complete experimental design of 1,098 runs over 9 synthetic instances calibrated with Colombian poultry industry data. Results show that the hybrid GA-SA produces high-quality solutions with gaps</w:t>
      </w:r>
      <w:r>
        <w:t xml:space="preserve"> </w:t>
      </w:r>
      <m:oMath>
        <m:r>
          <m:rPr>
            <m:sty m:val="p"/>
          </m:rPr>
          <m:t>≤</m:t>
        </m:r>
        <m:r>
          <m:t>2</m:t>
        </m:r>
        <m:r>
          <m:rPr>
            <m:sty m:val="p"/>
          </m:rPr>
          <m:t>%</m:t>
        </m:r>
      </m:oMath>
      <w:r>
        <w:t xml:space="preserve"> </w:t>
      </w:r>
      <w:r>
        <w:t xml:space="preserve">relative to the CBC exact solver for medium instances, confirming its effectiveness for industrial-scale problems. The solution was operationally validated, demonstrating robustness against</w:t>
      </w:r>
      <w:r>
        <w:t xml:space="preserve"> </w:t>
      </w:r>
      <m:oMath>
        <m:r>
          <m:rPr>
            <m:sty m:val="p"/>
          </m:rPr>
          <m:t>±</m:t>
        </m:r>
        <m:r>
          <m:t>10</m:t>
        </m:r>
        <m:r>
          <m:rPr>
            <m:sty m:val="p"/>
          </m:rPr>
          <m:t>%</m:t>
        </m:r>
      </m:oMath>
      <w:r>
        <w:t xml:space="preserve"> </w:t>
      </w:r>
      <w:r>
        <w:t xml:space="preserve">demand perturbations with a maximum deterioration of</w:t>
      </w:r>
      <w:r>
        <w:t xml:space="preserve"> </w:t>
      </w:r>
      <m:oMath>
        <m:r>
          <m:t>0.04</m:t>
        </m:r>
        <m:r>
          <m:rPr>
            <m:sty m:val="p"/>
          </m:rPr>
          <m:t>%</m:t>
        </m:r>
      </m:oMath>
      <w:r>
        <w:t xml:space="preserve"> </w:t>
      </w:r>
      <w:r>
        <w:t xml:space="preserve">in the objective function. Source code, instances, and results are publicly available in the project repository.</w:t>
      </w:r>
    </w:p>
    <w:p>
      <w:pPr>
        <w:pStyle w:val="BodyText"/>
      </w:pPr>
      <w:r>
        <w:rPr>
          <w:b/>
          <w:bCs/>
        </w:rPr>
        <w:t xml:space="preserve">Keywords:</w:t>
      </w:r>
      <w:r>
        <w:t xml:space="preserve"> </w:t>
      </w:r>
      <w:r>
        <w:t xml:space="preserve">optimization, co-products, metaheuristics, poultry industry, stochastic lot-sizing</w:t>
      </w:r>
    </w:p>
    <w:bookmarkEnd w:id="11"/>
    <w:bookmarkStart w:id="17" w:name="introducción"/>
    <w:p>
      <w:pPr>
        <w:pStyle w:val="Heading2"/>
      </w:pPr>
      <w:r>
        <w:t xml:space="preserve">1. Introducción</w:t>
      </w:r>
    </w:p>
    <w:bookmarkStart w:id="12" w:name="X24ff9685daea0d8a78a9abda8ed47f6bebdf258"/>
    <w:p>
      <w:pPr>
        <w:pStyle w:val="Heading3"/>
      </w:pPr>
      <w:r>
        <w:t xml:space="preserve">1.1. El Problema de Producción Conjunta en la Industria Avícola</w:t>
      </w:r>
    </w:p>
    <w:p>
      <w:pPr>
        <w:pStyle w:val="FirstParagraph"/>
      </w:pPr>
      <w:r>
        <w:t xml:space="preserve">La industria avícola, reconocida como un pilar económico en Colombia y a nivel mundial, enfrenta un desafío operativo fundamental: el</w:t>
      </w:r>
      <w:r>
        <w:t xml:space="preserve"> </w:t>
      </w:r>
      <w:r>
        <w:rPr>
          <w:b/>
          <w:bCs/>
        </w:rPr>
        <w:t xml:space="preserve">problema de producción conjunta (joint production) y balanceo de carcasa</w:t>
      </w:r>
      <w:r>
        <w:t xml:space="preserve">. Este problema surge de la discrepancia inherente entre la oferta de coproductos, que se derivan en proporciones relativamente fijas del despiece de cada ave, y la demanda variable y a menudo desalineada del mercado para cada uno de esos cortes (pechuga, alas, muslos, vísceras, etc.). Se trata de un problema clásico de</w:t>
      </w:r>
      <w:r>
        <w:t xml:space="preserve"> </w:t>
      </w:r>
      <w:r>
        <w:rPr>
          <w:b/>
          <w:bCs/>
        </w:rPr>
        <w:t xml:space="preserve">optimización de mezcla de producción bajo restricciones de co-producción</w:t>
      </w:r>
      <w:r>
        <w:t xml:space="preserve"> </w:t>
      </w:r>
      <w:r>
        <w:t xml:space="preserve">[1], [2]</w:t>
      </w:r>
      <w:r>
        <w:t xml:space="preserve">.</w:t>
      </w:r>
    </w:p>
    <w:p>
      <w:pPr>
        <w:pStyle w:val="BodyText"/>
      </w:pPr>
      <w:r>
        <w:t xml:space="preserve">La industria avícola opera bajo una dinámica compleja de</w:t>
      </w:r>
      <w:r>
        <w:t xml:space="preserve"> </w:t>
      </w:r>
      <w:r>
        <w:rPr>
          <w:b/>
          <w:bCs/>
        </w:rPr>
        <w:t xml:space="preserve">“Push”</w:t>
      </w:r>
      <w:r>
        <w:rPr>
          <w:b/>
          <w:bCs/>
        </w:rPr>
        <w:t xml:space="preserve"> </w:t>
      </w:r>
      <w:r>
        <w:rPr>
          <w:b/>
          <w:bCs/>
        </w:rPr>
        <w:t xml:space="preserve">(Empuje) y</w:t>
      </w:r>
      <w:r>
        <w:rPr>
          <w:b/>
          <w:bCs/>
        </w:rPr>
        <w:t xml:space="preserve"> </w:t>
      </w:r>
      <w:r>
        <w:rPr>
          <w:b/>
          <w:bCs/>
        </w:rPr>
        <w:t xml:space="preserve">“Pull”</w:t>
      </w:r>
      <w:r>
        <w:rPr>
          <w:b/>
          <w:bCs/>
        </w:rPr>
        <w:t xml:space="preserve"> </w:t>
      </w:r>
      <w:r>
        <w:rPr>
          <w:b/>
          <w:bCs/>
        </w:rPr>
        <w:t xml:space="preserve">(Tracción)</w:t>
      </w:r>
      <w:r>
        <w:t xml:space="preserve">. Por un lado, el factor</w:t>
      </w:r>
      <w:r>
        <w:t xml:space="preserve"> </w:t>
      </w:r>
      <w:r>
        <w:t xml:space="preserve">“Push”</w:t>
      </w:r>
      <w:r>
        <w:t xml:space="preserve"> </w:t>
      </w:r>
      <w:r>
        <w:t xml:space="preserve">proviene de la granja: una vez que las aves alcanzan su peso de mercado, deben ser procesadas inmediatamente, generando una oferta fija de coproductos (alas, pechugas, muslos) en proporciones biológicamente determinadas. Por otro lado, el factor</w:t>
      </w:r>
      <w:r>
        <w:t xml:space="preserve"> </w:t>
      </w:r>
      <w:r>
        <w:t xml:space="preserve">“Pull”</w:t>
      </w:r>
      <w:r>
        <w:t xml:space="preserve"> </w:t>
      </w:r>
      <w:r>
        <w:t xml:space="preserve">es la demanda del mercado, que es estocástica, estacional y a menudo desbalanceada respecto a la oferta anatómica (alta demanda de pechuga pero baja de alas, por ejemplo).</w:t>
      </w:r>
    </w:p>
    <w:p>
      <w:pPr>
        <w:pStyle w:val="BodyText"/>
      </w:pPr>
      <w:r>
        <w:t xml:space="preserve">Un plan de ventas que, por ejemplo, prioriza la comercialización de pechuga para maximizar ingresos, inevitablemente genera una sobreoferta de otros coproductos como alas y patas. Si no se gestiona adecuadamente, este excedente debe ser almacenado (incrementando costos de refrigeración), vendido a precios de liquidación o incluso desechado, ocasionando pérdidas económicas significativas y un desperdicio de recursos valiosos.</w:t>
      </w:r>
    </w:p>
    <w:p>
      <w:pPr>
        <w:pStyle w:val="BodyText"/>
      </w:pPr>
      <w:r>
        <w:t xml:space="preserve">Este conflicto genera ineficiencias operativas significativas, como la acumulación de inventarios de baja rotación, la venta de productos premium a precios de liquidación, y la pérdida de oportunidades de mercado. Estudios recientes en Colombia</w:t>
      </w:r>
      <w:r>
        <w:t xml:space="preserve"> </w:t>
      </w:r>
      <w:r>
        <w:t xml:space="preserve">[3]</w:t>
      </w:r>
      <w:r>
        <w:t xml:space="preserve"> </w:t>
      </w:r>
      <w:r>
        <w:t xml:space="preserve">y en planificación de plantas de beneficio avícola</w:t>
      </w:r>
      <w:r>
        <w:t xml:space="preserve"> </w:t>
      </w:r>
      <w:r>
        <w:t xml:space="preserve">[4]</w:t>
      </w:r>
      <w:r>
        <w:t xml:space="preserve"> </w:t>
      </w:r>
      <w:r>
        <w:t xml:space="preserve">demuestran que la aplicación de modelos matemáticos avanzados de optimización puede mitigar estos efectos y mejorar la sostenibilidad financiera y ambiental del sector.</w:t>
      </w:r>
    </w:p>
    <w:p>
      <w:pPr>
        <w:pStyle w:val="BodyText"/>
      </w:pPr>
      <w:r>
        <w:t xml:space="preserve">La Figura 1 describe el problema como un sistema de entrada/salida: dado un conjunto de datos de entrada (demanda del mercado, proporciones anatómicas, costos y capacidad de la planta), el modelo de optimización —resuelto mediante metaheurísticas— genera como salida un plan óptimo de producción que indica cuántas aves procesar, cómo distribuir los coproductos y qué niveles de inventario mantener.</w:t>
      </w:r>
    </w:p>
    <w:p>
      <w:pPr>
        <w:pStyle w:val="SourceCode"/>
      </w:pPr>
      <w:r>
        <w:rPr>
          <w:rStyle w:val="VerbatimChar"/>
        </w:rPr>
        <w:t xml:space="preserve">%%{init: {'theme': 'neutral', 'flowchart': {'nodeSpacing': 15, 'rankSpacing': 30}}}%%</w:t>
      </w:r>
      <w:r>
        <w:br/>
      </w:r>
      <w:r>
        <w:rPr>
          <w:rStyle w:val="VerbatimChar"/>
        </w:rPr>
        <w:t xml:space="preserve">flowchart LR</w:t>
      </w:r>
      <w:r>
        <w:br/>
      </w:r>
      <w:r>
        <w:rPr>
          <w:rStyle w:val="VerbatimChar"/>
        </w:rPr>
        <w:t xml:space="preserve">    E["ENTRADAS\nDemanda, proporciones,\ncostos, capacidad"] --&gt; M["MODELO\nGA | SA | DE | GA-SA"] --&gt; S["PLAN OPTIMO\nCarcasas, ventas,\ninventarios, utilidad"]</w:t>
      </w:r>
    </w:p>
    <w:p>
      <w:pPr>
        <w:pStyle w:val="FirstParagraph"/>
      </w:pPr>
      <w:r>
        <w:rPr>
          <w:b/>
          <w:bCs/>
          <w:i/>
          <w:iCs/>
        </w:rPr>
        <w:t xml:space="preserve">Figura 1.</w:t>
      </w:r>
      <w:r>
        <w:rPr>
          <w:i/>
          <w:iCs/>
        </w:rPr>
        <w:t xml:space="preserve"> </w:t>
      </w:r>
      <w:r>
        <w:rPr>
          <w:i/>
          <w:iCs/>
        </w:rPr>
        <w:t xml:space="preserve">Representación del problema como sistema de entrada/salida. El modelo de optimización recibe datos de demanda, proporciones anatómicas y parámetros operativos, y genera un plan de producción óptimo.</w:t>
      </w:r>
    </w:p>
    <w:p>
      <w:pPr>
        <w:pStyle w:val="BodyText"/>
      </w:pPr>
      <w:r>
        <w:t xml:space="preserve">A nivel sistémico, el problema se enmarca en la dinámica</w:t>
      </w:r>
      <w:r>
        <w:t xml:space="preserve"> </w:t>
      </w:r>
      <w:r>
        <w:rPr>
          <w:b/>
          <w:bCs/>
        </w:rPr>
        <w:t xml:space="preserve">Push/Pull</w:t>
      </w:r>
      <w:r>
        <w:t xml:space="preserve"> </w:t>
      </w:r>
      <w:r>
        <w:t xml:space="preserve">de la cadena avícola (Figura 2). La granja</w:t>
      </w:r>
      <w:r>
        <w:t xml:space="preserve"> </w:t>
      </w:r>
      <w:r>
        <w:t xml:space="preserve">“empuja”</w:t>
      </w:r>
      <w:r>
        <w:t xml:space="preserve"> </w:t>
      </w:r>
      <w:r>
        <w:t xml:space="preserve">lotes de aves que deben procesarse al alcanzar su peso de mercado (Push), generando coproductos en proporciones fijas. Simultáneamente, el mercado</w:t>
      </w:r>
      <w:r>
        <w:t xml:space="preserve"> </w:t>
      </w:r>
      <w:r>
        <w:t xml:space="preserve">“jala”</w:t>
      </w:r>
      <w:r>
        <w:t xml:space="preserve"> </w:t>
      </w:r>
      <w:r>
        <w:t xml:space="preserve">productos específicos con demanda variable y estacional (Pull). El</w:t>
      </w:r>
      <w:r>
        <w:t xml:space="preserve"> </w:t>
      </w:r>
      <w:r>
        <w:rPr>
          <w:b/>
          <w:bCs/>
        </w:rPr>
        <w:t xml:space="preserve">desbalance</w:t>
      </w:r>
      <w:r>
        <w:t xml:space="preserve"> </w:t>
      </w:r>
      <w:r>
        <w:t xml:space="preserve">ocurre cuando estas dos fuerzas no están alineadas, y la planta de procesamiento debe tomar decisiones de producción, inventario y ventas bajo incertidumbre.</w:t>
      </w:r>
    </w:p>
    <w:p>
      <w:pPr>
        <w:pStyle w:val="SourceCode"/>
      </w:pPr>
      <w:r>
        <w:rPr>
          <w:rStyle w:val="VerbatimChar"/>
        </w:rPr>
        <w:t xml:space="preserve">%%{init: {'theme': 'neutral'}}%%</w:t>
      </w:r>
      <w:r>
        <w:br/>
      </w:r>
      <w:r>
        <w:rPr>
          <w:rStyle w:val="VerbatimChar"/>
        </w:rPr>
        <w:t xml:space="preserve">flowchart LR</w:t>
      </w:r>
      <w:r>
        <w:br/>
      </w:r>
      <w:r>
        <w:rPr>
          <w:rStyle w:val="VerbatimChar"/>
        </w:rPr>
        <w:t xml:space="preserve">    subgraph PUSH["PUSH — Granja"]</w:t>
      </w:r>
      <w:r>
        <w:br/>
      </w:r>
      <w:r>
        <w:rPr>
          <w:rStyle w:val="VerbatimChar"/>
        </w:rPr>
        <w:t xml:space="preserve">        G1["Lotes de pollos\n2.0-2.5 kg, ciclo 42d"]</w:t>
      </w:r>
      <w:r>
        <w:br/>
      </w:r>
      <w:r>
        <w:rPr>
          <w:rStyle w:val="VerbatimChar"/>
        </w:rPr>
        <w:t xml:space="preserve">    end</w:t>
      </w:r>
      <w:r>
        <w:br/>
      </w:r>
      <w:r>
        <w:br/>
      </w:r>
      <w:r>
        <w:rPr>
          <w:rStyle w:val="VerbatimChar"/>
        </w:rPr>
        <w:t xml:space="preserve">    subgraph PLANTA["PLANTA DE BENEFICIO"]</w:t>
      </w:r>
      <w:r>
        <w:br/>
      </w:r>
      <w:r>
        <w:rPr>
          <w:rStyle w:val="VerbatimChar"/>
        </w:rPr>
        <w:t xml:space="preserve">        P1["Despiece"]</w:t>
      </w:r>
      <w:r>
        <w:br/>
      </w:r>
      <w:r>
        <w:rPr>
          <w:rStyle w:val="VerbatimChar"/>
        </w:rPr>
        <w:t xml:space="preserve">        P2["Coproducción fija:\nPech 30% | Mus 20%\nAlas 10% | Otros 40%"]</w:t>
      </w:r>
      <w:r>
        <w:br/>
      </w:r>
      <w:r>
        <w:rPr>
          <w:rStyle w:val="VerbatimChar"/>
        </w:rPr>
        <w:t xml:space="preserve">        P1 --&gt; P2</w:t>
      </w:r>
      <w:r>
        <w:br/>
      </w:r>
      <w:r>
        <w:rPr>
          <w:rStyle w:val="VerbatimChar"/>
        </w:rPr>
        <w:t xml:space="preserve">    end</w:t>
      </w:r>
      <w:r>
        <w:br/>
      </w:r>
      <w:r>
        <w:br/>
      </w:r>
      <w:r>
        <w:rPr>
          <w:rStyle w:val="VerbatimChar"/>
        </w:rPr>
        <w:t xml:space="preserve">    subgraph PULL["PULL — Mercado"]</w:t>
      </w:r>
      <w:r>
        <w:br/>
      </w:r>
      <w:r>
        <w:rPr>
          <w:rStyle w:val="VerbatimChar"/>
        </w:rPr>
        <w:t xml:space="preserve">        D1["Demanda variable\ny estacional"]</w:t>
      </w:r>
      <w:r>
        <w:br/>
      </w:r>
      <w:r>
        <w:rPr>
          <w:rStyle w:val="VerbatimChar"/>
        </w:rPr>
        <w:t xml:space="preserve">    end</w:t>
      </w:r>
      <w:r>
        <w:br/>
      </w:r>
      <w:r>
        <w:br/>
      </w:r>
      <w:r>
        <w:rPr>
          <w:rStyle w:val="VerbatimChar"/>
        </w:rPr>
        <w:t xml:space="preserve">    subgraph DESBALANCE["⚠ DESBALANCE"]</w:t>
      </w:r>
      <w:r>
        <w:br/>
      </w:r>
      <w:r>
        <w:rPr>
          <w:rStyle w:val="VerbatimChar"/>
        </w:rPr>
        <w:t xml:space="preserve">        X1["Excedentes → Inventario"]</w:t>
      </w:r>
      <w:r>
        <w:br/>
      </w:r>
      <w:r>
        <w:rPr>
          <w:rStyle w:val="VerbatimChar"/>
        </w:rPr>
        <w:t xml:space="preserve">        X2["Faltantes → Ventas perdidas"]</w:t>
      </w:r>
      <w:r>
        <w:br/>
      </w:r>
      <w:r>
        <w:rPr>
          <w:rStyle w:val="VerbatimChar"/>
        </w:rPr>
        <w:t xml:space="preserve">    end</w:t>
      </w:r>
      <w:r>
        <w:br/>
      </w:r>
      <w:r>
        <w:br/>
      </w:r>
      <w:r>
        <w:rPr>
          <w:rStyle w:val="VerbatimChar"/>
        </w:rPr>
        <w:t xml:space="preserve">    PUSH --&gt;|"Oferta fija"| PLANTA</w:t>
      </w:r>
      <w:r>
        <w:br/>
      </w:r>
      <w:r>
        <w:rPr>
          <w:rStyle w:val="VerbatimChar"/>
        </w:rPr>
        <w:t xml:space="preserve">    PLANTA --&gt;|"Coproductos"| PULL</w:t>
      </w:r>
      <w:r>
        <w:br/>
      </w:r>
      <w:r>
        <w:rPr>
          <w:rStyle w:val="VerbatimChar"/>
        </w:rPr>
        <w:t xml:space="preserve">    PLANTA -.-&gt;|"Oferta ≠ Demanda"| DESBALANCE</w:t>
      </w:r>
    </w:p>
    <w:p>
      <w:pPr>
        <w:pStyle w:val="FirstParagraph"/>
      </w:pPr>
      <w:r>
        <w:rPr>
          <w:b/>
          <w:bCs/>
          <w:i/>
          <w:iCs/>
        </w:rPr>
        <w:t xml:space="preserve">Figura 2.</w:t>
      </w:r>
      <w:r>
        <w:rPr>
          <w:i/>
          <w:iCs/>
        </w:rPr>
        <w:t xml:space="preserve"> </w:t>
      </w:r>
      <w:r>
        <w:rPr>
          <w:i/>
          <w:iCs/>
        </w:rPr>
        <w:t xml:space="preserve">Sistema global Push/Pull de la cadena avícola. La granja empuja lotes de aves (Push), la planta genera coproductos en proporciones fijas, y el mercado jala productos con demanda variable (Pull). El desbalance entre oferta y demanda genera excedentes y faltantes.</w:t>
      </w:r>
    </w:p>
    <w:bookmarkEnd w:id="12"/>
    <w:bookmarkStart w:id="13" w:name="relevancia-económica-y-contexto-nacional"/>
    <w:p>
      <w:pPr>
        <w:pStyle w:val="Heading3"/>
      </w:pPr>
      <w:r>
        <w:t xml:space="preserve">1.2. Relevancia Económica y Contexto Nacional</w:t>
      </w:r>
    </w:p>
    <w:p>
      <w:pPr>
        <w:pStyle w:val="FirstParagraph"/>
      </w:pPr>
      <w:r>
        <w:t xml:space="preserve">La relevancia económica de resolver el problema de la planificación de coproductos es crucial para la competitividad y sostenibilidad de la industria avícola colombiana. Según FENAVI</w:t>
      </w:r>
      <w:r>
        <w:t xml:space="preserve"> </w:t>
      </w:r>
      <w:r>
        <w:t xml:space="preserve">[5]</w:t>
      </w:r>
      <w:r>
        <w:t xml:space="preserve">, la avicultura representa uno de los renglones pecuarios más importantes del país, con una producción anual que supera las 1.7 millones de toneladas de carne de pollo. La agroindustria avícola aporta aproximadamente 0.52% del valor agregado bruto nacional</w:t>
      </w:r>
      <w:r>
        <w:t xml:space="preserve"> </w:t>
      </w:r>
      <w:r>
        <w:t xml:space="preserve">[6]</w:t>
      </w:r>
      <w:r>
        <w:t xml:space="preserve">.</w:t>
      </w:r>
    </w:p>
    <w:p>
      <w:pPr>
        <w:pStyle w:val="BodyText"/>
      </w:pPr>
      <w:r>
        <w:t xml:space="preserve">Una gestión optimizada de la producción conjunta permite:</w:t>
      </w:r>
    </w:p>
    <w:p>
      <w:pPr>
        <w:pStyle w:val="Compact"/>
        <w:numPr>
          <w:ilvl w:val="0"/>
          <w:numId w:val="1001"/>
        </w:numPr>
      </w:pPr>
      <w:r>
        <w:rPr>
          <w:b/>
          <w:bCs/>
        </w:rPr>
        <w:t xml:space="preserve">Reducir costos de inventario:</w:t>
      </w:r>
      <w:r>
        <w:t xml:space="preserve"> </w:t>
      </w:r>
      <w:r>
        <w:t xml:space="preserve">Minimizando la acumulación de productos de baja rotación.</w:t>
      </w:r>
    </w:p>
    <w:p>
      <w:pPr>
        <w:pStyle w:val="Compact"/>
        <w:numPr>
          <w:ilvl w:val="0"/>
          <w:numId w:val="1001"/>
        </w:numPr>
      </w:pPr>
      <w:r>
        <w:rPr>
          <w:b/>
          <w:bCs/>
        </w:rPr>
        <w:t xml:space="preserve">Maximizar ingresos:</w:t>
      </w:r>
      <w:r>
        <w:t xml:space="preserve"> </w:t>
      </w:r>
      <w:r>
        <w:t xml:space="preserve">Aprovechando oportunidades de mercado para cortes de alta demanda.</w:t>
      </w:r>
    </w:p>
    <w:p>
      <w:pPr>
        <w:pStyle w:val="Compact"/>
        <w:numPr>
          <w:ilvl w:val="0"/>
          <w:numId w:val="1001"/>
        </w:numPr>
      </w:pPr>
      <w:r>
        <w:rPr>
          <w:b/>
          <w:bCs/>
        </w:rPr>
        <w:t xml:space="preserve">Mejorar la eficiencia operativa:</w:t>
      </w:r>
      <w:r>
        <w:t xml:space="preserve"> </w:t>
      </w:r>
      <w:r>
        <w:t xml:space="preserve">Optimizando las cantidades procesadas por periodo.</w:t>
      </w:r>
    </w:p>
    <w:p>
      <w:pPr>
        <w:pStyle w:val="Compact"/>
        <w:numPr>
          <w:ilvl w:val="0"/>
          <w:numId w:val="1001"/>
        </w:numPr>
      </w:pPr>
      <w:r>
        <w:rPr>
          <w:b/>
          <w:bCs/>
        </w:rPr>
        <w:t xml:space="preserve">Reducir el desperdicio:</w:t>
      </w:r>
      <w:r>
        <w:t xml:space="preserve"> </w:t>
      </w:r>
      <w:r>
        <w:t xml:space="preserve">Contribuyendo a la sostenibilidad ambiental del sector.</w:t>
      </w:r>
    </w:p>
    <w:p>
      <w:pPr>
        <w:pStyle w:val="FirstParagraph"/>
      </w:pPr>
      <w:r>
        <w:t xml:space="preserve">El problema de planificación de coproductos bajo demanda estocástica es un problema de optimización combinatoria clasificado como</w:t>
      </w:r>
      <w:r>
        <w:t xml:space="preserve"> </w:t>
      </w:r>
      <w:r>
        <w:rPr>
          <w:b/>
          <w:bCs/>
        </w:rPr>
        <w:t xml:space="preserve">NP-hard</w:t>
      </w:r>
      <w:r>
        <w:t xml:space="preserve">. La demostración formal de esta complejidad se remonta al trabajo seminal de Florian et al.</w:t>
      </w:r>
      <w:r>
        <w:t xml:space="preserve"> </w:t>
      </w:r>
      <w:r>
        <w:t xml:space="preserve">[7]</w:t>
      </w:r>
      <w:r>
        <w:t xml:space="preserve"> </w:t>
      </w:r>
      <w:r>
        <w:t xml:space="preserve">y Bitran y Yanasse</w:t>
      </w:r>
      <w:r>
        <w:t xml:space="preserve"> </w:t>
      </w:r>
      <w:r>
        <w:t xml:space="preserve">[8]</w:t>
      </w:r>
      <w:r>
        <w:t xml:space="preserve">, quienes probaron que incluso el caso mono-producto del Capacitated Lot-Sizing Problem (CLSP) con costos fijos de setup es NP-hard</w:t>
      </w:r>
      <w:r>
        <w:t xml:space="preserve"> </w:t>
      </w:r>
      <w:r>
        <w:t xml:space="preserve">[9]</w:t>
      </w:r>
      <w:r>
        <w:t xml:space="preserve">. Rahmani et al.</w:t>
      </w:r>
      <w:r>
        <w:t xml:space="preserve"> </w:t>
      </w:r>
      <w:r>
        <w:t xml:space="preserve">[10]</w:t>
      </w:r>
      <w:r>
        <w:t xml:space="preserve"> </w:t>
      </w:r>
      <w:r>
        <w:t xml:space="preserve">confirman que la extensión a dos etapas estocásticas preserva esta complejidad, y Mahdieh et al.</w:t>
      </w:r>
      <w:r>
        <w:t xml:space="preserve"> </w:t>
      </w:r>
      <w:r>
        <w:t xml:space="preserve">[11]</w:t>
      </w:r>
      <w:r>
        <w:t xml:space="preserve"> </w:t>
      </w:r>
      <w:r>
        <w:t xml:space="preserve">demuestran que agregar restricciones de lote mínimo y setup crossover la incrementan aún más. Esta complejidad computacional ha motivado el desarrollo de enfoques metaheurísticos para encontrar soluciones de alta calidad en tiempos de cómputo razonables.</w:t>
      </w:r>
    </w:p>
    <w:p>
      <w:pPr>
        <w:pStyle w:val="BodyText"/>
      </w:pPr>
      <w:r>
        <w:t xml:space="preserve">La literatura reciente en optimización de cadenas de suministro avícolas</w:t>
      </w:r>
      <w:r>
        <w:t xml:space="preserve"> </w:t>
      </w:r>
      <w:r>
        <w:t xml:space="preserve">[3], [4], [12]</w:t>
      </w:r>
      <w:r>
        <w:t xml:space="preserve"> </w:t>
      </w:r>
      <w:r>
        <w:t xml:space="preserve">y en planificación de producción para la industria alimentaria</w:t>
      </w:r>
      <w:r>
        <w:t xml:space="preserve"> </w:t>
      </w:r>
      <w:r>
        <w:t xml:space="preserve">[13], [14]</w:t>
      </w:r>
      <w:r>
        <w:t xml:space="preserve"> </w:t>
      </w:r>
      <w:r>
        <w:t xml:space="preserve">ha demostrado la viabilidad de modelos matemáticos para la planificación integrada. Sin embargo, estos trabajos emplean predominantemente métodos exactos (MILP/CPLEX) que resultan intratables para instancias de gran escala con incertidumbre.</w:t>
      </w:r>
    </w:p>
    <w:p>
      <w:pPr>
        <w:pStyle w:val="BodyText"/>
      </w:pPr>
      <w:r>
        <w:t xml:space="preserve">Este trabajo se centra en abordar este desafío mediante el desarrollo de un</w:t>
      </w:r>
      <w:r>
        <w:t xml:space="preserve"> </w:t>
      </w:r>
      <w:r>
        <w:rPr>
          <w:b/>
          <w:bCs/>
        </w:rPr>
        <w:t xml:space="preserve">modelo de optimización para la planificación de coproductos</w:t>
      </w:r>
      <w:r>
        <w:t xml:space="preserve">, resuelto con</w:t>
      </w:r>
      <w:r>
        <w:t xml:space="preserve"> </w:t>
      </w:r>
      <w:r>
        <w:rPr>
          <w:b/>
          <w:bCs/>
        </w:rPr>
        <w:t xml:space="preserve">técnicas metaheurísticas</w:t>
      </w:r>
      <w:r>
        <w:t xml:space="preserve"> </w:t>
      </w:r>
      <w:r>
        <w:t xml:space="preserve">(Algoritmos Genéticos, Recocido Simulado, Evolución Diferencial e híbridos)</w:t>
      </w:r>
      <w:r>
        <w:t xml:space="preserve"> </w:t>
      </w:r>
      <w:r>
        <w:t xml:space="preserve">[15], [16]</w:t>
      </w:r>
      <w:r>
        <w:t xml:space="preserve">. El objetivo es desarrollar una herramienta de apoyo a la decisión que permita a las empresas del sector mejorar su planificación, reducir sus pérdidas y fortalecer su competitividad en un mercado cada vez más exigente.</w:t>
      </w:r>
    </w:p>
    <w:bookmarkEnd w:id="13"/>
    <w:bookmarkStart w:id="14" w:name="preguntas-de-investigación"/>
    <w:p>
      <w:pPr>
        <w:pStyle w:val="Heading3"/>
      </w:pPr>
      <w:r>
        <w:t xml:space="preserve">1.3. Preguntas de Investigación</w:t>
      </w:r>
    </w:p>
    <w:p>
      <w:pPr>
        <w:pStyle w:val="FirstParagraph"/>
      </w:pPr>
      <w:r>
        <w:rPr>
          <w:b/>
          <w:bCs/>
        </w:rPr>
        <w:t xml:space="preserve">Pregunta Principal:</w:t>
      </w:r>
      <w:r>
        <w:t xml:space="preserve"> </w:t>
      </w:r>
      <w:r>
        <w:t xml:space="preserve">¿Cómo puede un modelo de optimización de coproductos, resuelto mediante técnicas metaheurísticas, minimizar las pérdidas económicas asociadas al desbalance entre la oferta conjunta de coproductos y la demanda del mercado en una planta de procesamiento avícola colombiana?</w:t>
      </w:r>
    </w:p>
    <w:p>
      <w:pPr>
        <w:pStyle w:val="BodyText"/>
      </w:pPr>
      <w:r>
        <w:rPr>
          <w:b/>
          <w:bCs/>
        </w:rPr>
        <w:t xml:space="preserve">Preguntas Secundarias:</w:t>
      </w:r>
    </w:p>
    <w:p>
      <w:pPr>
        <w:numPr>
          <w:ilvl w:val="0"/>
          <w:numId w:val="1002"/>
        </w:numPr>
      </w:pPr>
      <w:r>
        <w:t xml:space="preserve">¿Qué formulación matemática del problema de planificación de coproductos captura adecuadamente las restricciones de producción conjunta, los costos de inventario, balance de materiales y la variabilidad de la demanda en el contexto avícola?</w:t>
      </w:r>
    </w:p>
    <w:p>
      <w:pPr>
        <w:numPr>
          <w:ilvl w:val="0"/>
          <w:numId w:val="1002"/>
        </w:numPr>
      </w:pPr>
      <w:r>
        <w:t xml:space="preserve">¿Qué técnicas metaheurísticas (Algoritmos Genéticos, Recocido Simulado, Evolución Diferencial, o híbridos) presentan el mejor desempeño para resolver el modelo de optimización de coproductos propuesto?</w:t>
      </w:r>
    </w:p>
    <w:p>
      <w:pPr>
        <w:numPr>
          <w:ilvl w:val="0"/>
          <w:numId w:val="1002"/>
        </w:numPr>
      </w:pPr>
      <w:r>
        <w:t xml:space="preserve">¿En qué magnitud se pueden reducir las pérdidas económicas asociadas al desbalance de carcasa mediante la implementación del modelo de optimización?</w:t>
      </w:r>
    </w:p>
    <w:bookmarkEnd w:id="14"/>
    <w:bookmarkStart w:id="15" w:name="hipótesis-de-investigación"/>
    <w:p>
      <w:pPr>
        <w:pStyle w:val="Heading3"/>
      </w:pPr>
      <w:r>
        <w:t xml:space="preserve">1.4. Hipótesis de Investigación</w:t>
      </w:r>
    </w:p>
    <w:p>
      <w:pPr>
        <w:pStyle w:val="FirstParagraph"/>
      </w:pPr>
      <w:r>
        <w:rPr>
          <w:b/>
          <w:bCs/>
        </w:rPr>
        <w:t xml:space="preserve">Hipótesis Principal (H1):</w:t>
      </w:r>
      <w:r>
        <w:t xml:space="preserve"> </w:t>
      </w:r>
      <w:r>
        <w:t xml:space="preserve">La aplicación del modelo de optimización de coproductos con metaheurísticas generará una reducción</w:t>
      </w:r>
      <w:r>
        <w:t xml:space="preserve"> </w:t>
      </w:r>
      <w:r>
        <w:rPr>
          <w:b/>
          <w:bCs/>
        </w:rPr>
        <w:t xml:space="preserve">≥5%</w:t>
      </w:r>
      <w:r>
        <w:t xml:space="preserve"> </w:t>
      </w:r>
      <w:r>
        <w:t xml:space="preserve">en el costo total operativo respecto al baseline de planificación proporcional, validada con nivel de significancia α=0.05, tomando como referencia los benchmarks de Solano-Blanco et al.</w:t>
      </w:r>
      <w:r>
        <w:t xml:space="preserve"> </w:t>
      </w:r>
      <w:r>
        <w:t xml:space="preserve">[3]</w:t>
      </w:r>
      <w:r>
        <w:t xml:space="preserve"> </w:t>
      </w:r>
      <w:r>
        <w:t xml:space="preserve">(8.6% de reducción) y Tahraoui et al.</w:t>
      </w:r>
      <w:r>
        <w:t xml:space="preserve"> </w:t>
      </w:r>
      <w:r>
        <w:t xml:space="preserve">[4]</w:t>
      </w:r>
      <w:r>
        <w:t xml:space="preserve">.</w:t>
      </w:r>
    </w:p>
    <w:p>
      <w:pPr>
        <w:pStyle w:val="BodyText"/>
      </w:pPr>
      <w:r>
        <w:rPr>
          <w:b/>
          <w:bCs/>
        </w:rPr>
        <w:t xml:space="preserve">Hipótesis Secundarias:</w:t>
      </w:r>
    </w:p>
    <w:p>
      <w:pPr>
        <w:pStyle w:val="Compact"/>
        <w:numPr>
          <w:ilvl w:val="0"/>
          <w:numId w:val="1003"/>
        </w:numPr>
      </w:pPr>
      <w:r>
        <w:rPr>
          <w:b/>
          <w:bCs/>
        </w:rPr>
        <w:t xml:space="preserve">H2:</w:t>
      </w:r>
      <w:r>
        <w:t xml:space="preserve"> </w:t>
      </w:r>
      <w:r>
        <w:t xml:space="preserve">El algoritmo híbrido GA-SA obtendrá soluciones con un gap de optimalidad</w:t>
      </w:r>
      <w:r>
        <w:t xml:space="preserve"> </w:t>
      </w:r>
      <w:r>
        <w:rPr>
          <w:b/>
          <w:bCs/>
        </w:rPr>
        <w:t xml:space="preserve">≤2%</w:t>
      </w:r>
      <w:r>
        <w:t xml:space="preserve"> </w:t>
      </w:r>
      <w:r>
        <w:t xml:space="preserve">respecto a la mejor metaheurística individual (GA, SA o DE), en un tiempo computacional</w:t>
      </w:r>
      <w:r>
        <w:t xml:space="preserve"> </w:t>
      </w:r>
      <w:r>
        <w:rPr>
          <w:b/>
          <w:bCs/>
        </w:rPr>
        <w:t xml:space="preserve">≤50%</w:t>
      </w:r>
      <w:r>
        <w:t xml:space="preserve"> </w:t>
      </w:r>
      <w:r>
        <w:t xml:space="preserve">del requerido por el solver exacto (CBC/PuLP) para instancias medianas (</w:t>
      </w:r>
      <m:oMath>
        <m:sSub>
          <m:e>
            <m:r>
              <m:t>n</m:t>
            </m:r>
          </m:e>
          <m:sub>
            <m:r>
              <m:t>t</m:t>
            </m:r>
          </m:sub>
        </m:sSub>
        <m:r>
          <m:rPr>
            <m:sty m:val="p"/>
          </m:rPr>
          <m:t>=</m:t>
        </m:r>
        <m:r>
          <m:t>12</m:t>
        </m:r>
      </m:oMath>
      <w:r>
        <w:t xml:space="preserve">,</w:t>
      </w:r>
      <w:r>
        <w:t xml:space="preserve"> </w:t>
      </w:r>
      <m:oMath>
        <m:sSub>
          <m:e>
            <m:r>
              <m:t>n</m:t>
            </m:r>
          </m:e>
          <m:sub>
            <m:r>
              <m:t>ω</m:t>
            </m:r>
          </m:sub>
        </m:sSub>
        <m:r>
          <m:rPr>
            <m:sty m:val="p"/>
          </m:rPr>
          <m:t>=</m:t>
        </m:r>
        <m:r>
          <m:t>50</m:t>
        </m:r>
      </m:oMath>
      <w:r>
        <w:t xml:space="preserve">)</w:t>
      </w:r>
      <w:r>
        <w:t xml:space="preserve"> </w:t>
      </w:r>
      <w:r>
        <w:t xml:space="preserve">[15]</w:t>
      </w:r>
      <w:r>
        <w:t xml:space="preserve">.</w:t>
      </w:r>
    </w:p>
    <w:p>
      <w:pPr>
        <w:pStyle w:val="Compact"/>
        <w:numPr>
          <w:ilvl w:val="0"/>
          <w:numId w:val="1003"/>
        </w:numPr>
      </w:pPr>
      <w:r>
        <w:rPr>
          <w:b/>
          <w:bCs/>
        </w:rPr>
        <w:t xml:space="preserve">H3:</w:t>
      </w:r>
      <w:r>
        <w:t xml:space="preserve"> </w:t>
      </w:r>
      <w:r>
        <w:t xml:space="preserve">El modelo de optimización permitirá una reducción</w:t>
      </w:r>
      <w:r>
        <w:t xml:space="preserve"> </w:t>
      </w:r>
      <w:r>
        <w:rPr>
          <w:b/>
          <w:bCs/>
        </w:rPr>
        <w:t xml:space="preserve">≥15%</w:t>
      </w:r>
      <w:r>
        <w:t xml:space="preserve"> </w:t>
      </w:r>
      <w:r>
        <w:t xml:space="preserve">en el inventario promedio total, comparada con el método de planificación proporcional, evaluada mediante un contraste one-sided bloqueado por instancia (α=0.05). Como análisis secundario exploratorio, se examinará el inventario de baja rotación cuando el baseline sea estrictamente positivo.</w:t>
      </w:r>
    </w:p>
    <w:bookmarkEnd w:id="15"/>
    <w:bookmarkStart w:id="16" w:name="alcance-y-limitaciones"/>
    <w:p>
      <w:pPr>
        <w:pStyle w:val="Heading3"/>
      </w:pPr>
      <w:r>
        <w:t xml:space="preserve">1.5. Alcance y Limitaciones</w:t>
      </w:r>
    </w:p>
    <w:p>
      <w:pPr>
        <w:pStyle w:val="FirstParagraph"/>
      </w:pPr>
      <w:r>
        <w:rPr>
          <w:b/>
          <w:bCs/>
        </w:rPr>
        <w:t xml:space="preserve">Alcance:</w:t>
      </w:r>
    </w:p>
    <w:p>
      <w:pPr>
        <w:pStyle w:val="Compact"/>
        <w:numPr>
          <w:ilvl w:val="0"/>
          <w:numId w:val="1004"/>
        </w:numPr>
      </w:pPr>
      <w:r>
        <w:t xml:space="preserve">El modelo se formula para la planificación operativa de coproductos en plantas de beneficio avícola con un horizonte de planificación de hasta 30 días.</w:t>
      </w:r>
    </w:p>
    <w:p>
      <w:pPr>
        <w:pStyle w:val="Compact"/>
        <w:numPr>
          <w:ilvl w:val="0"/>
          <w:numId w:val="1004"/>
        </w:numPr>
      </w:pPr>
      <w:r>
        <w:t xml:space="preserve">Se evalúan cuatro metaheurísticas (GA, SA, DE, GA-SA) y se comparan contra un solver exacto (CBC) y un baseline heurístico.</w:t>
      </w:r>
    </w:p>
    <w:p>
      <w:pPr>
        <w:pStyle w:val="Compact"/>
        <w:numPr>
          <w:ilvl w:val="0"/>
          <w:numId w:val="1004"/>
        </w:numPr>
      </w:pPr>
      <w:r>
        <w:t xml:space="preserve">La validación se realiza con datos sintéticos calibrados con parámetros del sector avícola colombiano (FENAVI, DANE, literatura publicada).</w:t>
      </w:r>
    </w:p>
    <w:p>
      <w:pPr>
        <w:pStyle w:val="Compact"/>
        <w:numPr>
          <w:ilvl w:val="0"/>
          <w:numId w:val="1004"/>
        </w:numPr>
      </w:pPr>
      <w:r>
        <w:t xml:space="preserve">El alcance geográfico se limita al contexto colombiano, utilizando costos, precios y patrones de demanda representativos del mercado nacional.</w:t>
      </w:r>
    </w:p>
    <w:p>
      <w:pPr>
        <w:pStyle w:val="FirstParagraph"/>
      </w:pPr>
      <w:r>
        <w:rPr>
          <w:b/>
          <w:bCs/>
        </w:rPr>
        <w:t xml:space="preserve">Limitaciones:</w:t>
      </w:r>
    </w:p>
    <w:p>
      <w:pPr>
        <w:pStyle w:val="Compact"/>
        <w:numPr>
          <w:ilvl w:val="0"/>
          <w:numId w:val="1005"/>
        </w:numPr>
      </w:pPr>
      <w:r>
        <w:t xml:space="preserve">No se utilizan datos operativos reales de una planta de beneficio específica, sino datos sintéticos calibrados.</w:t>
      </w:r>
    </w:p>
    <w:p>
      <w:pPr>
        <w:pStyle w:val="Compact"/>
        <w:numPr>
          <w:ilvl w:val="0"/>
          <w:numId w:val="1005"/>
        </w:numPr>
      </w:pPr>
      <w:r>
        <w:t xml:space="preserve">El modelo asume proporciones de coproductos fijas por carcasa (no considera variabilidad genética inter-lote).</w:t>
      </w:r>
    </w:p>
    <w:p>
      <w:pPr>
        <w:pStyle w:val="Compact"/>
        <w:numPr>
          <w:ilvl w:val="0"/>
          <w:numId w:val="1005"/>
        </w:numPr>
      </w:pPr>
      <w:r>
        <w:t xml:space="preserve">No se integra el scheduling detallado de la línea de despiece (solo lot-sizing a nivel diario).</w:t>
      </w:r>
    </w:p>
    <w:p>
      <w:pPr>
        <w:pStyle w:val="Compact"/>
        <w:numPr>
          <w:ilvl w:val="0"/>
          <w:numId w:val="1005"/>
        </w:numPr>
      </w:pPr>
      <w:r>
        <w:t xml:space="preserve">La perecibilidad se modela como restricción de vida útil discreta, sin considerar deterioro gradual de calidad.</w:t>
      </w:r>
    </w:p>
    <w:p>
      <w:r>
        <w:pict>
          <v:rect style="width:0;height:1.5pt" o:hralign="center" o:hrstd="t" o:hr="t"/>
        </w:pict>
      </w:r>
    </w:p>
    <w:bookmarkEnd w:id="16"/>
    <w:bookmarkEnd w:id="17"/>
    <w:bookmarkStart w:id="22" w:name="justificación"/>
    <w:p>
      <w:pPr>
        <w:pStyle w:val="Heading2"/>
      </w:pPr>
      <w:r>
        <w:t xml:space="preserve">2. Justificación</w:t>
      </w:r>
    </w:p>
    <w:bookmarkStart w:id="18" w:name="conveniencia-y-relevancia-económica"/>
    <w:p>
      <w:pPr>
        <w:pStyle w:val="Heading3"/>
      </w:pPr>
      <w:r>
        <w:t xml:space="preserve">2.1. Conveniencia y Relevancia Económica</w:t>
      </w:r>
    </w:p>
    <w:p>
      <w:pPr>
        <w:pStyle w:val="FirstParagraph"/>
      </w:pPr>
      <w:r>
        <w:t xml:space="preserve">La optimización de la planificación de coproductos tiene un impacto directo en la rentabilidad de las empresas avícolas. Como demostró el caso de Solano-Blanco et al.</w:t>
      </w:r>
      <w:r>
        <w:t xml:space="preserve"> </w:t>
      </w:r>
      <w:r>
        <w:t xml:space="preserve">[3]</w:t>
      </w:r>
      <w:r>
        <w:t xml:space="preserve">, las mejoras en la planificación integrada pueden traducirse en reducciones de costos del</w:t>
      </w:r>
      <w:r>
        <w:t xml:space="preserve"> </w:t>
      </w:r>
      <w:r>
        <w:rPr>
          <w:b/>
          <w:bCs/>
        </w:rPr>
        <w:t xml:space="preserve">8.6%</w:t>
      </w:r>
      <w:r>
        <w:t xml:space="preserve">. Tahraoui et al.</w:t>
      </w:r>
      <w:r>
        <w:t xml:space="preserve"> </w:t>
      </w:r>
      <w:r>
        <w:t xml:space="preserve">[4]</w:t>
      </w:r>
      <w:r>
        <w:t xml:space="preserve"> </w:t>
      </w:r>
      <w:r>
        <w:t xml:space="preserve">confirmaron que la planificación operativa optimizada con modelos MILP reduce significativamente los costos en plantas multi-producto. En una industria de márgenes estrechos y alto volumen, estas mejoras representan una ventaja competitiva crítica.</w:t>
      </w:r>
    </w:p>
    <w:p>
      <w:pPr>
        <w:pStyle w:val="BodyText"/>
      </w:pPr>
      <w:r>
        <w:t xml:space="preserve">El sector avícola colombiano, que según FENAVI</w:t>
      </w:r>
      <w:r>
        <w:t xml:space="preserve"> </w:t>
      </w:r>
      <w:r>
        <w:t xml:space="preserve">[5]</w:t>
      </w:r>
      <w:r>
        <w:t xml:space="preserve"> </w:t>
      </w:r>
      <w:r>
        <w:t xml:space="preserve">genera más de 600,000 empleos directos e indirectos, se beneficiaría significativamente de herramientas que mejoren su eficiencia operativa. La implementación de modelos de optimización no solo mejora la rentabilidad de las empresas individuales, sino que fortalece la competitividad del sector a nivel nacional e internacional.</w:t>
      </w:r>
    </w:p>
    <w:p>
      <w:pPr>
        <w:pStyle w:val="BodyText"/>
      </w:pPr>
      <w:r>
        <w:t xml:space="preserve">El desbalance entre la oferta conjunta y la demanda del mercado se manifiesta en dos frentes principales:</w:t>
      </w:r>
    </w:p>
    <w:p>
      <w:pPr>
        <w:numPr>
          <w:ilvl w:val="0"/>
          <w:numId w:val="1006"/>
        </w:numPr>
      </w:pPr>
      <w:r>
        <w:rPr>
          <w:b/>
          <w:bCs/>
        </w:rPr>
        <w:t xml:space="preserve">Excedentes de inventario (sobreproducción):</w:t>
      </w:r>
      <w:r>
        <w:t xml:space="preserve"> </w:t>
      </w:r>
      <w:r>
        <w:t xml:space="preserve">Cuando la producción de ciertos cortes (alas, patas, vísceras) supera la demanda del mercado, las empresas se ven forzadas a incurrir en costos adicionales de almacenamiento en frío, transporte y, en el peor de los casos, vender estos productos a precios de liquidación, erosionando significativamente los márgenes de ganancia.</w:t>
      </w:r>
    </w:p>
    <w:p>
      <w:pPr>
        <w:numPr>
          <w:ilvl w:val="0"/>
          <w:numId w:val="1006"/>
        </w:numPr>
      </w:pPr>
      <w:r>
        <w:rPr>
          <w:b/>
          <w:bCs/>
        </w:rPr>
        <w:t xml:space="preserve">Faltantes de inventario (subproducción):</w:t>
      </w:r>
      <w:r>
        <w:t xml:space="preserve"> </w:t>
      </w:r>
      <w:r>
        <w:t xml:space="preserve">De forma simultánea, la demanda de cortes de alto valor (pechuga) puede exceder la capacidad de producción balanceada, resultando en oportunidades de venta perdidas y una potencial insatisfacción del cliente.</w:t>
      </w:r>
    </w:p>
    <w:p>
      <w:pPr>
        <w:pStyle w:val="FirstParagraph"/>
      </w:pPr>
      <w:r>
        <w:rPr>
          <w:b/>
          <w:bCs/>
          <w:i/>
          <w:iCs/>
        </w:rPr>
        <w:t xml:space="preserve">Tabla 1.</w:t>
      </w:r>
      <w:r>
        <w:rPr>
          <w:i/>
          <w:iCs/>
        </w:rPr>
        <w:t xml:space="preserve"> </w:t>
      </w:r>
      <w:r>
        <w:rPr>
          <w:i/>
          <w:iCs/>
        </w:rPr>
        <w:t xml:space="preserve">Magnitud del problema en la industria avícola colombiana</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Producción anual de pollo</w:t>
            </w:r>
          </w:p>
        </w:tc>
        <w:tc>
          <w:tcPr/>
          <w:p>
            <w:pPr>
              <w:pStyle w:val="Compact"/>
            </w:pPr>
            <w:r>
              <w:t xml:space="preserve">1.7 millones de toneladas</w:t>
            </w:r>
          </w:p>
        </w:tc>
        <w:tc>
          <w:tcPr/>
          <w:p>
            <w:pPr>
              <w:pStyle w:val="Compact"/>
            </w:pPr>
            <w:r>
              <w:t xml:space="preserve">FENAVI 2024</w:t>
            </w:r>
          </w:p>
        </w:tc>
      </w:tr>
      <w:tr>
        <w:tc>
          <w:tcPr/>
          <w:p>
            <w:pPr>
              <w:pStyle w:val="Compact"/>
            </w:pPr>
            <w:r>
              <w:t xml:space="preserve">Empleos generados</w:t>
            </w:r>
          </w:p>
        </w:tc>
        <w:tc>
          <w:tcPr/>
          <w:p>
            <w:pPr>
              <w:pStyle w:val="Compact"/>
            </w:pPr>
            <w:r>
              <w:t xml:space="preserve">600,000+ directos e indirectos</w:t>
            </w:r>
          </w:p>
        </w:tc>
        <w:tc>
          <w:tcPr/>
          <w:p>
            <w:pPr>
              <w:pStyle w:val="Compact"/>
            </w:pPr>
            <w:r>
              <w:t xml:space="preserve">FENAVI 2024</w:t>
            </w:r>
          </w:p>
        </w:tc>
      </w:tr>
      <w:tr>
        <w:tc>
          <w:tcPr/>
          <w:p>
            <w:pPr>
              <w:pStyle w:val="Compact"/>
            </w:pPr>
            <w:r>
              <w:t xml:space="preserve">Participación en PIB agropecuario</w:t>
            </w:r>
          </w:p>
        </w:tc>
        <w:tc>
          <w:tcPr/>
          <w:p>
            <w:pPr>
              <w:pStyle w:val="Compact"/>
            </w:pPr>
            <w:r>
              <w:t xml:space="preserve">0.52%</w:t>
            </w:r>
          </w:p>
        </w:tc>
        <w:tc>
          <w:tcPr/>
          <w:p>
            <w:pPr>
              <w:pStyle w:val="Compact"/>
            </w:pPr>
            <w:r>
              <w:t xml:space="preserve">DANE 2024</w:t>
            </w:r>
          </w:p>
        </w:tc>
      </w:tr>
      <w:tr>
        <w:tc>
          <w:tcPr/>
          <w:p>
            <w:pPr>
              <w:pStyle w:val="Compact"/>
            </w:pPr>
            <w:r>
              <w:t xml:space="preserve">Potencial de ahorro en inventario</w:t>
            </w:r>
          </w:p>
        </w:tc>
        <w:tc>
          <w:tcPr/>
          <w:p>
            <w:pPr>
              <w:pStyle w:val="Compact"/>
            </w:pPr>
            <w:r>
              <w:t xml:space="preserve">30–60%</w:t>
            </w:r>
          </w:p>
        </w:tc>
        <w:tc>
          <w:tcPr/>
          <w:p>
            <w:pPr>
              <w:pStyle w:val="Compact"/>
            </w:pPr>
            <w:r>
              <w:t xml:space="preserve">Solano-Blanco et al. 2022</w:t>
            </w:r>
          </w:p>
        </w:tc>
      </w:tr>
      <w:tr>
        <w:tc>
          <w:tcPr/>
          <w:p>
            <w:pPr>
              <w:pStyle w:val="Compact"/>
            </w:pPr>
            <w:r>
              <w:t xml:space="preserve">Costos de almacenamiento refrigerado</w:t>
            </w:r>
          </w:p>
        </w:tc>
        <w:tc>
          <w:tcPr/>
          <w:p>
            <w:pPr>
              <w:pStyle w:val="Compact"/>
            </w:pPr>
            <w:r>
              <w:t xml:space="preserve">+15–25% del costo operativo</w:t>
            </w:r>
          </w:p>
        </w:tc>
        <w:tc>
          <w:tcPr/>
          <w:p>
            <w:pPr>
              <w:pStyle w:val="Compact"/>
            </w:pPr>
            <w:r>
              <w:t xml:space="preserve">Solano-Blanco et al. 2022; Sel et al. 2015</w:t>
            </w:r>
          </w:p>
        </w:tc>
      </w:tr>
      <w:tr>
        <w:tc>
          <w:tcPr/>
          <w:p>
            <w:pPr>
              <w:pStyle w:val="Compact"/>
            </w:pPr>
            <w:r>
              <w:t xml:space="preserve">Pérdidas por ventas de liquidación</w:t>
            </w:r>
          </w:p>
        </w:tc>
        <w:tc>
          <w:tcPr/>
          <w:p>
            <w:pPr>
              <w:pStyle w:val="Compact"/>
            </w:pPr>
            <w:r>
              <w:t xml:space="preserve">−20–40% del margen</w:t>
            </w:r>
          </w:p>
        </w:tc>
        <w:tc>
          <w:tcPr/>
          <w:p>
            <w:pPr>
              <w:pStyle w:val="Compact"/>
            </w:pPr>
            <w:r>
              <w:t xml:space="preserve">Amorim et al. 2014</w:t>
            </w:r>
          </w:p>
        </w:tc>
      </w:tr>
      <w:tr>
        <w:tc>
          <w:tcPr/>
          <w:p>
            <w:pPr>
              <w:pStyle w:val="Compact"/>
            </w:pPr>
            <w:r>
              <w:t xml:space="preserve">Desperdicio de producto perecedero</w:t>
            </w:r>
          </w:p>
        </w:tc>
        <w:tc>
          <w:tcPr/>
          <w:p>
            <w:pPr>
              <w:pStyle w:val="Compact"/>
            </w:pPr>
            <w:r>
              <w:t xml:space="preserve">5–10% de la producción total</w:t>
            </w:r>
          </w:p>
        </w:tc>
        <w:tc>
          <w:tcPr/>
          <w:p>
            <w:pPr>
              <w:pStyle w:val="Compact"/>
            </w:pPr>
            <w:r>
              <w:t xml:space="preserve">Claassen 2016; Akbari-Aghghaleh et al. 2025</w:t>
            </w:r>
          </w:p>
        </w:tc>
      </w:tr>
    </w:tbl>
    <w:p>
      <w:pPr>
        <w:pStyle w:val="BodyText"/>
      </w:pPr>
      <w:r>
        <w:rPr>
          <w:i/>
          <w:iCs/>
        </w:rPr>
        <w:t xml:space="preserve">Fuente: Elaboración propia con datos de</w:t>
      </w:r>
      <w:r>
        <w:rPr>
          <w:i/>
          <w:iCs/>
        </w:rPr>
        <w:t xml:space="preserve"> </w:t>
      </w:r>
      <w:r>
        <w:rPr>
          <w:i/>
          <w:iCs/>
        </w:rPr>
        <w:t xml:space="preserve">[3], [5], [6], [14], [15], [17], [18]</w:t>
      </w:r>
    </w:p>
    <w:bookmarkEnd w:id="18"/>
    <w:bookmarkStart w:id="19" w:name="X52c640c86afe02871e73188c15bffff1aa5a964"/>
    <w:p>
      <w:pPr>
        <w:pStyle w:val="Heading3"/>
      </w:pPr>
      <w:r>
        <w:t xml:space="preserve">2.2. Relevancia Social y Ambiental (ODS 9, ODS 12)</w:t>
      </w:r>
    </w:p>
    <w:p>
      <w:pPr>
        <w:pStyle w:val="FirstParagraph"/>
      </w:pPr>
      <w:r>
        <w:t xml:space="preserve">Mejorar el equilibrio de la carcasa contribuye directamente a la sostenibilidad del sector. Al reducir el desperdicio de alimentos y optimizar el uso de recursos (energía para refrigeración de inventarios no deseados), el proyecto se alinea con los</w:t>
      </w:r>
      <w:r>
        <w:t xml:space="preserve"> </w:t>
      </w:r>
      <w:r>
        <w:rPr>
          <w:b/>
          <w:bCs/>
        </w:rPr>
        <w:t xml:space="preserve">Objetivos de Desarrollo Sostenible (ODS)</w:t>
      </w:r>
      <w:r>
        <w:t xml:space="preserve">, específicamente:</w:t>
      </w:r>
    </w:p>
    <w:p>
      <w:pPr>
        <w:pStyle w:val="Compact"/>
        <w:numPr>
          <w:ilvl w:val="0"/>
          <w:numId w:val="1007"/>
        </w:numPr>
      </w:pPr>
      <w:r>
        <w:rPr>
          <w:b/>
          <w:bCs/>
        </w:rPr>
        <w:t xml:space="preserve">ODS 12 (Producción y Consumo Responsables):</w:t>
      </w:r>
      <w:r>
        <w:t xml:space="preserve"> </w:t>
      </w:r>
      <w:r>
        <w:t xml:space="preserve">Reduciendo el desperdicio de alimentos y optimizando el aprovechamiento de cada ave procesada.</w:t>
      </w:r>
    </w:p>
    <w:p>
      <w:pPr>
        <w:pStyle w:val="Compact"/>
        <w:numPr>
          <w:ilvl w:val="0"/>
          <w:numId w:val="1007"/>
        </w:numPr>
      </w:pPr>
      <w:r>
        <w:rPr>
          <w:b/>
          <w:bCs/>
        </w:rPr>
        <w:t xml:space="preserve">ODS 9 (Industria, Innovación e Infraestructura):</w:t>
      </w:r>
      <w:r>
        <w:t xml:space="preserve"> </w:t>
      </w:r>
      <w:r>
        <w:t xml:space="preserve">Mediante la aplicación de técnicas avanzadas de optimización y el desarrollo de herramientas tecnológicas para la industria.</w:t>
      </w:r>
    </w:p>
    <w:p>
      <w:pPr>
        <w:pStyle w:val="FirstParagraph"/>
      </w:pPr>
      <w:r>
        <w:t xml:space="preserve">La reducción del desperdicio de alimentos es particularmente relevante en un contexto global donde aproximadamente el 14% de los alimentos se pierde en la cadena de suministro antes de llegar al consumidor</w:t>
      </w:r>
      <w:r>
        <w:t xml:space="preserve"> </w:t>
      </w:r>
      <w:r>
        <w:t xml:space="preserve">[19]</w:t>
      </w:r>
      <w:r>
        <w:t xml:space="preserve">. Un mejor balanceo de la carcasa significa un proceso más sostenible, con menor huella de carbono y mejor utilización de los recursos naturales. En otras industrias de desensamble, Darghouth et al.</w:t>
      </w:r>
      <w:r>
        <w:t xml:space="preserve"> </w:t>
      </w:r>
      <w:r>
        <w:t xml:space="preserve">[20]</w:t>
      </w:r>
      <w:r>
        <w:t xml:space="preserve"> </w:t>
      </w:r>
      <w:r>
        <w:t xml:space="preserve">han confirmado que la integración de criterios de sostenibilidad (eficiencia energética, reducción de costos) en modelos de optimización genera beneficios significativos, principios transferibles al procesamiento avícola.</w:t>
      </w:r>
    </w:p>
    <w:bookmarkEnd w:id="19"/>
    <w:bookmarkStart w:id="20" w:name="implicaciones-prácticas"/>
    <w:p>
      <w:pPr>
        <w:pStyle w:val="Heading3"/>
      </w:pPr>
      <w:r>
        <w:t xml:space="preserve">2.3. Implicaciones Prácticas</w:t>
      </w:r>
    </w:p>
    <w:p>
      <w:pPr>
        <w:pStyle w:val="FirstParagraph"/>
      </w:pPr>
      <w:r>
        <w:t xml:space="preserve">El desarrollo de una herramienta de toma de decisiones basada en metaheurísticas permitirá a los planificadores de producción pasar de decisiones basadas en la intuición y la experiencia personal a decisiones basadas en datos y modelado matemático robusto. Esto mejorará la capacidad de respuesta ante fluctuaciones del mercado y permitirá una planificación más ágil y eficiente.</w:t>
      </w:r>
    </w:p>
    <w:p>
      <w:pPr>
        <w:pStyle w:val="BodyText"/>
      </w:pPr>
      <w:r>
        <w:t xml:space="preserve">La implementación de tecnologías de sensores inteligentes</w:t>
      </w:r>
      <w:r>
        <w:t xml:space="preserve"> </w:t>
      </w:r>
      <w:r>
        <w:t xml:space="preserve">[21]</w:t>
      </w:r>
      <w:r>
        <w:t xml:space="preserve"> </w:t>
      </w:r>
      <w:r>
        <w:t xml:space="preserve">y sistemas de automatización</w:t>
      </w:r>
      <w:r>
        <w:t xml:space="preserve"> </w:t>
      </w:r>
      <w:r>
        <w:t xml:space="preserve">[22]</w:t>
      </w:r>
      <w:r>
        <w:t xml:space="preserve"> </w:t>
      </w:r>
      <w:r>
        <w:t xml:space="preserve">en la industria avícola está generando grandes volúmenes de datos que pueden ser aprovechados por modelos de optimización como el propuesto en este proyecto. La disponibilidad creciente de datos en tiempo real facilita la implementación práctica de herramientas como la desarrollada en este trabajo.</w:t>
      </w:r>
    </w:p>
    <w:bookmarkEnd w:id="20"/>
    <w:bookmarkStart w:id="21" w:name="valor-teórico-y-científico"/>
    <w:p>
      <w:pPr>
        <w:pStyle w:val="Heading3"/>
      </w:pPr>
      <w:r>
        <w:t xml:space="preserve">2.4. Valor Teórico y Científico</w:t>
      </w:r>
    </w:p>
    <w:p>
      <w:pPr>
        <w:pStyle w:val="FirstParagraph"/>
      </w:pPr>
      <w:r>
        <w:t xml:space="preserve">El proyecto contribuye significativamente a la literatura de</w:t>
      </w:r>
      <w:r>
        <w:t xml:space="preserve"> </w:t>
      </w:r>
      <w:r>
        <w:rPr>
          <w:b/>
          <w:bCs/>
        </w:rPr>
        <w:t xml:space="preserve">optimización de producción conjunta</w:t>
      </w:r>
      <w:r>
        <w:t xml:space="preserve"> </w:t>
      </w:r>
      <w:r>
        <w:t xml:space="preserve">en la industria alimentaria, extendiendo los modelos clásicos de planificación de producción deterministas</w:t>
      </w:r>
      <w:r>
        <w:t xml:space="preserve"> </w:t>
      </w:r>
      <w:r>
        <w:t xml:space="preserve">[2]</w:t>
      </w:r>
      <w:r>
        <w:t xml:space="preserve"> </w:t>
      </w:r>
      <w:r>
        <w:t xml:space="preserve">hacia enfoques estocásticos que consideran la incertidumbre de la demanda, una área identificada como línea futura de investigación por diversos autores</w:t>
      </w:r>
      <w:r>
        <w:t xml:space="preserve"> </w:t>
      </w:r>
      <w:r>
        <w:t xml:space="preserve">[23], [24]</w:t>
      </w:r>
      <w:r>
        <w:t xml:space="preserve">.</w:t>
      </w:r>
    </w:p>
    <w:p>
      <w:pPr>
        <w:pStyle w:val="BodyText"/>
      </w:pPr>
      <w:r>
        <w:t xml:space="preserve">La</w:t>
      </w:r>
      <w:r>
        <w:t xml:space="preserve"> </w:t>
      </w:r>
      <w:r>
        <w:rPr>
          <w:b/>
          <w:bCs/>
        </w:rPr>
        <w:t xml:space="preserve">optimización multi-objetivo</w:t>
      </w:r>
      <w:r>
        <w:t xml:space="preserve"> </w:t>
      </w:r>
      <w:r>
        <w:t xml:space="preserve">en la industria alimentaria ha experimentado un avance significativo en los últimos años. Arteaga-Cabrera et al.</w:t>
      </w:r>
      <w:r>
        <w:t xml:space="preserve"> </w:t>
      </w:r>
      <w:r>
        <w:t xml:space="preserve">[25]</w:t>
      </w:r>
      <w:r>
        <w:t xml:space="preserve"> </w:t>
      </w:r>
      <w:r>
        <w:t xml:space="preserve">presentaron una revisión comprehensiva sobre la evolución de las estrategias de optimización en alimentos, identificando la transición desde métodos univariados tradicionales hacia técnicas multi-objetivo integradas con tecnologías emergentes. Su trabajo destaca que la industria alimentaria moderna requiere</w:t>
      </w:r>
      <w:r>
        <w:t xml:space="preserve"> </w:t>
      </w:r>
      <w:r>
        <w:rPr>
          <w:b/>
          <w:bCs/>
        </w:rPr>
        <w:t xml:space="preserve">optimizar simultáneamente múltiples objetivos competitivos</w:t>
      </w:r>
      <w:r>
        <w:t xml:space="preserve"> </w:t>
      </w:r>
      <w:r>
        <w:t xml:space="preserve">(costos de producción, eficiencia energética, calidad del producto, sostenibilidad), lo cual se alinea perfectamente con la planificación de coproductos avícolas, donde se deben balancear simultáneamente:</w:t>
      </w:r>
    </w:p>
    <w:p>
      <w:pPr>
        <w:pStyle w:val="Compact"/>
        <w:numPr>
          <w:ilvl w:val="0"/>
          <w:numId w:val="1008"/>
        </w:numPr>
      </w:pPr>
      <w:r>
        <w:t xml:space="preserve">Maximización de ingresos por venta de coproductos</w:t>
      </w:r>
    </w:p>
    <w:p>
      <w:pPr>
        <w:pStyle w:val="Compact"/>
        <w:numPr>
          <w:ilvl w:val="0"/>
          <w:numId w:val="1008"/>
        </w:numPr>
      </w:pPr>
      <w:r>
        <w:t xml:space="preserve">Minimización de costos de inventario</w:t>
      </w:r>
    </w:p>
    <w:p>
      <w:pPr>
        <w:pStyle w:val="Compact"/>
        <w:numPr>
          <w:ilvl w:val="0"/>
          <w:numId w:val="1008"/>
        </w:numPr>
      </w:pPr>
      <w:r>
        <w:t xml:space="preserve">Minimización de penalizaciones por demanda no satisfecha</w:t>
      </w:r>
    </w:p>
    <w:p>
      <w:pPr>
        <w:pStyle w:val="Compact"/>
        <w:numPr>
          <w:ilvl w:val="0"/>
          <w:numId w:val="1008"/>
        </w:numPr>
      </w:pPr>
      <w:r>
        <w:t xml:space="preserve">Maximización del nivel de servicio al cliente</w:t>
      </w:r>
    </w:p>
    <w:p>
      <w:pPr>
        <w:pStyle w:val="FirstParagraph"/>
      </w:pPr>
      <w:r>
        <w:t xml:space="preserve">La incorporación de</w:t>
      </w:r>
      <w:r>
        <w:t xml:space="preserve"> </w:t>
      </w:r>
      <w:r>
        <w:rPr>
          <w:b/>
          <w:bCs/>
        </w:rPr>
        <w:t xml:space="preserve">algoritmos evolutivos</w:t>
      </w:r>
      <w:r>
        <w:t xml:space="preserve"> </w:t>
      </w:r>
      <w:r>
        <w:t xml:space="preserve">y metaheurísticas hibridizadas, como lo documentan Arteaga-Cabrera et al.</w:t>
      </w:r>
      <w:r>
        <w:t xml:space="preserve"> </w:t>
      </w:r>
      <w:r>
        <w:t xml:space="preserve">[25]</w:t>
      </w:r>
      <w:r>
        <w:t xml:space="preserve">, ha permitido abordar estos problemas complejos de forma efectiva en la industria alimentaria. Este proyecto se posiciona como una</w:t>
      </w:r>
      <w:r>
        <w:t xml:space="preserve"> </w:t>
      </w:r>
      <w:r>
        <w:rPr>
          <w:b/>
          <w:bCs/>
        </w:rPr>
        <w:t xml:space="preserve">contribución directa</w:t>
      </w:r>
      <w:r>
        <w:t xml:space="preserve"> </w:t>
      </w:r>
      <w:r>
        <w:t xml:space="preserve">a esta línea de investigación, aplicando metaheurísticas (GA, SA, DE, GA-SA) a un problema de planificación de coproductos en el procesamiento avícola. Si bien el modelo propuesto utiliza una función objetivo escalar (beneficio esperado ponderado), los principios de optimización multi-criterio representan una línea de extensión natural.</w:t>
      </w:r>
    </w:p>
    <w:p>
      <w:pPr>
        <w:pStyle w:val="BodyText"/>
      </w:pPr>
      <w:r>
        <w:t xml:space="preserve">Adicionalmente, la comparación rigurosa de diferentes técnicas metaheurísticas en el contexto específico de la industria avícola genera conocimiento valioso sobre la efectividad de estas técnicas en problemas del mundo real con características particulares (perecibilidad, estocasticidad, restricciones sanitarias).</w:t>
      </w:r>
    </w:p>
    <w:p>
      <w:r>
        <w:pict>
          <v:rect style="width:0;height:1.5pt" o:hralign="center" o:hrstd="t" o:hr="t"/>
        </w:pict>
      </w:r>
    </w:p>
    <w:bookmarkEnd w:id="21"/>
    <w:bookmarkEnd w:id="22"/>
    <w:bookmarkStart w:id="25" w:name="objetivos"/>
    <w:p>
      <w:pPr>
        <w:pStyle w:val="Heading2"/>
      </w:pPr>
      <w:r>
        <w:t xml:space="preserve">3. Objetivos</w:t>
      </w:r>
    </w:p>
    <w:bookmarkStart w:id="23" w:name="objetivo-general"/>
    <w:p>
      <w:pPr>
        <w:pStyle w:val="Heading3"/>
      </w:pPr>
      <w:r>
        <w:t xml:space="preserve">3.1. Objetivo General</w:t>
      </w:r>
    </w:p>
    <w:p>
      <w:pPr>
        <w:pStyle w:val="FirstParagraph"/>
      </w:pPr>
      <w:r>
        <w:t xml:space="preserve">Desarrollar un modelo de optimización para la planificación de coproductos que, mediante la aplicación de técnicas metaheurísticas, minimice las pérdidas económicas asociadas al desbalance entre la oferta conjunta de coproductos y la demanda del mercado en la industria avícola colombiana.</w:t>
      </w:r>
    </w:p>
    <w:bookmarkEnd w:id="23"/>
    <w:bookmarkStart w:id="24" w:name="objetivos-específicos"/>
    <w:p>
      <w:pPr>
        <w:pStyle w:val="Heading3"/>
      </w:pPr>
      <w:r>
        <w:t xml:space="preserve">3.2. Objetivos Específicos</w:t>
      </w:r>
    </w:p>
    <w:p>
      <w:pPr>
        <w:numPr>
          <w:ilvl w:val="0"/>
          <w:numId w:val="1009"/>
        </w:numPr>
      </w:pPr>
      <w:r>
        <w:rPr>
          <w:b/>
          <w:bCs/>
        </w:rPr>
        <w:t xml:space="preserve">Formular</w:t>
      </w:r>
      <w:r>
        <w:t xml:space="preserve"> </w:t>
      </w:r>
      <w:r>
        <w:t xml:space="preserve">un modelo matemático de optimización de coproductos que capture las restricciones de producción conjunta, costos de inventario, balance de materiales y variabilidad de la demanda propias del procesamiento avícola.</w:t>
      </w:r>
    </w:p>
    <w:p>
      <w:pPr>
        <w:numPr>
          <w:ilvl w:val="0"/>
          <w:numId w:val="1009"/>
        </w:numPr>
      </w:pPr>
      <w:r>
        <w:rPr>
          <w:b/>
          <w:bCs/>
        </w:rPr>
        <w:t xml:space="preserve">Implementar</w:t>
      </w:r>
      <w:r>
        <w:t xml:space="preserve"> </w:t>
      </w:r>
      <w:r>
        <w:t xml:space="preserve">algoritmos metaheurísticos (Algoritmo Genético, Recocido Simulado, Evolución Diferencial y un enfoque híbrido GA-SA) adaptados al problema de planificación de coproductos avícolas.</w:t>
      </w:r>
    </w:p>
    <w:p>
      <w:pPr>
        <w:numPr>
          <w:ilvl w:val="0"/>
          <w:numId w:val="1009"/>
        </w:numPr>
      </w:pPr>
      <w:r>
        <w:rPr>
          <w:b/>
          <w:bCs/>
        </w:rPr>
        <w:t xml:space="preserve">Diseñar</w:t>
      </w:r>
      <w:r>
        <w:t xml:space="preserve"> </w:t>
      </w:r>
      <w:r>
        <w:t xml:space="preserve">un generador de instancias de prueba con datos sintéticos calibrados que reflejen las condiciones operativas reales de la industria avícola colombiana.</w:t>
      </w:r>
    </w:p>
    <w:p>
      <w:pPr>
        <w:numPr>
          <w:ilvl w:val="0"/>
          <w:numId w:val="1009"/>
        </w:numPr>
      </w:pPr>
      <w:r>
        <w:rPr>
          <w:b/>
          <w:bCs/>
        </w:rPr>
        <w:t xml:space="preserve">Comparar</w:t>
      </w:r>
      <w:r>
        <w:t xml:space="preserve"> </w:t>
      </w:r>
      <w:r>
        <w:t xml:space="preserve">el desempeño de las metaheurísticas propuestas mediante un diseño experimental riguroso, evaluando calidad de solución y eficiencia computacional.</w:t>
      </w:r>
    </w:p>
    <w:p>
      <w:pPr>
        <w:numPr>
          <w:ilvl w:val="0"/>
          <w:numId w:val="1009"/>
        </w:numPr>
      </w:pPr>
      <w:r>
        <w:rPr>
          <w:b/>
          <w:bCs/>
        </w:rPr>
        <w:t xml:space="preserve">Validar</w:t>
      </w:r>
      <w:r>
        <w:t xml:space="preserve"> </w:t>
      </w:r>
      <w:r>
        <w:t xml:space="preserve">el modelo propuesto mediante simulación, cuantificando las mejoras potenciales en términos de reducción de costos de inventario, nivel de servicio y rentabilidad operativa.</w:t>
      </w:r>
    </w:p>
    <w:p>
      <w:r>
        <w:pict>
          <v:rect style="width:0;height:1.5pt" o:hralign="center" o:hrstd="t" o:hr="t"/>
        </w:pict>
      </w:r>
    </w:p>
    <w:bookmarkEnd w:id="24"/>
    <w:bookmarkEnd w:id="25"/>
    <w:bookmarkStart w:id="41" w:name="marco-referencial"/>
    <w:p>
      <w:pPr>
        <w:pStyle w:val="Heading2"/>
      </w:pPr>
      <w:r>
        <w:t xml:space="preserve">4. Marco Referencial</w:t>
      </w:r>
    </w:p>
    <w:bookmarkStart w:id="31" w:name="marco-conceptual"/>
    <w:p>
      <w:pPr>
        <w:pStyle w:val="Heading3"/>
      </w:pPr>
      <w:r>
        <w:t xml:space="preserve">4.1. Marco Conceptual</w:t>
      </w:r>
    </w:p>
    <w:bookmarkStart w:id="26" w:name="producción-conjunta-joint-production"/>
    <w:p>
      <w:pPr>
        <w:pStyle w:val="Heading4"/>
      </w:pPr>
      <w:r>
        <w:t xml:space="preserve">4.1.1. Producción Conjunta (Joint Production)</w:t>
      </w:r>
    </w:p>
    <w:p>
      <w:pPr>
        <w:pStyle w:val="FirstParagraph"/>
      </w:pPr>
      <w:r>
        <w:t xml:space="preserve">El</w:t>
      </w:r>
      <w:r>
        <w:t xml:space="preserve"> </w:t>
      </w:r>
      <w:r>
        <w:rPr>
          <w:b/>
          <w:bCs/>
        </w:rPr>
        <w:t xml:space="preserve">problema de producción conjunta</w:t>
      </w:r>
      <w:r>
        <w:t xml:space="preserve"> </w:t>
      </w:r>
      <w:r>
        <w:t xml:space="preserve">ocurre cuando el procesamiento de una materia prima genera múltiples productos en proporciones fijas o semifijas. En la industria avícola, el despiece de cada carcasa produce inevitablemente pechuga, muslos, alas, vísceras y otros cortes en proporciones determinadas por la anatomía del ave. Esta característica, compartida con otras industrias cárnicas, crea un desafío único de planificación cuando la demanda del mercado para cada coproducto no refleja estas proporciones naturales</w:t>
      </w:r>
      <w:r>
        <w:t xml:space="preserve"> </w:t>
      </w:r>
      <w:r>
        <w:t xml:space="preserve">[1]</w:t>
      </w:r>
      <w:r>
        <w:t xml:space="preserve">.</w:t>
      </w:r>
    </w:p>
    <w:p>
      <w:pPr>
        <w:pStyle w:val="BodyText"/>
      </w:pPr>
      <w:r>
        <w:t xml:space="preserve">Desde la perspectiva de la investigación de operaciones, este problema se clasifica como un</w:t>
      </w:r>
      <w:r>
        <w:t xml:space="preserve"> </w:t>
      </w:r>
      <w:r>
        <w:rPr>
          <w:b/>
          <w:bCs/>
        </w:rPr>
        <w:t xml:space="preserve">problema de optimización de mezcla de producción multi-producto con restricciones de co-producción</w:t>
      </w:r>
      <w:r>
        <w:t xml:space="preserve"> </w:t>
      </w:r>
      <w:r>
        <w:t xml:space="preserve">[2]</w:t>
      </w:r>
      <w:r>
        <w:t xml:space="preserve">. A diferencia de los problemas clásicos de planificación de producción, donde las cantidades de cada producto pueden decidirse independientemente, aquí la decisión de producir una unidad de un coproducto (e.g., pechuga) implica necesariamente la producción de cantidades proporcionales de todos los demás coproductos.</w:t>
      </w:r>
    </w:p>
    <w:bookmarkEnd w:id="26"/>
    <w:bookmarkStart w:id="27" w:name="lot-sizing-capacitado-clsp"/>
    <w:p>
      <w:pPr>
        <w:pStyle w:val="Heading4"/>
      </w:pPr>
      <w:r>
        <w:t xml:space="preserve">4.1.2. Lot-Sizing Capacitado (CLSP)</w:t>
      </w:r>
    </w:p>
    <w:p>
      <w:pPr>
        <w:pStyle w:val="FirstParagraph"/>
      </w:pPr>
      <w:r>
        <w:t xml:space="preserve">El</w:t>
      </w:r>
      <w:r>
        <w:t xml:space="preserve"> </w:t>
      </w:r>
      <w:r>
        <w:rPr>
          <w:b/>
          <w:bCs/>
        </w:rPr>
        <w:t xml:space="preserve">Capacitated Lot-Sizing Problem (CLSP)</w:t>
      </w:r>
      <w:r>
        <w:t xml:space="preserve"> </w:t>
      </w:r>
      <w:r>
        <w:t xml:space="preserve">es un problema clásico de la investigación de operaciones que busca determinar las cantidades óptimas de producción en cada periodo de un horizonte de planificación, considerando capacidad limitada de producción, costos fijos de setup (activación de línea) y costos variables de producción e inventario</w:t>
      </w:r>
      <w:r>
        <w:t xml:space="preserve"> </w:t>
      </w:r>
      <w:r>
        <w:t xml:space="preserve">[9]</w:t>
      </w:r>
      <w:r>
        <w:t xml:space="preserve">.</w:t>
      </w:r>
    </w:p>
    <w:p>
      <w:pPr>
        <w:pStyle w:val="BodyText"/>
      </w:pPr>
      <w:r>
        <w:t xml:space="preserve">La formulación estándar del CLSP incluye:</w:t>
      </w:r>
    </w:p>
    <w:p>
      <w:pPr>
        <w:pStyle w:val="Compact"/>
        <w:numPr>
          <w:ilvl w:val="0"/>
          <w:numId w:val="1010"/>
        </w:numPr>
      </w:pPr>
      <w:r>
        <w:rPr>
          <w:b/>
          <w:bCs/>
        </w:rPr>
        <w:t xml:space="preserve">Decisiones binarias de setup</w:t>
      </w:r>
      <w:r>
        <w:t xml:space="preserve"> </w:t>
      </w:r>
      <w:r>
        <w:t xml:space="preserve">(</w:t>
      </w:r>
      <m:oMath>
        <m:sSub>
          <m:e>
            <m:r>
              <m:t>y</m:t>
            </m:r>
          </m:e>
          <m:sub>
            <m:r>
              <m:t>t</m:t>
            </m:r>
          </m:sub>
        </m:sSub>
        <m:r>
          <m:rPr>
            <m:sty m:val="p"/>
          </m:rPr>
          <m:t>∈</m:t>
        </m:r>
        <m:r>
          <m:rPr>
            <m:sty m:val="p"/>
          </m:rPr>
          <m:t>{</m:t>
        </m:r>
        <m:r>
          <m:t>0</m:t>
        </m:r>
        <m:r>
          <m:rPr>
            <m:sty m:val="p"/>
          </m:rPr>
          <m:t>,</m:t>
        </m:r>
        <m:r>
          <m:t>1</m:t>
        </m:r>
        <m:r>
          <m:rPr>
            <m:sty m:val="p"/>
          </m:rPr>
          <m:t>}</m:t>
        </m:r>
      </m:oMath>
      <w:r>
        <w:t xml:space="preserve">): si la línea se activa o no en el periodo</w:t>
      </w:r>
      <w:r>
        <w:t xml:space="preserve"> </w:t>
      </w:r>
      <m:oMath>
        <m:r>
          <m:t>t</m:t>
        </m:r>
      </m:oMath>
      <w:r>
        <w:t xml:space="preserve">, con un costo fijo</w:t>
      </w:r>
      <w:r>
        <w:t xml:space="preserve"> </w:t>
      </w:r>
      <m:oMath>
        <m:r>
          <m:t>F</m:t>
        </m:r>
      </m:oMath>
      <w:r>
        <w:t xml:space="preserve"> </w:t>
      </w:r>
      <w:r>
        <w:t xml:space="preserve">asociado.</w:t>
      </w:r>
    </w:p>
    <w:p>
      <w:pPr>
        <w:pStyle w:val="Compact"/>
        <w:numPr>
          <w:ilvl w:val="0"/>
          <w:numId w:val="1010"/>
        </w:numPr>
      </w:pPr>
      <w:r>
        <w:rPr>
          <w:b/>
          <w:bCs/>
        </w:rPr>
        <w:t xml:space="preserve">Cantidades de lote</w:t>
      </w:r>
      <w:r>
        <w:t xml:space="preserve"> </w:t>
      </w:r>
      <w:r>
        <w:t xml:space="preserve">(</w:t>
      </w:r>
      <m:oMath>
        <m:sSub>
          <m:e>
            <m:r>
              <m:t>q</m:t>
            </m:r>
          </m:e>
          <m:sub>
            <m:r>
              <m:t>t</m:t>
            </m:r>
          </m:sub>
        </m:sSub>
        <m:r>
          <m:rPr>
            <m:sty m:val="p"/>
          </m:rPr>
          <m:t>∈</m:t>
        </m:r>
        <m:sSup>
          <m:e>
            <m:r>
              <m:rPr>
                <m:scr m:val="double-struck"/>
                <m:sty m:val="p"/>
              </m:rPr>
              <m:t>Z</m:t>
            </m:r>
          </m:e>
          <m:sup>
            <m:r>
              <m:rPr>
                <m:sty m:val="p"/>
              </m:rPr>
              <m:t>+</m:t>
            </m:r>
          </m:sup>
        </m:sSup>
      </m:oMath>
      <w:r>
        <w:t xml:space="preserve">): número de unidades a producir en cada periodo, acotadas por la capacidad máxima</w:t>
      </w:r>
      <w:r>
        <w:t xml:space="preserve"> </w:t>
      </w:r>
      <m:oMath>
        <m:sSup>
          <m:e>
            <m:r>
              <m:t>Q</m:t>
            </m:r>
          </m:e>
          <m:sup>
            <m:r>
              <m:t>m</m:t>
            </m:r>
            <m:r>
              <m:t>a</m:t>
            </m:r>
            <m:r>
              <m:t>x</m:t>
            </m:r>
          </m:sup>
        </m:sSup>
      </m:oMath>
      <w:r>
        <w:t xml:space="preserve"> </w:t>
      </w:r>
      <w:r>
        <w:t xml:space="preserve">y el lote mínimo</w:t>
      </w:r>
      <w:r>
        <w:t xml:space="preserve"> </w:t>
      </w:r>
      <m:oMath>
        <m:sSup>
          <m:e>
            <m:r>
              <m:t>Q</m:t>
            </m:r>
          </m:e>
          <m:sup>
            <m:r>
              <m:t>m</m:t>
            </m:r>
            <m:r>
              <m:t>i</m:t>
            </m:r>
            <m:r>
              <m:t>n</m:t>
            </m:r>
          </m:sup>
        </m:sSup>
      </m:oMath>
      <w:r>
        <w:t xml:space="preserve">.</w:t>
      </w:r>
    </w:p>
    <w:p>
      <w:pPr>
        <w:pStyle w:val="Compact"/>
        <w:numPr>
          <w:ilvl w:val="0"/>
          <w:numId w:val="1010"/>
        </w:numPr>
      </w:pPr>
      <w:r>
        <w:rPr>
          <w:b/>
          <w:bCs/>
        </w:rPr>
        <w:t xml:space="preserve">Balance de inventario</w:t>
      </w:r>
      <w:r>
        <w:t xml:space="preserve">: el inventario al final de cada periodo resulta de la producción más el inventario anterior menos las ventas realizadas.</w:t>
      </w:r>
    </w:p>
    <w:p>
      <w:pPr>
        <w:pStyle w:val="FirstParagraph"/>
      </w:pPr>
      <w:r>
        <w:t xml:space="preserve">La combinación de variables enteras de producción, decisiones binarias de setup y restricciones de lote mínimo confiere al CLSP una complejidad</w:t>
      </w:r>
      <w:r>
        <w:t xml:space="preserve"> </w:t>
      </w:r>
      <w:r>
        <w:rPr>
          <w:b/>
          <w:bCs/>
        </w:rPr>
        <w:t xml:space="preserve">NP-hard</w:t>
      </w:r>
      <w:r>
        <w:t xml:space="preserve">, formalmente demostrada por Florian et al.</w:t>
      </w:r>
      <w:r>
        <w:t xml:space="preserve"> </w:t>
      </w:r>
      <w:r>
        <w:t xml:space="preserve">[7]</w:t>
      </w:r>
      <w:r>
        <w:t xml:space="preserve"> </w:t>
      </w:r>
      <w:r>
        <w:t xml:space="preserve">y Bitran y Yanasse</w:t>
      </w:r>
      <w:r>
        <w:t xml:space="preserve"> </w:t>
      </w:r>
      <w:r>
        <w:t xml:space="preserve">[8]</w:t>
      </w:r>
      <w:r>
        <w:t xml:space="preserve">.</w:t>
      </w:r>
    </w:p>
    <w:bookmarkEnd w:id="27"/>
    <w:bookmarkStart w:id="28" w:name="programación-estocástica-de-dos-etapas"/>
    <w:p>
      <w:pPr>
        <w:pStyle w:val="Heading4"/>
      </w:pPr>
      <w:r>
        <w:t xml:space="preserve">4.1.3. Programación Estocástica de Dos Etapas</w:t>
      </w:r>
    </w:p>
    <w:p>
      <w:pPr>
        <w:pStyle w:val="FirstParagraph"/>
      </w:pPr>
      <w:r>
        <w:t xml:space="preserve">La</w:t>
      </w:r>
      <w:r>
        <w:t xml:space="preserve"> </w:t>
      </w:r>
      <w:r>
        <w:rPr>
          <w:b/>
          <w:bCs/>
        </w:rPr>
        <w:t xml:space="preserve">programación estocástica de dos etapas</w:t>
      </w:r>
      <w:r>
        <w:t xml:space="preserve"> </w:t>
      </w:r>
      <w:r>
        <w:t xml:space="preserve">[23]</w:t>
      </w:r>
      <w:r>
        <w:t xml:space="preserve"> </w:t>
      </w:r>
      <w:r>
        <w:t xml:space="preserve">es un marco de modelado para problemas de optimización bajo incertidumbre donde las decisiones se dividen en:</w:t>
      </w:r>
    </w:p>
    <w:p>
      <w:pPr>
        <w:pStyle w:val="Compact"/>
        <w:numPr>
          <w:ilvl w:val="0"/>
          <w:numId w:val="1011"/>
        </w:numPr>
      </w:pPr>
      <w:r>
        <w:rPr>
          <w:b/>
          <w:bCs/>
        </w:rPr>
        <w:t xml:space="preserve">Primera etapa (</w:t>
      </w:r>
      <w:r>
        <w:rPr>
          <w:b/>
          <w:bCs/>
          <w:i/>
          <w:iCs/>
        </w:rPr>
        <w:t xml:space="preserve">here-and-now</w:t>
      </w:r>
      <w:r>
        <w:rPr>
          <w:b/>
          <w:bCs/>
        </w:rPr>
        <w:t xml:space="preserve">):</w:t>
      </w:r>
      <w:r>
        <w:t xml:space="preserve"> </w:t>
      </w:r>
      <w:r>
        <w:t xml:space="preserve">Decisiones que deben tomarse antes de que se revele la incertidumbre. En el contexto de este trabajo, corresponden a las decisiones de setup (</w:t>
      </w:r>
      <m:oMath>
        <m:sSub>
          <m:e>
            <m:r>
              <m:t>y</m:t>
            </m:r>
          </m:e>
          <m:sub>
            <m:r>
              <m:t>t</m:t>
            </m:r>
          </m:sub>
        </m:sSub>
      </m:oMath>
      <w:r>
        <w:t xml:space="preserve">) y cantidades de producción (</w:t>
      </w:r>
      <m:oMath>
        <m:sSub>
          <m:e>
            <m:r>
              <m:t>q</m:t>
            </m:r>
          </m:e>
          <m:sub>
            <m:r>
              <m:t>t</m:t>
            </m:r>
          </m:sub>
        </m:sSub>
      </m:oMath>
      <w:r>
        <w:t xml:space="preserve">).</w:t>
      </w:r>
    </w:p>
    <w:p>
      <w:pPr>
        <w:pStyle w:val="Compact"/>
        <w:numPr>
          <w:ilvl w:val="0"/>
          <w:numId w:val="1011"/>
        </w:numPr>
      </w:pPr>
      <w:r>
        <w:rPr>
          <w:b/>
          <w:bCs/>
        </w:rPr>
        <w:t xml:space="preserve">Segunda etapa (</w:t>
      </w:r>
      <w:r>
        <w:rPr>
          <w:b/>
          <w:bCs/>
          <w:i/>
          <w:iCs/>
        </w:rPr>
        <w:t xml:space="preserve">wait-and-see</w:t>
      </w:r>
      <w:r>
        <w:rPr>
          <w:b/>
          <w:bCs/>
        </w:rPr>
        <w:t xml:space="preserve">):</w:t>
      </w:r>
      <w:r>
        <w:t xml:space="preserve"> </w:t>
      </w:r>
      <w:r>
        <w:t xml:space="preserve">Decisiones que se toman después de observar la realización de la incertidumbre. Corresponden a las decisiones de venta (</w:t>
      </w:r>
      <m:oMath>
        <m:sSub>
          <m:e>
            <m:r>
              <m:t>v</m:t>
            </m:r>
          </m:e>
          <m:sub>
            <m:r>
              <m:t>p</m:t>
            </m:r>
            <m:r>
              <m:t>t</m:t>
            </m:r>
            <m:r>
              <m:t>ω</m:t>
            </m:r>
          </m:sub>
        </m:sSub>
      </m:oMath>
      <w:r>
        <w:t xml:space="preserve">), inventario (</w:t>
      </w:r>
      <m:oMath>
        <m:sSub>
          <m:e>
            <m:r>
              <m:t>I</m:t>
            </m:r>
          </m:e>
          <m:sub>
            <m:r>
              <m:t>p</m:t>
            </m:r>
            <m:r>
              <m:t>t</m:t>
            </m:r>
            <m:r>
              <m:t>ω</m:t>
            </m:r>
          </m:sub>
        </m:sSub>
      </m:oMath>
      <w:r>
        <w:t xml:space="preserve">) y demanda no satisfecha (</w:t>
      </w:r>
      <m:oMath>
        <m:sSub>
          <m:e>
            <m:r>
              <m:t>u</m:t>
            </m:r>
          </m:e>
          <m:sub>
            <m:r>
              <m:t>p</m:t>
            </m:r>
            <m:r>
              <m:t>t</m:t>
            </m:r>
            <m:r>
              <m:t>ω</m:t>
            </m:r>
          </m:sub>
        </m:sSub>
      </m:oMath>
      <w:r>
        <w:t xml:space="preserve">) para cada escenario</w:t>
      </w:r>
      <w:r>
        <w:t xml:space="preserve"> </w:t>
      </w:r>
      <m:oMath>
        <m:r>
          <m:t>ω</m:t>
        </m:r>
      </m:oMath>
      <w:r>
        <w:t xml:space="preserve">.</w:t>
      </w:r>
    </w:p>
    <w:p>
      <w:pPr>
        <w:pStyle w:val="FirstParagraph"/>
      </w:pPr>
      <w:r>
        <w:t xml:space="preserve">La función objetivo maximiza el</w:t>
      </w:r>
      <w:r>
        <w:t xml:space="preserve"> </w:t>
      </w:r>
      <w:r>
        <w:rPr>
          <w:b/>
          <w:bCs/>
        </w:rPr>
        <w:t xml:space="preserve">beneficio esperado</w:t>
      </w:r>
      <w:r>
        <w:t xml:space="preserve"> </w:t>
      </w:r>
      <w:r>
        <w:t xml:space="preserve">sobre todos los escenarios de demanda, ponderados por sus probabilidades de ocurrencia</w:t>
      </w:r>
      <w:r>
        <w:t xml:space="preserve"> </w:t>
      </w:r>
      <m:oMath>
        <m:sSub>
          <m:e>
            <m:r>
              <m:t>π</m:t>
            </m:r>
          </m:e>
          <m:sub>
            <m:r>
              <m:t>ω</m:t>
            </m:r>
          </m:sub>
        </m:sSub>
      </m:oMath>
      <w:r>
        <w:t xml:space="preserve">. Este marco permite tomar decisiones robustas que funcionan bien en promedio sobre el conjunto de escenarios posibles.</w:t>
      </w:r>
    </w:p>
    <w:bookmarkEnd w:id="28"/>
    <w:bookmarkStart w:id="29" w:name="X80b0e93dfbc5757c5d753a9f28360d42fe997ac"/>
    <w:p>
      <w:pPr>
        <w:pStyle w:val="Heading4"/>
      </w:pPr>
      <w:r>
        <w:t xml:space="preserve">4.1.4. Perecibilidad en la Industria Alimentaria</w:t>
      </w:r>
    </w:p>
    <w:p>
      <w:pPr>
        <w:pStyle w:val="FirstParagraph"/>
      </w:pPr>
      <w:r>
        <w:t xml:space="preserve">La</w:t>
      </w:r>
      <w:r>
        <w:t xml:space="preserve"> </w:t>
      </w:r>
      <w:r>
        <w:rPr>
          <w:b/>
          <w:bCs/>
        </w:rPr>
        <w:t xml:space="preserve">perecibilidad</w:t>
      </w:r>
      <w:r>
        <w:t xml:space="preserve"> </w:t>
      </w:r>
      <w:r>
        <w:t xml:space="preserve">es una restricción temporal que limita el tiempo durante el cual un producto puede mantenerse en inventario antes de perder su valor comercial. En la industria avícola, cada coproducto tiene una</w:t>
      </w:r>
      <w:r>
        <w:t xml:space="preserve"> </w:t>
      </w:r>
      <w:r>
        <w:rPr>
          <w:b/>
          <w:bCs/>
        </w:rPr>
        <w:t xml:space="preserve">vida útil</w:t>
      </w:r>
      <w:r>
        <w:t xml:space="preserve"> </w:t>
      </w:r>
      <w:r>
        <w:t xml:space="preserve">(</w:t>
      </w:r>
      <m:oMath>
        <m:sSub>
          <m:e>
            <m:r>
              <m:t>L</m:t>
            </m:r>
          </m:e>
          <m:sub>
            <m:r>
              <m:t>p</m:t>
            </m:r>
          </m:sub>
        </m:sSub>
      </m:oMath>
      <w:r>
        <w:t xml:space="preserve">) que depende del tipo de corte, el empaque y las condiciones de almacenamiento.</w:t>
      </w:r>
    </w:p>
    <w:p>
      <w:pPr>
        <w:pStyle w:val="BodyText"/>
      </w:pPr>
      <w:r>
        <w:t xml:space="preserve">Integrar la perecibilidad en los modelos de planificación requiere restricciones adicionales que limiten la acumulación de inventario a un número máximo de periodos. Entrup et al.</w:t>
      </w:r>
      <w:r>
        <w:t xml:space="preserve"> </w:t>
      </w:r>
      <w:r>
        <w:t xml:space="preserve">[26]</w:t>
      </w:r>
      <w:r>
        <w:t xml:space="preserve"> </w:t>
      </w:r>
      <w:r>
        <w:t xml:space="preserve">fueron pioneros en integrar la vida útil como restricción dura en problemas de lot-sizing para la industria láctea. Claassen</w:t>
      </w:r>
      <w:r>
        <w:t xml:space="preserve"> </w:t>
      </w:r>
      <w:r>
        <w:t xml:space="preserve">[18]</w:t>
      </w:r>
      <w:r>
        <w:t xml:space="preserve"> </w:t>
      </w:r>
      <w:r>
        <w:t xml:space="preserve">extendió este enfoque al procesamiento de alimentos con</w:t>
      </w:r>
      <w:r>
        <w:t xml:space="preserve"> </w:t>
      </w:r>
      <w:r>
        <w:rPr>
          <w:i/>
          <w:iCs/>
        </w:rPr>
        <w:t xml:space="preserve">setups non-triangulares</w:t>
      </w:r>
      <w:r>
        <w:t xml:space="preserve"> </w:t>
      </w:r>
      <w:r>
        <w:t xml:space="preserve">y</w:t>
      </w:r>
      <w:r>
        <w:t xml:space="preserve"> </w:t>
      </w:r>
      <w:r>
        <w:rPr>
          <w:i/>
          <w:iCs/>
        </w:rPr>
        <w:t xml:space="preserve">product decay</w:t>
      </w:r>
      <w:r>
        <w:t xml:space="preserve">. Rong et al.</w:t>
      </w:r>
      <w:r>
        <w:t xml:space="preserve"> </w:t>
      </w:r>
      <w:r>
        <w:t xml:space="preserve">[27]</w:t>
      </w:r>
      <w:r>
        <w:t xml:space="preserve"> </w:t>
      </w:r>
      <w:r>
        <w:t xml:space="preserve">modelaron el deterioro como variable continua en la gestión de alimentos frescos.</w:t>
      </w:r>
    </w:p>
    <w:bookmarkEnd w:id="29"/>
    <w:bookmarkStart w:id="30" w:name="Xdc77e854e09f6e9e462adb8c363b7f560a87c9a"/>
    <w:p>
      <w:pPr>
        <w:pStyle w:val="Heading4"/>
      </w:pPr>
      <w:r>
        <w:t xml:space="preserve">4.1.5. Metaheurísticas: Definición y Clasificación</w:t>
      </w:r>
    </w:p>
    <w:p>
      <w:pPr>
        <w:pStyle w:val="FirstParagraph"/>
      </w:pPr>
      <w:r>
        <w:t xml:space="preserve">Las</w:t>
      </w:r>
      <w:r>
        <w:t xml:space="preserve"> </w:t>
      </w:r>
      <w:r>
        <w:rPr>
          <w:b/>
          <w:bCs/>
        </w:rPr>
        <w:t xml:space="preserve">metaheurísticas</w:t>
      </w:r>
      <w:r>
        <w:t xml:space="preserve"> </w:t>
      </w:r>
      <w:r>
        <w:t xml:space="preserve">son estrategias de alto nivel que guían la búsqueda de soluciones en problemas de optimización complejos, particularmente cuando los métodos exactos resultan intratables</w:t>
      </w:r>
      <w:r>
        <w:t xml:space="preserve"> </w:t>
      </w:r>
      <w:r>
        <w:t xml:space="preserve">[28]</w:t>
      </w:r>
      <w:r>
        <w:t xml:space="preserve">. Se clasifican según su estrategia de búsqueda:</w:t>
      </w:r>
    </w:p>
    <w:p>
      <w:pPr>
        <w:pStyle w:val="Compact"/>
        <w:numPr>
          <w:ilvl w:val="0"/>
          <w:numId w:val="1012"/>
        </w:numPr>
      </w:pPr>
      <w:r>
        <w:rPr>
          <w:b/>
          <w:bCs/>
        </w:rPr>
        <w:t xml:space="preserve">Basadas en trayectoria:</w:t>
      </w:r>
      <w:r>
        <w:t xml:space="preserve"> </w:t>
      </w:r>
      <w:r>
        <w:t xml:space="preserve">Operan sobre una sola solución que se modifica iterativamente (e.g., Recocido Simulado, Búsqueda Tabú). Su fortaleza es la</w:t>
      </w:r>
      <w:r>
        <w:t xml:space="preserve"> </w:t>
      </w:r>
      <w:r>
        <w:rPr>
          <w:b/>
          <w:bCs/>
        </w:rPr>
        <w:t xml:space="preserve">intensificación</w:t>
      </w:r>
      <w:r>
        <w:t xml:space="preserve"> </w:t>
      </w:r>
      <w:r>
        <w:t xml:space="preserve">(explotación local).</w:t>
      </w:r>
    </w:p>
    <w:p>
      <w:pPr>
        <w:pStyle w:val="Compact"/>
        <w:numPr>
          <w:ilvl w:val="0"/>
          <w:numId w:val="1012"/>
        </w:numPr>
      </w:pPr>
      <w:r>
        <w:rPr>
          <w:b/>
          <w:bCs/>
        </w:rPr>
        <w:t xml:space="preserve">Basadas en población:</w:t>
      </w:r>
      <w:r>
        <w:t xml:space="preserve"> </w:t>
      </w:r>
      <w:r>
        <w:t xml:space="preserve">Operan sobre un conjunto de soluciones simultáneas que evolucionan mediante operadores de selección, cruce y mutación (e.g., Algoritmos Genéticos, Evolución Diferencial). Su fortaleza es la</w:t>
      </w:r>
      <w:r>
        <w:t xml:space="preserve"> </w:t>
      </w:r>
      <w:r>
        <w:rPr>
          <w:b/>
          <w:bCs/>
        </w:rPr>
        <w:t xml:space="preserve">diversificación</w:t>
      </w:r>
      <w:r>
        <w:t xml:space="preserve"> </w:t>
      </w:r>
      <w:r>
        <w:t xml:space="preserve">(exploración global).</w:t>
      </w:r>
    </w:p>
    <w:p>
      <w:pPr>
        <w:pStyle w:val="Compact"/>
        <w:numPr>
          <w:ilvl w:val="0"/>
          <w:numId w:val="1012"/>
        </w:numPr>
      </w:pPr>
      <w:r>
        <w:rPr>
          <w:b/>
          <w:bCs/>
        </w:rPr>
        <w:t xml:space="preserve">Híbridos (meméticos):</w:t>
      </w:r>
      <w:r>
        <w:t xml:space="preserve"> </w:t>
      </w:r>
      <w:r>
        <w:t xml:space="preserve">Combinan la exploración global de los métodos poblacionales con la explotación local de los métodos de trayectoria (e.g., GA-SA). Buscan el equilibrio óptimo entre exploración y explotación.</w:t>
      </w:r>
    </w:p>
    <w:p>
      <w:pPr>
        <w:pStyle w:val="FirstParagraph"/>
      </w:pPr>
      <w:r>
        <w:t xml:space="preserve">En el contexto de la industria alimentaria, Arteaga-Cabrera et al.</w:t>
      </w:r>
      <w:r>
        <w:t xml:space="preserve"> </w:t>
      </w:r>
      <w:r>
        <w:t xml:space="preserve">[25]</w:t>
      </w:r>
      <w:r>
        <w:t xml:space="preserve"> </w:t>
      </w:r>
      <w:r>
        <w:t xml:space="preserve">documentaron la creciente efectividad de estas técnicas para resolver problemas de optimización multi-objetivo en sistemas de producción alimentaria.</w:t>
      </w:r>
    </w:p>
    <w:bookmarkEnd w:id="30"/>
    <w:bookmarkEnd w:id="31"/>
    <w:bookmarkStart w:id="39" w:name="marco-teórico-y-estado-del-arte"/>
    <w:p>
      <w:pPr>
        <w:pStyle w:val="Heading3"/>
      </w:pPr>
      <w:r>
        <w:t xml:space="preserve">4.2. Marco Teórico y Estado del Arte</w:t>
      </w:r>
    </w:p>
    <w:bookmarkStart w:id="32" w:name="complejidad-np-hard-del-clsp"/>
    <w:p>
      <w:pPr>
        <w:pStyle w:val="Heading4"/>
      </w:pPr>
      <w:r>
        <w:t xml:space="preserve">4.2.1. Complejidad NP-hard del CLSP</w:t>
      </w:r>
    </w:p>
    <w:p>
      <w:pPr>
        <w:pStyle w:val="FirstParagraph"/>
      </w:pPr>
      <w:r>
        <w:t xml:space="preserve">La demostración formal de la complejidad NP-hard del CLSP con costos fijos de setup se remonta al trabajo seminal de</w:t>
      </w:r>
      <w:r>
        <w:t xml:space="preserve"> </w:t>
      </w:r>
      <w:r>
        <w:rPr>
          <w:b/>
          <w:bCs/>
        </w:rPr>
        <w:t xml:space="preserve">Florian et al.</w:t>
      </w:r>
      <w:r>
        <w:t xml:space="preserve"> </w:t>
      </w:r>
      <w:r>
        <w:t xml:space="preserve">[7]</w:t>
      </w:r>
      <w:r>
        <w:t xml:space="preserve">, quienes probaron que el problema de planificación de producción determinista con costos fijos es NP-hard.</w:t>
      </w:r>
      <w:r>
        <w:t xml:space="preserve"> </w:t>
      </w:r>
      <w:r>
        <w:rPr>
          <w:b/>
          <w:bCs/>
        </w:rPr>
        <w:t xml:space="preserve">Bitran y Yanasse</w:t>
      </w:r>
      <w:r>
        <w:t xml:space="preserve"> </w:t>
      </w:r>
      <w:r>
        <w:t xml:space="preserve">[8]</w:t>
      </w:r>
      <w:r>
        <w:t xml:space="preserve"> </w:t>
      </w:r>
      <w:r>
        <w:t xml:space="preserve">extendieron este resultado al CLSP capacitado, demostrando que la inclusión de restricciones de capacidad no simplifica el problema.</w:t>
      </w:r>
    </w:p>
    <w:p>
      <w:pPr>
        <w:pStyle w:val="BodyText"/>
      </w:pPr>
      <w:r>
        <w:rPr>
          <w:b/>
          <w:bCs/>
        </w:rPr>
        <w:t xml:space="preserve">Goren y Tunali</w:t>
      </w:r>
      <w:r>
        <w:t xml:space="preserve"> </w:t>
      </w:r>
      <w:r>
        <w:t xml:space="preserve">[9]</w:t>
      </w:r>
      <w:r>
        <w:t xml:space="preserve"> </w:t>
      </w:r>
      <w:r>
        <w:t xml:space="preserve">confirmaron esta clasificación y demostraron que agregar</w:t>
      </w:r>
      <w:r>
        <w:t xml:space="preserve"> </w:t>
      </w:r>
      <w:r>
        <w:rPr>
          <w:i/>
          <w:iCs/>
        </w:rPr>
        <w:t xml:space="preserve">setup carryover</w:t>
      </w:r>
      <w:r>
        <w:t xml:space="preserve"> </w:t>
      </w:r>
      <w:r>
        <w:t xml:space="preserve">(continuidad de setup entre periodos) y</w:t>
      </w:r>
      <w:r>
        <w:t xml:space="preserve"> </w:t>
      </w:r>
      <w:r>
        <w:rPr>
          <w:i/>
          <w:iCs/>
        </w:rPr>
        <w:t xml:space="preserve">backordering</w:t>
      </w:r>
      <w:r>
        <w:t xml:space="preserve"> </w:t>
      </w:r>
      <w:r>
        <w:t xml:space="preserve">(pedidos pendientes) incrementa aún más la dificultad computacional. Su trabajo propone un enfoque híbrido de Fix-and-Optimize para abordar estas variantes.</w:t>
      </w:r>
    </w:p>
    <w:p>
      <w:pPr>
        <w:pStyle w:val="BodyText"/>
      </w:pPr>
      <w:r>
        <w:rPr>
          <w:b/>
          <w:bCs/>
        </w:rPr>
        <w:t xml:space="preserve">Rahmani et al.</w:t>
      </w:r>
      <w:r>
        <w:t xml:space="preserve"> </w:t>
      </w:r>
      <w:r>
        <w:t xml:space="preserve">[10]</w:t>
      </w:r>
      <w:r>
        <w:t xml:space="preserve"> </w:t>
      </w:r>
      <w:r>
        <w:t xml:space="preserve">extendieron la conclusión de NP-hardness al</w:t>
      </w:r>
      <w:r>
        <w:t xml:space="preserve"> </w:t>
      </w:r>
      <w:r>
        <w:rPr>
          <w:i/>
          <w:iCs/>
        </w:rPr>
        <w:t xml:space="preserve">two-stage stochastic capacitated lot-sizing</w:t>
      </w:r>
      <w:r>
        <w:t xml:space="preserve">, confirmando explícitamente que la extensión estocástica preserva la complejidad. Este resultado es directamente aplicable al problema abordado en este trabajo, que combina lot-sizing capacitado con escenarios estocásticos de demanda.</w:t>
      </w:r>
    </w:p>
    <w:p>
      <w:pPr>
        <w:pStyle w:val="BodyText"/>
      </w:pPr>
      <w:r>
        <w:rPr>
          <w:b/>
          <w:bCs/>
        </w:rPr>
        <w:t xml:space="preserve">Mahdieh et al.</w:t>
      </w:r>
      <w:r>
        <w:t xml:space="preserve"> </w:t>
      </w:r>
      <w:r>
        <w:t xml:space="preserve">[11]</w:t>
      </w:r>
      <w:r>
        <w:t xml:space="preserve"> </w:t>
      </w:r>
      <w:r>
        <w:t xml:space="preserve">demostraron que agregar restricciones de lote mínimo con</w:t>
      </w:r>
      <w:r>
        <w:t xml:space="preserve"> </w:t>
      </w:r>
      <w:r>
        <w:rPr>
          <w:i/>
          <w:iCs/>
        </w:rPr>
        <w:t xml:space="preserve">setup crossover</w:t>
      </w:r>
      <w:r>
        <w:t xml:space="preserve"> </w:t>
      </w:r>
      <w:r>
        <w:t xml:space="preserve">(continuidad de setup entre periodos consecutivos) incrementa aún más la complejidad del problema base. El modelo propuesto en este trabajo, que combina múltiples productos, incertidumbre estocástica, costos fijos de setup, lote mínimo y perecibilidad, es por tanto formalmente</w:t>
      </w:r>
      <w:r>
        <w:t xml:space="preserve"> </w:t>
      </w:r>
      <w:r>
        <w:rPr>
          <w:b/>
          <w:bCs/>
        </w:rPr>
        <w:t xml:space="preserve">NP-hard</w:t>
      </w:r>
      <w:r>
        <w:t xml:space="preserve">, justificando plenamente el uso de metaheurísticas.</w:t>
      </w:r>
    </w:p>
    <w:bookmarkEnd w:id="32"/>
    <w:bookmarkStart w:id="33" w:name="lot-sizing-con-perecibilidad-en-fpi"/>
    <w:p>
      <w:pPr>
        <w:pStyle w:val="Heading4"/>
      </w:pPr>
      <w:r>
        <w:t xml:space="preserve">4.2.2. Lot-Sizing con Perecibilidad en FPI</w:t>
      </w:r>
    </w:p>
    <w:p>
      <w:pPr>
        <w:pStyle w:val="FirstParagraph"/>
      </w:pPr>
      <w:r>
        <w:t xml:space="preserve">En el contexto de</w:t>
      </w:r>
      <w:r>
        <w:t xml:space="preserve"> </w:t>
      </w:r>
      <w:r>
        <w:rPr>
          <w:b/>
          <w:bCs/>
        </w:rPr>
        <w:t xml:space="preserve">lot-sizing para productos perecederos en la industria de procesamiento de alimentos (FPI)</w:t>
      </w:r>
      <w:r>
        <w:t xml:space="preserve">, varios trabajos han establecido las bases teóricas:</w:t>
      </w:r>
    </w:p>
    <w:p>
      <w:pPr>
        <w:pStyle w:val="BodyText"/>
      </w:pPr>
      <w:r>
        <w:rPr>
          <w:b/>
          <w:bCs/>
        </w:rPr>
        <w:t xml:space="preserve">Claassen</w:t>
      </w:r>
      <w:r>
        <w:t xml:space="preserve"> </w:t>
      </w:r>
      <w:r>
        <w:t xml:space="preserve">[18]</w:t>
      </w:r>
      <w:r>
        <w:t xml:space="preserve"> </w:t>
      </w:r>
      <w:r>
        <w:t xml:space="preserve">abordó específicamente la planificación y scheduling en FPI con</w:t>
      </w:r>
      <w:r>
        <w:t xml:space="preserve"> </w:t>
      </w:r>
      <w:r>
        <w:rPr>
          <w:i/>
          <w:iCs/>
        </w:rPr>
        <w:t xml:space="preserve">setups non-triangulares</w:t>
      </w:r>
      <w:r>
        <w:t xml:space="preserve"> </w:t>
      </w:r>
      <w:r>
        <w:t xml:space="preserve">(donde los tiempos de limpieza entre productos no satisfacen la desigualdad triangular, situación típica en líneas de procesamiento cárnico) y el</w:t>
      </w:r>
      <w:r>
        <w:t xml:space="preserve"> </w:t>
      </w:r>
      <w:r>
        <w:rPr>
          <w:i/>
          <w:iCs/>
        </w:rPr>
        <w:t xml:space="preserve">deterioro de producto (product decay)</w:t>
      </w:r>
      <w:r>
        <w:t xml:space="preserve"> </w:t>
      </w:r>
      <w:r>
        <w:t xml:space="preserve">como restricción temporal del inventario.</w:t>
      </w:r>
    </w:p>
    <w:p>
      <w:pPr>
        <w:pStyle w:val="BodyText"/>
      </w:pPr>
      <w:r>
        <w:rPr>
          <w:b/>
          <w:bCs/>
        </w:rPr>
        <w:t xml:space="preserve">Stefánsdóttir et al.</w:t>
      </w:r>
      <w:r>
        <w:t xml:space="preserve"> </w:t>
      </w:r>
      <w:r>
        <w:t xml:space="preserve">[29]</w:t>
      </w:r>
      <w:r>
        <w:t xml:space="preserve"> </w:t>
      </w:r>
      <w:r>
        <w:t xml:space="preserve">complementaron este trabajo con una clasificación taxonómica de los tipos de setup y limpieza en lot-sizing, distinguiendo entre setups triangulares y non-triangulares y su impacto en la complejidad del modelo. Su taxonomía facilita la selección del modelo de setup más apropiado para cada aplicación industrial.</w:t>
      </w:r>
    </w:p>
    <w:p>
      <w:pPr>
        <w:pStyle w:val="BodyText"/>
      </w:pPr>
      <w:r>
        <w:rPr>
          <w:b/>
          <w:bCs/>
        </w:rPr>
        <w:t xml:space="preserve">Entrup et al.</w:t>
      </w:r>
      <w:r>
        <w:t xml:space="preserve"> </w:t>
      </w:r>
      <w:r>
        <w:t xml:space="preserve">[26]</w:t>
      </w:r>
      <w:r>
        <w:t xml:space="preserve"> </w:t>
      </w:r>
      <w:r>
        <w:t xml:space="preserve">desarrollaron modelos MILP pioneros que integran la vida útil como restricción en problemas de lot-sizing para la industria láctea, estableciendo un marco transferible a otros sectores alimentarios. Su modelado de</w:t>
      </w:r>
      <w:r>
        <w:t xml:space="preserve"> </w:t>
      </w:r>
      <w:r>
        <w:rPr>
          <w:i/>
          <w:iCs/>
        </w:rPr>
        <w:t xml:space="preserve">shelf-life-integrated planning</w:t>
      </w:r>
      <w:r>
        <w:t xml:space="preserve"> </w:t>
      </w:r>
      <w:r>
        <w:t xml:space="preserve">constituye la base teórica directa para la restricción de perecibilidad utilizada en este trabajo (Eq. 7).</w:t>
      </w:r>
    </w:p>
    <w:p>
      <w:pPr>
        <w:pStyle w:val="BodyText"/>
      </w:pPr>
      <w:r>
        <w:rPr>
          <w:b/>
          <w:bCs/>
        </w:rPr>
        <w:t xml:space="preserve">Rong et al.</w:t>
      </w:r>
      <w:r>
        <w:t xml:space="preserve"> </w:t>
      </w:r>
      <w:r>
        <w:t xml:space="preserve">[27]</w:t>
      </w:r>
      <w:r>
        <w:t xml:space="preserve"> </w:t>
      </w:r>
      <w:r>
        <w:t xml:space="preserve">propusieron un enfoque de optimización para la gestión de calidad de alimentos frescos a lo largo de la cadena de suministro, modelando el deterioro como variable continua. Este enfoque, más sofisticado que la restricción de vida útil discreta utilizada en el presente trabajo, representa una extensión natural para futuras investigaciones.</w:t>
      </w:r>
    </w:p>
    <w:bookmarkEnd w:id="33"/>
    <w:bookmarkStart w:id="34" w:name="X029ba560fb558cbe2704c4821e16c2f5bcba2f9"/>
    <w:p>
      <w:pPr>
        <w:pStyle w:val="Heading4"/>
      </w:pPr>
      <w:r>
        <w:t xml:space="preserve">4.2.3. Optimización en la Cadena de Suministro Avícola</w:t>
      </w:r>
    </w:p>
    <w:p>
      <w:pPr>
        <w:pStyle w:val="FirstParagraph"/>
      </w:pPr>
      <w:r>
        <w:t xml:space="preserve">La investigación en optimización de cadenas de suministro avícolas ha crecido significativamente en los últimos años:</w:t>
      </w:r>
    </w:p>
    <w:p>
      <w:pPr>
        <w:pStyle w:val="BodyText"/>
      </w:pPr>
      <w:r>
        <w:rPr>
          <w:b/>
          <w:bCs/>
        </w:rPr>
        <w:t xml:space="preserve">Solano-Blanco et al.</w:t>
      </w:r>
      <w:r>
        <w:t xml:space="preserve"> </w:t>
      </w:r>
      <w:r>
        <w:t xml:space="preserve">[3]</w:t>
      </w:r>
      <w:r>
        <w:t xml:space="preserve"> </w:t>
      </w:r>
      <w:r>
        <w:t xml:space="preserve">abordaron el problema específico de planificación integrada en la industria avícola colombiana mediante un modelo MILP con programación estocástica de dos etapas. Su caso de estudio en Santa Marta demostró reducciones de costos del</w:t>
      </w:r>
      <w:r>
        <w:t xml:space="preserve"> </w:t>
      </w:r>
      <w:r>
        <w:rPr>
          <w:b/>
          <w:bCs/>
        </w:rPr>
        <w:t xml:space="preserve">8.6%</w:t>
      </w:r>
      <w:r>
        <w:t xml:space="preserve">, lo que constituye el benchmark principal de este trabajo.</w:t>
      </w:r>
    </w:p>
    <w:p>
      <w:pPr>
        <w:pStyle w:val="BodyText"/>
      </w:pPr>
      <w:r>
        <w:rPr>
          <w:b/>
          <w:bCs/>
        </w:rPr>
        <w:t xml:space="preserve">Tahraoui et al.</w:t>
      </w:r>
      <w:r>
        <w:t xml:space="preserve"> </w:t>
      </w:r>
      <w:r>
        <w:t xml:space="preserve">[4]</w:t>
      </w:r>
      <w:r>
        <w:t xml:space="preserve"> </w:t>
      </w:r>
      <w:r>
        <w:t xml:space="preserve">desarrollaron un modelo MILP para la planificación operativa de plantas de beneficio avícola multi-producto bajo restricciones realistas y demanda fluctuante, validado con CPLEX. Su enfoque aborda la complejidad de la planificación operativa en entornos multi-producto, pero permanece limitado a métodos exactos intratables para instancias de gran escala.</w:t>
      </w:r>
    </w:p>
    <w:p>
      <w:pPr>
        <w:pStyle w:val="BodyText"/>
      </w:pPr>
      <w:r>
        <w:rPr>
          <w:b/>
          <w:bCs/>
        </w:rPr>
        <w:t xml:space="preserve">Yazdekhasti et al.</w:t>
      </w:r>
      <w:r>
        <w:t xml:space="preserve"> </w:t>
      </w:r>
      <w:r>
        <w:t xml:space="preserve">[12]</w:t>
      </w:r>
      <w:r>
        <w:t xml:space="preserve"> </w:t>
      </w:r>
      <w:r>
        <w:t xml:space="preserve">formularon un modelo estocástico multi-periodo y multi-modal para la cadena de suministro avícola bajo incertidumbre de demanda, con un caso de estudio en Mississippi durante la pandemia de COVID-19. Su modelo MILP demuestra la importancia de considerar la estocasticidad en la planificación avícola.</w:t>
      </w:r>
    </w:p>
    <w:p>
      <w:pPr>
        <w:pStyle w:val="BodyText"/>
      </w:pPr>
      <w:r>
        <w:rPr>
          <w:b/>
          <w:bCs/>
        </w:rPr>
        <w:t xml:space="preserve">González-Neira et al.</w:t>
      </w:r>
      <w:r>
        <w:t xml:space="preserve"> </w:t>
      </w:r>
      <w:r>
        <w:t xml:space="preserve">[30]</w:t>
      </w:r>
      <w:r>
        <w:t xml:space="preserve"> </w:t>
      </w:r>
      <w:r>
        <w:t xml:space="preserve">integraron scheduling y transporte en un modelo MILP para la cadena de suministro avícola colombiana, avanzando en la planificación operativa detallada. Su trabajo confirma la relevancia del contexto colombiano para este tipo de investigaciones.</w:t>
      </w:r>
    </w:p>
    <w:p>
      <w:pPr>
        <w:pStyle w:val="BodyText"/>
      </w:pPr>
      <w:r>
        <w:rPr>
          <w:b/>
          <w:bCs/>
        </w:rPr>
        <w:t xml:space="preserve">Dadaneh et al.</w:t>
      </w:r>
      <w:r>
        <w:t xml:space="preserve"> </w:t>
      </w:r>
      <w:r>
        <w:t xml:space="preserve">[31]</w:t>
      </w:r>
      <w:r>
        <w:t xml:space="preserve"> </w:t>
      </w:r>
      <w:r>
        <w:t xml:space="preserve">formularon un modelo CLSP con</w:t>
      </w:r>
      <w:r>
        <w:t xml:space="preserve"> </w:t>
      </w:r>
      <w:r>
        <w:rPr>
          <w:i/>
          <w:iCs/>
        </w:rPr>
        <w:t xml:space="preserve">chance-constraints</w:t>
      </w:r>
      <w:r>
        <w:t xml:space="preserve"> </w:t>
      </w:r>
      <w:r>
        <w:t xml:space="preserve">para la planificación de producción de huevos en granjas avícolas bajo demanda incierta, demostrando la aplicabilidad directa del lot-sizing capacitado en el sector avícola.</w:t>
      </w:r>
    </w:p>
    <w:p>
      <w:pPr>
        <w:pStyle w:val="BodyText"/>
      </w:pPr>
      <w:r>
        <w:rPr>
          <w:b/>
          <w:bCs/>
        </w:rPr>
        <w:t xml:space="preserve">Juwitaa et al.</w:t>
      </w:r>
      <w:r>
        <w:t xml:space="preserve"> </w:t>
      </w:r>
      <w:r>
        <w:t xml:space="preserve">[32]</w:t>
      </w:r>
      <w:r>
        <w:t xml:space="preserve"> </w:t>
      </w:r>
      <w:r>
        <w:t xml:space="preserve">optimizaron cadenas de suministro de pollo de engorde bajo incertidumbre en la tasa de crecimiento mediante programación estocástica de dos etapas, confirmando la relevancia de este marco de modelado para la industria avícola.</w:t>
      </w:r>
    </w:p>
    <w:bookmarkEnd w:id="34"/>
    <w:bookmarkStart w:id="35" w:name="X8582a1522742518a03a0112a507f18127f5c7d0"/>
    <w:p>
      <w:pPr>
        <w:pStyle w:val="Heading4"/>
      </w:pPr>
      <w:r>
        <w:t xml:space="preserve">4.2.4. Metaheurísticas para Lot-Sizing y SC Avícola</w:t>
      </w:r>
    </w:p>
    <w:p>
      <w:pPr>
        <w:pStyle w:val="FirstParagraph"/>
      </w:pPr>
      <w:r>
        <w:t xml:space="preserve">La aplicación de metaheurísticas a problemas de lot-sizing y cadenas de suministro avícolas es un área de investigación en crecimiento:</w:t>
      </w:r>
    </w:p>
    <w:p>
      <w:pPr>
        <w:pStyle w:val="BodyText"/>
      </w:pPr>
      <w:r>
        <w:rPr>
          <w:b/>
          <w:bCs/>
        </w:rPr>
        <w:t xml:space="preserve">Akbari-Aghghaleh et al.</w:t>
      </w:r>
      <w:r>
        <w:t xml:space="preserve"> </w:t>
      </w:r>
      <w:r>
        <w:t xml:space="preserve">[15]</w:t>
      </w:r>
      <w:r>
        <w:t xml:space="preserve"> </w:t>
      </w:r>
      <w:r>
        <w:t xml:space="preserve">constituyen la referencia más directa para este trabajo. Diseñaron una cadena de suministro avícola de ciclo cerrado con perecibilidad y sostenibilidad, evaluando cinco metaheurísticas:</w:t>
      </w:r>
      <w:r>
        <w:t xml:space="preserve"> </w:t>
      </w:r>
      <w:r>
        <w:rPr>
          <w:b/>
          <w:bCs/>
        </w:rPr>
        <w:t xml:space="preserve">GA, SA, DE, GA-SA y DE-SA</w:t>
      </w:r>
      <w:r>
        <w:t xml:space="preserve">. Sus resultados demuestran que el</w:t>
      </w:r>
      <w:r>
        <w:t xml:space="preserve"> </w:t>
      </w:r>
      <w:r>
        <w:rPr>
          <w:b/>
          <w:bCs/>
        </w:rPr>
        <w:t xml:space="preserve">híbrido GA-SA obtiene el mejor rendimiento</w:t>
      </w:r>
      <w:r>
        <w:t xml:space="preserve"> </w:t>
      </w:r>
      <w:r>
        <w:t xml:space="preserve">entre las cinco técnicas evaluadas para problemas NP-hard de cadena de suministro avícola con perecibilidad. Este resultado fundamenta directamente la selección del GA-SA como algoritmo principal en el presente trabajo.</w:t>
      </w:r>
    </w:p>
    <w:p>
      <w:pPr>
        <w:pStyle w:val="BodyText"/>
      </w:pPr>
      <w:r>
        <w:rPr>
          <w:b/>
          <w:bCs/>
        </w:rPr>
        <w:t xml:space="preserve">Slama et al.</w:t>
      </w:r>
      <w:r>
        <w:t xml:space="preserve"> </w:t>
      </w:r>
      <w:r>
        <w:t xml:space="preserve">[16]</w:t>
      </w:r>
      <w:r>
        <w:t xml:space="preserve"> </w:t>
      </w:r>
      <w:r>
        <w:t xml:space="preserve">utilizaron GA combinado con</w:t>
      </w:r>
      <w:r>
        <w:t xml:space="preserve"> </w:t>
      </w:r>
      <w:r>
        <w:rPr>
          <w:b/>
          <w:bCs/>
        </w:rPr>
        <w:t xml:space="preserve">Monte Carlo Simulation</w:t>
      </w:r>
      <w:r>
        <w:t xml:space="preserve"> </w:t>
      </w:r>
      <w:r>
        <w:t xml:space="preserve">para resolver problemas estocásticos de lot-sizing capacitado bajo lead times aleatorios. Sus resultados demuestran que el GA supera al MIP exacto en instancias medianas y grandes, validando el uso de metaheurísticas para problemas estocásticos de lot-sizing.</w:t>
      </w:r>
    </w:p>
    <w:p>
      <w:pPr>
        <w:pStyle w:val="BodyText"/>
      </w:pPr>
      <w:r>
        <w:rPr>
          <w:b/>
          <w:bCs/>
        </w:rPr>
        <w:t xml:space="preserve">Roshani et al.</w:t>
      </w:r>
      <w:r>
        <w:t xml:space="preserve"> </w:t>
      </w:r>
      <w:r>
        <w:t xml:space="preserve">[33]</w:t>
      </w:r>
      <w:r>
        <w:t xml:space="preserve"> </w:t>
      </w:r>
      <w:r>
        <w:t xml:space="preserve">evaluaron un heurístico de relax-and-fix para el CLSP, confirmando la efectividad de SA como componente de búsqueda local. Su trabajo demuestra que los enfoques que integran explotación local intensiva son particularmente efectivos en problemas de lot-sizing.</w:t>
      </w:r>
    </w:p>
    <w:bookmarkEnd w:id="35"/>
    <w:bookmarkStart w:id="36" w:name="Xfe880257f9d0a54674b300025107d902db5a3fd"/>
    <w:p>
      <w:pPr>
        <w:pStyle w:val="Heading4"/>
      </w:pPr>
      <w:r>
        <w:t xml:space="preserve">4.2.5. Optimización Multi-Objetivo en Industria Alimentaria</w:t>
      </w:r>
    </w:p>
    <w:p>
      <w:pPr>
        <w:pStyle w:val="FirstParagraph"/>
      </w:pPr>
      <w:r>
        <w:t xml:space="preserve">La optimización multi-objetivo ha experimentado un avance significativo en la industria alimentaria:</w:t>
      </w:r>
    </w:p>
    <w:p>
      <w:pPr>
        <w:pStyle w:val="BodyText"/>
      </w:pPr>
      <w:r>
        <w:rPr>
          <w:b/>
          <w:bCs/>
        </w:rPr>
        <w:t xml:space="preserve">Arteaga-Cabrera et al.</w:t>
      </w:r>
      <w:r>
        <w:t xml:space="preserve"> </w:t>
      </w:r>
      <w:r>
        <w:t xml:space="preserve">[25]</w:t>
      </w:r>
      <w:r>
        <w:t xml:space="preserve"> </w:t>
      </w:r>
      <w:r>
        <w:t xml:space="preserve">presentaron una revisión comprehensiva sobre la evolución de las estrategias de optimización en alimentos, identificando la transición desde métodos univariados tradicionales hacia técnicas multi-objetivo integradas con tecnologías emergentes. Su trabajo destaca la importancia de optimizar simultáneamente múltiples objetivos competitivos en la industria alimentaria moderna.</w:t>
      </w:r>
    </w:p>
    <w:p>
      <w:pPr>
        <w:pStyle w:val="BodyText"/>
      </w:pPr>
      <w:r>
        <w:rPr>
          <w:b/>
          <w:bCs/>
        </w:rPr>
        <w:t xml:space="preserve">Liang et al.</w:t>
      </w:r>
      <w:r>
        <w:t xml:space="preserve"> </w:t>
      </w:r>
      <w:r>
        <w:t xml:space="preserve">[34]</w:t>
      </w:r>
      <w:r>
        <w:t xml:space="preserve"> </w:t>
      </w:r>
      <w:r>
        <w:t xml:space="preserve">demostraron la efectividad de la optimización multi-objetivo para operaciones de corte en la industria cárnica, abordando la maximización de beneficios de coproductos respetando restricciones de producción conjunta. Este trabajo es directamente análogo al problema de balanceo de carcasa avícola abordado en esta tesis.</w:t>
      </w:r>
    </w:p>
    <w:p>
      <w:pPr>
        <w:pStyle w:val="BodyText"/>
      </w:pPr>
      <w:r>
        <w:rPr>
          <w:b/>
          <w:bCs/>
        </w:rPr>
        <w:t xml:space="preserve">Mirzapour Al-e-Hashem et al.</w:t>
      </w:r>
      <w:r>
        <w:t xml:space="preserve"> </w:t>
      </w:r>
      <w:r>
        <w:t xml:space="preserve">[24]</w:t>
      </w:r>
      <w:r>
        <w:t xml:space="preserve"> </w:t>
      </w:r>
      <w:r>
        <w:t xml:space="preserve">desarrollaron un modelo robusto multi-objetivo para planificación agregada de producción multi-producto bajo incertidumbre de demanda y costos. Su enfoque de optimización robusta complementa la programación estocástica utilizada en este trabajo.</w:t>
      </w:r>
    </w:p>
    <w:p>
      <w:pPr>
        <w:pStyle w:val="BodyText"/>
      </w:pPr>
      <w:r>
        <w:rPr>
          <w:b/>
          <w:bCs/>
        </w:rPr>
        <w:t xml:space="preserve">Amorim et al.</w:t>
      </w:r>
      <w:r>
        <w:t xml:space="preserve"> </w:t>
      </w:r>
      <w:r>
        <w:t xml:space="preserve">[14]</w:t>
      </w:r>
      <w:r>
        <w:t xml:space="preserve"> </w:t>
      </w:r>
      <w:r>
        <w:t xml:space="preserve">formularon un modelo integrado de producción y distribución multi-objetivo para productos perecederos, combinando minimización de costos con maximización de frescura. Su integración de restricciones de vida útil en la planificación es directamente aplicable al contexto avícola.</w:t>
      </w:r>
    </w:p>
    <w:bookmarkEnd w:id="36"/>
    <w:bookmarkStart w:id="37" w:name="modelos-deterministas-de-referencia"/>
    <w:p>
      <w:pPr>
        <w:pStyle w:val="Heading4"/>
      </w:pPr>
      <w:r>
        <w:t xml:space="preserve">4.2.6. Modelos Deterministas de Referencia</w:t>
      </w:r>
    </w:p>
    <w:p>
      <w:pPr>
        <w:pStyle w:val="FirstParagraph"/>
      </w:pPr>
      <w:r>
        <w:t xml:space="preserve">Varios modelos deterministas establecen las bases para formulaciones más avanzadas:</w:t>
      </w:r>
    </w:p>
    <w:p>
      <w:pPr>
        <w:pStyle w:val="BodyText"/>
      </w:pPr>
      <w:r>
        <w:rPr>
          <w:b/>
          <w:bCs/>
        </w:rPr>
        <w:t xml:space="preserve">Gicquel y Miègeville</w:t>
      </w:r>
      <w:r>
        <w:t xml:space="preserve"> </w:t>
      </w:r>
      <w:r>
        <w:t xml:space="preserve">[2]</w:t>
      </w:r>
      <w:r>
        <w:t xml:space="preserve"> </w:t>
      </w:r>
      <w:r>
        <w:t xml:space="preserve">desarrollaron formulaciones y métodos de solución para la planificación conjunta de producción y transporte en cadenas alimentarias multi-sitio. Sus modelos MILP para producción conjunta con co-productos constituyen un referente directo para este trabajo.</w:t>
      </w:r>
    </w:p>
    <w:p>
      <w:pPr>
        <w:pStyle w:val="BodyText"/>
      </w:pPr>
      <w:r>
        <w:rPr>
          <w:b/>
          <w:bCs/>
        </w:rPr>
        <w:t xml:space="preserve">Sel et al.</w:t>
      </w:r>
      <w:r>
        <w:t xml:space="preserve"> </w:t>
      </w:r>
      <w:r>
        <w:t xml:space="preserve">[17]</w:t>
      </w:r>
      <w:r>
        <w:t xml:space="preserve"> </w:t>
      </w:r>
      <w:r>
        <w:t xml:space="preserve">demostraron la importancia de considerar restricciones de vida útil en la planificación integrada de cadenas de suministro de productos perecederos, con aplicación a la industria láctea. Su enfoque de</w:t>
      </w:r>
      <w:r>
        <w:t xml:space="preserve"> </w:t>
      </w:r>
      <w:r>
        <w:rPr>
          <w:i/>
          <w:iCs/>
        </w:rPr>
        <w:t xml:space="preserve">multi-bucket optimization</w:t>
      </w:r>
      <w:r>
        <w:t xml:space="preserve"> </w:t>
      </w:r>
      <w:r>
        <w:t xml:space="preserve">informa la granularidad temporal del modelo propuesto.</w:t>
      </w:r>
    </w:p>
    <w:p>
      <w:pPr>
        <w:pStyle w:val="BodyText"/>
      </w:pPr>
      <w:r>
        <w:rPr>
          <w:b/>
          <w:bCs/>
        </w:rPr>
        <w:t xml:space="preserve">Kopanos et al.</w:t>
      </w:r>
      <w:r>
        <w:t xml:space="preserve"> </w:t>
      </w:r>
      <w:r>
        <w:t xml:space="preserve">[35]</w:t>
      </w:r>
      <w:r>
        <w:t xml:space="preserve"> </w:t>
      </w:r>
      <w:r>
        <w:t xml:space="preserve">establecieron marcos matemáticos eficientes para el scheduling detallado en la industria de procesamiento de alimentos. Aunque su alcance es más operativo que el presente trabajo, sus formulaciones informan las restricciones de capacidad y setup utilizadas.</w:t>
      </w:r>
    </w:p>
    <w:bookmarkEnd w:id="37"/>
    <w:bookmarkStart w:id="38" w:name="tecnologías-habilitadoras"/>
    <w:p>
      <w:pPr>
        <w:pStyle w:val="Heading4"/>
      </w:pPr>
      <w:r>
        <w:t xml:space="preserve">4.2.7. Tecnologías Habilitadoras</w:t>
      </w:r>
    </w:p>
    <w:p>
      <w:pPr>
        <w:pStyle w:val="FirstParagraph"/>
      </w:pPr>
      <w:r>
        <w:t xml:space="preserve">Las tecnologías habilitadoras complementan el enfoque de optimización:</w:t>
      </w:r>
    </w:p>
    <w:p>
      <w:pPr>
        <w:pStyle w:val="BodyText"/>
      </w:pPr>
      <w:r>
        <w:rPr>
          <w:b/>
          <w:bCs/>
        </w:rPr>
        <w:t xml:space="preserve">Mahalik y Nambiar</w:t>
      </w:r>
      <w:r>
        <w:t xml:space="preserve"> </w:t>
      </w:r>
      <w:r>
        <w:t xml:space="preserve">[36]</w:t>
      </w:r>
      <w:r>
        <w:t xml:space="preserve"> </w:t>
      </w:r>
      <w:r>
        <w:t xml:space="preserve">destacan la tendencia creciente hacia la automatización y el uso de sensores inteligentes en los sistemas de manufactura de alimentos, elementos clave para asegurar la calidad y trazabilidad. La integración de estos sensores y la planificación automatizada en plantas de procesamiento están generando oportunidades para la implementación de modelos de optimización en tiempo real.</w:t>
      </w:r>
    </w:p>
    <w:p>
      <w:pPr>
        <w:pStyle w:val="BodyText"/>
      </w:pPr>
      <w:r>
        <w:rPr>
          <w:b/>
          <w:bCs/>
        </w:rPr>
        <w:t xml:space="preserve">Hartono et al.</w:t>
      </w:r>
      <w:r>
        <w:t xml:space="preserve"> </w:t>
      </w:r>
      <w:r>
        <w:t xml:space="preserve">[37]</w:t>
      </w:r>
      <w:r>
        <w:t xml:space="preserve"> </w:t>
      </w:r>
      <w:r>
        <w:t xml:space="preserve">demostraron la eficacia del</w:t>
      </w:r>
      <w:r>
        <w:t xml:space="preserve"> </w:t>
      </w:r>
      <w:r>
        <w:rPr>
          <w:i/>
          <w:iCs/>
        </w:rPr>
        <w:t xml:space="preserve">Bees Algorithm</w:t>
      </w:r>
      <w:r>
        <w:t xml:space="preserve"> </w:t>
      </w:r>
      <w:r>
        <w:t xml:space="preserve">para optimizar planes de desensamble robótico, un enfoque que podría adaptarse al procesamiento de carcasas avícolas. Su trabajo confirma la viabilidad de metaheurísticas bio-inspiradas para problemas de desensamble en manufactura.</w:t>
      </w:r>
    </w:p>
    <w:p>
      <w:pPr>
        <w:pStyle w:val="BodyText"/>
      </w:pPr>
      <w:r>
        <w:rPr>
          <w:b/>
          <w:bCs/>
        </w:rPr>
        <w:t xml:space="preserve">Feng et al.</w:t>
      </w:r>
      <w:r>
        <w:t xml:space="preserve"> </w:t>
      </w:r>
      <w:r>
        <w:t xml:space="preserve">[38]</w:t>
      </w:r>
      <w:r>
        <w:t xml:space="preserve"> </w:t>
      </w:r>
      <w:r>
        <w:t xml:space="preserve">demostraron cómo el aumento de datos sintéticos mejora significativamente la segmentación de instancias de carcasas de pollo, lo cual es fundamental para la automatización de procesos de despiece y control de calidad. Esta tecnología de visión por computador complementa los modelos de planificación al proporcionar datos más precisos sobre rendimientos de carcasa.</w:t>
      </w:r>
    </w:p>
    <w:p>
      <w:pPr>
        <w:pStyle w:val="BodyText"/>
      </w:pPr>
      <w:r>
        <w:rPr>
          <w:b/>
          <w:bCs/>
        </w:rPr>
        <w:t xml:space="preserve">Awad et al.</w:t>
      </w:r>
      <w:r>
        <w:t xml:space="preserve"> </w:t>
      </w:r>
      <w:r>
        <w:t xml:space="preserve">[39]</w:t>
      </w:r>
      <w:r>
        <w:t xml:space="preserve"> </w:t>
      </w:r>
      <w:r>
        <w:t xml:space="preserve">desarrollaron un modelo de optimización para minimizar el desperdicio (</w:t>
      </w:r>
      <w:r>
        <w:rPr>
          <w:i/>
          <w:iCs/>
        </w:rPr>
        <w:t xml:space="preserve">giveaway</w:t>
      </w:r>
      <w:r>
        <w:t xml:space="preserve">) y el subpeso (</w:t>
      </w:r>
      <w:r>
        <w:rPr>
          <w:i/>
          <w:iCs/>
        </w:rPr>
        <w:t xml:space="preserve">underweight</w:t>
      </w:r>
      <w:r>
        <w:t xml:space="preserve">) en el proceso de porcionado avícola, demostrando que la optimización matemática puede mejorar significativamente la eficiencia del despiece. Su trabajo es directamente aplicable al problema de balanceo de carcasa abordado en este trabajo.</w:t>
      </w:r>
    </w:p>
    <w:bookmarkEnd w:id="38"/>
    <w:bookmarkEnd w:id="39"/>
    <w:bookmarkStart w:id="40" w:name="vacíos-de-investigación-identificados"/>
    <w:p>
      <w:pPr>
        <w:pStyle w:val="Heading3"/>
      </w:pPr>
      <w:r>
        <w:t xml:space="preserve">4.3. Vacíos de Investigación Identificados</w:t>
      </w:r>
    </w:p>
    <w:p>
      <w:pPr>
        <w:pStyle w:val="FirstParagraph"/>
      </w:pPr>
      <w:r>
        <w:t xml:space="preserve">A pesar de la creciente investigación en optimización de cadenas de suministro avícolas y en metaheurísticas para problemas combinatorios, la revisión del estado del arte revela varios vacíos de investigación que este trabajo busca abordar.</w:t>
      </w:r>
    </w:p>
    <w:p>
      <w:pPr>
        <w:pStyle w:val="BodyText"/>
      </w:pPr>
      <w:r>
        <w:t xml:space="preserve">Una búsqueda sistemática realizada en Scopus (febrero 2026) utilizando ecuaciones de búsqueda centradas en lot-sizing estocástico, perecibilidad, optimización avícola y metaheurísticas arrojó los siguientes resultados:</w:t>
      </w:r>
    </w:p>
    <w:p>
      <w:pPr>
        <w:pStyle w:val="BodyText"/>
      </w:pPr>
      <w:r>
        <w:rPr>
          <w:b/>
          <w:bCs/>
          <w:i/>
          <w:iCs/>
        </w:rPr>
        <w:t xml:space="preserve">Tabla 2.</w:t>
      </w:r>
      <w:r>
        <w:rPr>
          <w:i/>
          <w:iCs/>
        </w:rPr>
        <w:t xml:space="preserve"> </w:t>
      </w:r>
      <w:r>
        <w:rPr>
          <w:i/>
          <w:iCs/>
        </w:rPr>
        <w:t xml:space="preserve">Resultados de la búsqueda sistemática en Scopus (febrero 2026)</w:t>
      </w:r>
    </w:p>
    <w:tbl>
      <w:tblPr>
        <w:tblStyle w:val="Table"/>
        <w:tblW w:type="pct" w:w="5000"/>
        <w:tblLayout w:type="fixed"/>
        <w:tblLook w:firstRow="1" w:lastRow="0" w:firstColumn="0" w:lastColumn="0" w:noHBand="0" w:noVBand="0" w:val="0020"/>
      </w:tblPr>
      <w:tblGrid>
        <w:gridCol w:w="1087"/>
        <w:gridCol w:w="931"/>
        <w:gridCol w:w="2329"/>
        <w:gridCol w:w="1397"/>
        <w:gridCol w:w="2174"/>
      </w:tblGrid>
      <w:tr>
        <w:trPr>
          <w:tblHeader w:val="on"/>
        </w:trPr>
        <w:tc>
          <w:tcPr/>
          <w:p>
            <w:pPr>
              <w:pStyle w:val="Compact"/>
              <w:jc w:val="center"/>
            </w:pPr>
            <w:r>
              <w:t xml:space="preserve">Query</w:t>
            </w:r>
          </w:p>
        </w:tc>
        <w:tc>
          <w:tcPr/>
          <w:p>
            <w:pPr>
              <w:pStyle w:val="Compact"/>
            </w:pPr>
            <w:r>
              <w:t xml:space="preserve">Tema</w:t>
            </w:r>
          </w:p>
        </w:tc>
        <w:tc>
          <w:tcPr/>
          <w:p>
            <w:pPr>
              <w:pStyle w:val="Compact"/>
              <w:jc w:val="center"/>
            </w:pPr>
            <w:r>
              <w:t xml:space="preserve">Base de datos</w:t>
            </w:r>
          </w:p>
        </w:tc>
        <w:tc>
          <w:tcPr/>
          <w:p>
            <w:pPr>
              <w:pStyle w:val="Compact"/>
              <w:jc w:val="center"/>
            </w:pPr>
            <w:r>
              <w:t xml:space="preserve">Periodo</w:t>
            </w:r>
          </w:p>
        </w:tc>
        <w:tc>
          <w:tcPr/>
          <w:p>
            <w:pPr>
              <w:pStyle w:val="Compact"/>
              <w:jc w:val="center"/>
            </w:pPr>
            <w:r>
              <w:t xml:space="preserve"># Resultados</w:t>
            </w:r>
          </w:p>
        </w:tc>
      </w:tr>
      <w:tr>
        <w:tc>
          <w:tcPr/>
          <w:p>
            <w:pPr>
              <w:pStyle w:val="Compact"/>
              <w:jc w:val="center"/>
            </w:pPr>
            <w:r>
              <w:t xml:space="preserve">Q1</w:t>
            </w:r>
          </w:p>
        </w:tc>
        <w:tc>
          <w:tcPr/>
          <w:p>
            <w:pPr>
              <w:pStyle w:val="Compact"/>
            </w:pPr>
            <w:r>
              <w:t xml:space="preserve">Lot-sizing estocástico + NP-hard + Setup</w:t>
            </w:r>
          </w:p>
        </w:tc>
        <w:tc>
          <w:tcPr/>
          <w:p>
            <w:pPr>
              <w:pStyle w:val="Compact"/>
              <w:jc w:val="center"/>
            </w:pPr>
            <w:r>
              <w:t xml:space="preserve">Scopus</w:t>
            </w:r>
          </w:p>
        </w:tc>
        <w:tc>
          <w:tcPr/>
          <w:p>
            <w:pPr>
              <w:pStyle w:val="Compact"/>
              <w:jc w:val="center"/>
            </w:pPr>
            <w:r>
              <w:t xml:space="preserve">2014–2026</w:t>
            </w:r>
          </w:p>
        </w:tc>
        <w:tc>
          <w:tcPr/>
          <w:p>
            <w:pPr>
              <w:pStyle w:val="Compact"/>
              <w:jc w:val="center"/>
            </w:pPr>
            <w:r>
              <w:t xml:space="preserve">9</w:t>
            </w:r>
          </w:p>
        </w:tc>
      </w:tr>
      <w:tr>
        <w:tc>
          <w:tcPr/>
          <w:p>
            <w:pPr>
              <w:pStyle w:val="Compact"/>
              <w:jc w:val="center"/>
            </w:pPr>
            <w:r>
              <w:t xml:space="preserve">Q2</w:t>
            </w:r>
          </w:p>
        </w:tc>
        <w:tc>
          <w:tcPr/>
          <w:p>
            <w:pPr>
              <w:pStyle w:val="Compact"/>
            </w:pPr>
            <w:r>
              <w:t xml:space="preserve">Metaheurísticas + Setup estocástico</w:t>
            </w:r>
          </w:p>
        </w:tc>
        <w:tc>
          <w:tcPr/>
          <w:p>
            <w:pPr>
              <w:pStyle w:val="Compact"/>
              <w:jc w:val="center"/>
            </w:pPr>
            <w:r>
              <w:t xml:space="preserve">Scopus</w:t>
            </w:r>
          </w:p>
        </w:tc>
        <w:tc>
          <w:tcPr/>
          <w:p>
            <w:pPr>
              <w:pStyle w:val="Compact"/>
              <w:jc w:val="center"/>
            </w:pPr>
            <w:r>
              <w:t xml:space="preserve">2017–2026</w:t>
            </w:r>
          </w:p>
        </w:tc>
        <w:tc>
          <w:tcPr/>
          <w:p>
            <w:pPr>
              <w:pStyle w:val="Compact"/>
              <w:jc w:val="center"/>
            </w:pPr>
            <w:r>
              <w:t xml:space="preserve">11</w:t>
            </w:r>
          </w:p>
        </w:tc>
      </w:tr>
      <w:tr>
        <w:tc>
          <w:tcPr/>
          <w:p>
            <w:pPr>
              <w:pStyle w:val="Compact"/>
              <w:jc w:val="center"/>
            </w:pPr>
            <w:r>
              <w:t xml:space="preserve">Q3</w:t>
            </w:r>
          </w:p>
        </w:tc>
        <w:tc>
          <w:tcPr/>
          <w:p>
            <w:pPr>
              <w:pStyle w:val="Compact"/>
            </w:pPr>
            <w:r>
              <w:t xml:space="preserve">Perecibilidad + Lot-sizing + Setup</w:t>
            </w:r>
          </w:p>
        </w:tc>
        <w:tc>
          <w:tcPr/>
          <w:p>
            <w:pPr>
              <w:pStyle w:val="Compact"/>
              <w:jc w:val="center"/>
            </w:pPr>
            <w:r>
              <w:t xml:space="preserve">Scopus</w:t>
            </w:r>
          </w:p>
        </w:tc>
        <w:tc>
          <w:tcPr/>
          <w:p>
            <w:pPr>
              <w:pStyle w:val="Compact"/>
              <w:jc w:val="center"/>
            </w:pPr>
            <w:r>
              <w:t xml:space="preserve">2015–2026</w:t>
            </w:r>
          </w:p>
        </w:tc>
        <w:tc>
          <w:tcPr/>
          <w:p>
            <w:pPr>
              <w:pStyle w:val="Compact"/>
              <w:jc w:val="center"/>
            </w:pPr>
            <w:r>
              <w:t xml:space="preserve">20</w:t>
            </w:r>
          </w:p>
        </w:tc>
      </w:tr>
      <w:tr>
        <w:tc>
          <w:tcPr/>
          <w:p>
            <w:pPr>
              <w:pStyle w:val="Compact"/>
              <w:jc w:val="center"/>
            </w:pPr>
            <w:r>
              <w:t xml:space="preserve">Q4</w:t>
            </w:r>
          </w:p>
        </w:tc>
        <w:tc>
          <w:tcPr/>
          <w:p>
            <w:pPr>
              <w:pStyle w:val="Compact"/>
            </w:pPr>
            <w:r>
              <w:t xml:space="preserve">Optimización avícola/cárnica</w:t>
            </w:r>
          </w:p>
        </w:tc>
        <w:tc>
          <w:tcPr/>
          <w:p>
            <w:pPr>
              <w:pStyle w:val="Compact"/>
              <w:jc w:val="center"/>
            </w:pPr>
            <w:r>
              <w:t xml:space="preserve">Scopus</w:t>
            </w:r>
          </w:p>
        </w:tc>
        <w:tc>
          <w:tcPr/>
          <w:p>
            <w:pPr>
              <w:pStyle w:val="Compact"/>
              <w:jc w:val="center"/>
            </w:pPr>
            <w:r>
              <w:t xml:space="preserve">2018–2026</w:t>
            </w:r>
          </w:p>
        </w:tc>
        <w:tc>
          <w:tcPr/>
          <w:p>
            <w:pPr>
              <w:pStyle w:val="Compact"/>
              <w:jc w:val="center"/>
            </w:pPr>
            <w:r>
              <w:t xml:space="preserve">186</w:t>
            </w:r>
          </w:p>
        </w:tc>
      </w:tr>
      <w:tr>
        <w:tc>
          <w:tcPr/>
          <w:p>
            <w:pPr>
              <w:pStyle w:val="Compact"/>
              <w:jc w:val="center"/>
            </w:pPr>
            <w:r>
              <w:t xml:space="preserve">Q5</w:t>
            </w:r>
          </w:p>
        </w:tc>
        <w:tc>
          <w:tcPr/>
          <w:p>
            <w:pPr>
              <w:pStyle w:val="Compact"/>
            </w:pPr>
            <w:r>
              <w:t xml:space="preserve">Prog. estocástica 2-etapas + Metaheurísticas</w:t>
            </w:r>
          </w:p>
        </w:tc>
        <w:tc>
          <w:tcPr/>
          <w:p>
            <w:pPr>
              <w:pStyle w:val="Compact"/>
              <w:jc w:val="center"/>
            </w:pPr>
            <w:r>
              <w:t xml:space="preserve">Scopus</w:t>
            </w:r>
          </w:p>
        </w:tc>
        <w:tc>
          <w:tcPr/>
          <w:p>
            <w:pPr>
              <w:pStyle w:val="Compact"/>
              <w:jc w:val="center"/>
            </w:pPr>
            <w:r>
              <w:t xml:space="preserve">2016–2026</w:t>
            </w:r>
          </w:p>
        </w:tc>
        <w:tc>
          <w:tcPr/>
          <w:p>
            <w:pPr>
              <w:pStyle w:val="Compact"/>
              <w:jc w:val="center"/>
            </w:pPr>
            <w:r>
              <w:t xml:space="preserve">218</w:t>
            </w:r>
          </w:p>
        </w:tc>
      </w:tr>
      <w:tr>
        <w:tc>
          <w:tcPr/>
          <w:p>
            <w:pPr>
              <w:pStyle w:val="Compact"/>
              <w:jc w:val="center"/>
            </w:pPr>
            <w:r>
              <w:t xml:space="preserve">Q6</w:t>
            </w:r>
          </w:p>
        </w:tc>
        <w:tc>
          <w:tcPr/>
          <w:p>
            <w:pPr>
              <w:pStyle w:val="Compact"/>
            </w:pPr>
            <w:r>
              <w:t xml:space="preserve">CLSP + Complejidad computacional</w:t>
            </w:r>
          </w:p>
        </w:tc>
        <w:tc>
          <w:tcPr/>
          <w:p>
            <w:pPr>
              <w:pStyle w:val="Compact"/>
              <w:jc w:val="center"/>
            </w:pPr>
            <w:r>
              <w:t xml:space="preserve">Scopus</w:t>
            </w:r>
          </w:p>
        </w:tc>
        <w:tc>
          <w:tcPr/>
          <w:p>
            <w:pPr>
              <w:pStyle w:val="Compact"/>
              <w:jc w:val="center"/>
            </w:pPr>
            <w:r>
              <w:t xml:space="preserve">2015–2026</w:t>
            </w:r>
          </w:p>
        </w:tc>
        <w:tc>
          <w:tcPr/>
          <w:p>
            <w:pPr>
              <w:pStyle w:val="Compact"/>
              <w:jc w:val="center"/>
            </w:pPr>
            <w:r>
              <w:t xml:space="preserve">30</w:t>
            </w:r>
          </w:p>
        </w:tc>
      </w:tr>
      <w:tr>
        <w:tc>
          <w:tcPr/>
          <w:p>
            <w:pPr>
              <w:pStyle w:val="Compact"/>
              <w:jc w:val="center"/>
            </w:pPr>
            <w:r>
              <w:t xml:space="preserve">Q7</w:t>
            </w:r>
          </w:p>
        </w:tc>
        <w:tc>
          <w:tcPr/>
          <w:p>
            <w:pPr>
              <w:pStyle w:val="Compact"/>
            </w:pPr>
            <w:r>
              <w:t xml:space="preserve">Reviews multi-product lot-sizing estocástico</w:t>
            </w:r>
          </w:p>
        </w:tc>
        <w:tc>
          <w:tcPr/>
          <w:p>
            <w:pPr>
              <w:pStyle w:val="Compact"/>
              <w:jc w:val="center"/>
            </w:pPr>
            <w:r>
              <w:t xml:space="preserve">Scopus</w:t>
            </w:r>
          </w:p>
        </w:tc>
        <w:tc>
          <w:tcPr/>
          <w:p>
            <w:pPr>
              <w:pStyle w:val="Compact"/>
              <w:jc w:val="center"/>
            </w:pPr>
            <w:r>
              <w:t xml:space="preserve">2018–2026</w:t>
            </w:r>
          </w:p>
        </w:tc>
        <w:tc>
          <w:tcPr/>
          <w:p>
            <w:pPr>
              <w:pStyle w:val="Compact"/>
              <w:jc w:val="center"/>
            </w:pPr>
            <w:r>
              <w:t xml:space="preserve">0</w:t>
            </w:r>
          </w:p>
        </w:tc>
      </w:tr>
      <w:tr>
        <w:tc>
          <w:tcPr/>
          <w:p>
            <w:pPr>
              <w:pStyle w:val="Compact"/>
              <w:jc w:val="center"/>
            </w:pPr>
            <w:r>
              <w:t xml:space="preserve">Q8</w:t>
            </w:r>
          </w:p>
        </w:tc>
        <w:tc>
          <w:tcPr/>
          <w:p>
            <w:pPr>
              <w:pStyle w:val="Compact"/>
            </w:pPr>
            <w:r>
              <w:t xml:space="preserve">Lote mínimo + Setup + Prog. entera</w:t>
            </w:r>
          </w:p>
        </w:tc>
        <w:tc>
          <w:tcPr/>
          <w:p>
            <w:pPr>
              <w:pStyle w:val="Compact"/>
              <w:jc w:val="center"/>
            </w:pPr>
            <w:r>
              <w:t xml:space="preserve">Scopus</w:t>
            </w:r>
          </w:p>
        </w:tc>
        <w:tc>
          <w:tcPr/>
          <w:p>
            <w:pPr>
              <w:pStyle w:val="Compact"/>
              <w:jc w:val="center"/>
            </w:pPr>
            <w:r>
              <w:t xml:space="preserve">2015–2026</w:t>
            </w:r>
          </w:p>
        </w:tc>
        <w:tc>
          <w:tcPr/>
          <w:p>
            <w:pPr>
              <w:pStyle w:val="Compact"/>
              <w:jc w:val="center"/>
            </w:pPr>
            <w:r>
              <w:t xml:space="preserve">4</w:t>
            </w:r>
          </w:p>
        </w:tc>
      </w:tr>
      <w:tr>
        <w:tc>
          <w:tcPr/>
          <w:p>
            <w:pPr>
              <w:pStyle w:val="Compact"/>
            </w:pPr>
          </w:p>
        </w:tc>
        <w:tc>
          <w:tcPr/>
          <w:p>
            <w:pPr>
              <w:pStyle w:val="Compact"/>
            </w:pPr>
          </w:p>
        </w:tc>
        <w:tc>
          <w:tcPr/>
          <w:p>
            <w:pPr>
              <w:pStyle w:val="Compact"/>
            </w:pPr>
          </w:p>
        </w:tc>
        <w:tc>
          <w:tcPr/>
          <w:p>
            <w:pPr>
              <w:pStyle w:val="Compact"/>
              <w:jc w:val="center"/>
            </w:pPr>
            <w:r>
              <w:rPr>
                <w:b/>
                <w:bCs/>
              </w:rPr>
              <w:t xml:space="preserve">Total</w:t>
            </w:r>
          </w:p>
        </w:tc>
        <w:tc>
          <w:tcPr/>
          <w:p>
            <w:pPr>
              <w:pStyle w:val="Compact"/>
              <w:jc w:val="center"/>
            </w:pPr>
            <w:r>
              <w:rPr>
                <w:b/>
                <w:bCs/>
              </w:rPr>
              <w:t xml:space="preserve">478</w:t>
            </w:r>
          </w:p>
        </w:tc>
      </w:tr>
    </w:tbl>
    <w:p>
      <w:pPr>
        <w:pStyle w:val="BodyText"/>
      </w:pPr>
      <w:r>
        <w:t xml:space="preserve">De los 478 resultados, solo 13 papers abordan directamente la intersección entre lot-sizing estocástico con setup, perecibilidad y metaheurísticas—confirmando la brecha que esta investigación busca llenar. Notablemente, la Query Q7 (reviews sobre multi-product lot-sizing estocástico) no arrojó ningún resultado, evidenciando la ausencia de trabajos de revisión del estado del arte para este tema específico.</w:t>
      </w:r>
    </w:p>
    <w:p>
      <w:pPr>
        <w:pStyle w:val="BodyText"/>
      </w:pPr>
      <w:r>
        <w:t xml:space="preserve">La Tabla 3 resume los trabajos más relevantes y su posicionamiento respecto a esta propuesta.</w:t>
      </w:r>
    </w:p>
    <w:p>
      <w:pPr>
        <w:pStyle w:val="BodyText"/>
      </w:pPr>
      <w:r>
        <w:rPr>
          <w:b/>
          <w:bCs/>
          <w:i/>
          <w:iCs/>
        </w:rPr>
        <w:t xml:space="preserve">Tabla 3.</w:t>
      </w:r>
      <w:r>
        <w:rPr>
          <w:i/>
          <w:iCs/>
        </w:rPr>
        <w:t xml:space="preserve"> </w:t>
      </w:r>
      <w:r>
        <w:rPr>
          <w:i/>
          <w:iCs/>
        </w:rPr>
        <w:t xml:space="preserve">Resumen del estado del arte y brechas identificadas</w:t>
      </w:r>
    </w:p>
    <w:tbl>
      <w:tblPr>
        <w:tblStyle w:val="Table"/>
        <w:tblW w:type="pct" w:w="5000"/>
        <w:tblLayout w:type="fixed"/>
        <w:tblLook w:firstRow="1" w:lastRow="0" w:firstColumn="0" w:lastColumn="0" w:noHBand="0" w:noVBand="0" w:val="0020"/>
      </w:tblPr>
      <w:tblGrid>
        <w:gridCol w:w="1528"/>
        <w:gridCol w:w="1250"/>
        <w:gridCol w:w="1389"/>
        <w:gridCol w:w="2084"/>
        <w:gridCol w:w="1667"/>
      </w:tblGrid>
      <w:tr>
        <w:trPr>
          <w:tblHeader w:val="on"/>
        </w:trPr>
        <w:tc>
          <w:tcPr/>
          <w:p>
            <w:pPr>
              <w:pStyle w:val="Compact"/>
            </w:pPr>
            <w:r>
              <w:t xml:space="preserve">Autor(es)</w:t>
            </w:r>
          </w:p>
        </w:tc>
        <w:tc>
          <w:tcPr/>
          <w:p>
            <w:pPr>
              <w:pStyle w:val="Compact"/>
            </w:pPr>
            <w:r>
              <w:t xml:space="preserve">Técnica</w:t>
            </w:r>
          </w:p>
        </w:tc>
        <w:tc>
          <w:tcPr/>
          <w:p>
            <w:pPr>
              <w:pStyle w:val="Compact"/>
            </w:pPr>
            <w:r>
              <w:t xml:space="preserve">Objetivo</w:t>
            </w:r>
          </w:p>
        </w:tc>
        <w:tc>
          <w:tcPr/>
          <w:p>
            <w:pPr>
              <w:pStyle w:val="Compact"/>
            </w:pPr>
            <w:r>
              <w:t xml:space="preserve">Incertidumbre</w:t>
            </w:r>
          </w:p>
        </w:tc>
        <w:tc>
          <w:tcPr/>
          <w:p>
            <w:pPr>
              <w:pStyle w:val="Compact"/>
            </w:pPr>
            <w:r>
              <w:t xml:space="preserve">Aplicación</w:t>
            </w:r>
          </w:p>
        </w:tc>
      </w:tr>
      <w:tr>
        <w:tc>
          <w:tcPr/>
          <w:p>
            <w:pPr>
              <w:pStyle w:val="Compact"/>
            </w:pPr>
            <w:r>
              <w:t xml:space="preserve">Solano-Blanco et al.</w:t>
            </w:r>
            <w:r>
              <w:t xml:space="preserve"> </w:t>
            </w:r>
            <w:r>
              <w:t xml:space="preserve">[3]</w:t>
            </w:r>
          </w:p>
        </w:tc>
        <w:tc>
          <w:tcPr/>
          <w:p>
            <w:pPr>
              <w:pStyle w:val="Compact"/>
            </w:pPr>
            <w:r>
              <w:t xml:space="preserve">MILP Estoc.</w:t>
            </w:r>
          </w:p>
        </w:tc>
        <w:tc>
          <w:tcPr/>
          <w:p>
            <w:pPr>
              <w:pStyle w:val="Compact"/>
            </w:pPr>
            <w:r>
              <w:t xml:space="preserve">Planif. integrada</w:t>
            </w:r>
          </w:p>
        </w:tc>
        <w:tc>
          <w:tcPr/>
          <w:p>
            <w:pPr>
              <w:pStyle w:val="Compact"/>
            </w:pPr>
            <w:r>
              <w:t xml:space="preserve">Estoc. 2 etapas</w:t>
            </w:r>
          </w:p>
        </w:tc>
        <w:tc>
          <w:tcPr/>
          <w:p>
            <w:pPr>
              <w:pStyle w:val="Compact"/>
            </w:pPr>
            <w:r>
              <w:t xml:space="preserve">Avícola (Col.)</w:t>
            </w:r>
          </w:p>
        </w:tc>
      </w:tr>
      <w:tr>
        <w:tc>
          <w:tcPr/>
          <w:p>
            <w:pPr>
              <w:pStyle w:val="Compact"/>
            </w:pPr>
            <w:r>
              <w:t xml:space="preserve">Tahraoui et al.</w:t>
            </w:r>
            <w:r>
              <w:t xml:space="preserve"> </w:t>
            </w:r>
            <w:r>
              <w:t xml:space="preserve">[4]</w:t>
            </w:r>
          </w:p>
        </w:tc>
        <w:tc>
          <w:tcPr/>
          <w:p>
            <w:pPr>
              <w:pStyle w:val="Compact"/>
            </w:pPr>
            <w:r>
              <w:t xml:space="preserve">MILP (CPLEX)</w:t>
            </w:r>
          </w:p>
        </w:tc>
        <w:tc>
          <w:tcPr/>
          <w:p>
            <w:pPr>
              <w:pStyle w:val="Compact"/>
            </w:pPr>
            <w:r>
              <w:t xml:space="preserve">Planif. operativa</w:t>
            </w:r>
          </w:p>
        </w:tc>
        <w:tc>
          <w:tcPr/>
          <w:p>
            <w:pPr>
              <w:pStyle w:val="Compact"/>
            </w:pPr>
            <w:r>
              <w:t xml:space="preserve">Demanda fluct.</w:t>
            </w:r>
          </w:p>
        </w:tc>
        <w:tc>
          <w:tcPr/>
          <w:p>
            <w:pPr>
              <w:pStyle w:val="Compact"/>
            </w:pPr>
            <w:r>
              <w:t xml:space="preserve">Avícola (multi-prod.)</w:t>
            </w:r>
          </w:p>
        </w:tc>
      </w:tr>
      <w:tr>
        <w:tc>
          <w:tcPr/>
          <w:p>
            <w:pPr>
              <w:pStyle w:val="Compact"/>
            </w:pPr>
            <w:r>
              <w:t xml:space="preserve">Yazdekhasti et al.</w:t>
            </w:r>
            <w:r>
              <w:t xml:space="preserve"> </w:t>
            </w:r>
            <w:r>
              <w:t xml:space="preserve">[12]</w:t>
            </w:r>
          </w:p>
        </w:tc>
        <w:tc>
          <w:tcPr/>
          <w:p>
            <w:pPr>
              <w:pStyle w:val="Compact"/>
            </w:pPr>
            <w:r>
              <w:t xml:space="preserve">MILP Multi-modal</w:t>
            </w:r>
          </w:p>
        </w:tc>
        <w:tc>
          <w:tcPr/>
          <w:p>
            <w:pPr>
              <w:pStyle w:val="Compact"/>
            </w:pPr>
            <w:r>
              <w:t xml:space="preserve">SC estocástica</w:t>
            </w:r>
          </w:p>
        </w:tc>
        <w:tc>
          <w:tcPr/>
          <w:p>
            <w:pPr>
              <w:pStyle w:val="Compact"/>
            </w:pPr>
            <w:r>
              <w:t xml:space="preserve">Estoc. (demanda)</w:t>
            </w:r>
          </w:p>
        </w:tc>
        <w:tc>
          <w:tcPr/>
          <w:p>
            <w:pPr>
              <w:pStyle w:val="Compact"/>
            </w:pPr>
            <w:r>
              <w:t xml:space="preserve">Avícola (Miss.)</w:t>
            </w:r>
          </w:p>
        </w:tc>
      </w:tr>
      <w:tr>
        <w:tc>
          <w:tcPr/>
          <w:p>
            <w:pPr>
              <w:pStyle w:val="Compact"/>
            </w:pPr>
            <w:r>
              <w:t xml:space="preserve">Mirzapour et al.</w:t>
            </w:r>
            <w:r>
              <w:t xml:space="preserve"> </w:t>
            </w:r>
            <w:r>
              <w:t xml:space="preserve">[24]</w:t>
            </w:r>
          </w:p>
        </w:tc>
        <w:tc>
          <w:tcPr/>
          <w:p>
            <w:pPr>
              <w:pStyle w:val="Compact"/>
            </w:pPr>
            <w:r>
              <w:t xml:space="preserve">MILP Robusto</w:t>
            </w:r>
          </w:p>
        </w:tc>
        <w:tc>
          <w:tcPr/>
          <w:p>
            <w:pPr>
              <w:pStyle w:val="Compact"/>
            </w:pPr>
            <w:r>
              <w:t xml:space="preserve">Planif. agregada</w:t>
            </w:r>
          </w:p>
        </w:tc>
        <w:tc>
          <w:tcPr/>
          <w:p>
            <w:pPr>
              <w:pStyle w:val="Compact"/>
            </w:pPr>
            <w:r>
              <w:t xml:space="preserve">Robusto multi-obj.</w:t>
            </w:r>
          </w:p>
        </w:tc>
        <w:tc>
          <w:tcPr/>
          <w:p>
            <w:pPr>
              <w:pStyle w:val="Compact"/>
            </w:pPr>
            <w:r>
              <w:t xml:space="preserve">Manufactura</w:t>
            </w:r>
          </w:p>
        </w:tc>
      </w:tr>
      <w:tr>
        <w:tc>
          <w:tcPr/>
          <w:p>
            <w:pPr>
              <w:pStyle w:val="Compact"/>
            </w:pPr>
            <w:r>
              <w:t xml:space="preserve">Gicquel &amp; Miègeville</w:t>
            </w:r>
            <w:r>
              <w:t xml:space="preserve"> </w:t>
            </w:r>
            <w:r>
              <w:t xml:space="preserve">[2]</w:t>
            </w:r>
          </w:p>
        </w:tc>
        <w:tc>
          <w:tcPr/>
          <w:p>
            <w:pPr>
              <w:pStyle w:val="Compact"/>
            </w:pPr>
            <w:r>
              <w:t xml:space="preserve">MILP</w:t>
            </w:r>
          </w:p>
        </w:tc>
        <w:tc>
          <w:tcPr/>
          <w:p>
            <w:pPr>
              <w:pStyle w:val="Compact"/>
            </w:pPr>
            <w:r>
              <w:t xml:space="preserve">Prod. + transp.</w:t>
            </w:r>
          </w:p>
        </w:tc>
        <w:tc>
          <w:tcPr/>
          <w:p>
            <w:pPr>
              <w:pStyle w:val="Compact"/>
            </w:pPr>
            <w:r>
              <w:t xml:space="preserve">Determinista</w:t>
            </w:r>
          </w:p>
        </w:tc>
        <w:tc>
          <w:tcPr/>
          <w:p>
            <w:pPr>
              <w:pStyle w:val="Compact"/>
            </w:pPr>
            <w:r>
              <w:t xml:space="preserve">Alimentaria</w:t>
            </w:r>
          </w:p>
        </w:tc>
      </w:tr>
      <w:tr>
        <w:tc>
          <w:tcPr/>
          <w:p>
            <w:pPr>
              <w:pStyle w:val="Compact"/>
            </w:pPr>
            <w:r>
              <w:t xml:space="preserve">Sel et al.</w:t>
            </w:r>
            <w:r>
              <w:t xml:space="preserve"> </w:t>
            </w:r>
            <w:r>
              <w:t xml:space="preserve">[17]</w:t>
            </w:r>
          </w:p>
        </w:tc>
        <w:tc>
          <w:tcPr/>
          <w:p>
            <w:pPr>
              <w:pStyle w:val="Compact"/>
            </w:pPr>
            <w:r>
              <w:t xml:space="preserve">MILP</w:t>
            </w:r>
          </w:p>
        </w:tc>
        <w:tc>
          <w:tcPr/>
          <w:p>
            <w:pPr>
              <w:pStyle w:val="Compact"/>
            </w:pPr>
            <w:r>
              <w:t xml:space="preserve">Prod. + distrib.</w:t>
            </w:r>
          </w:p>
        </w:tc>
        <w:tc>
          <w:tcPr/>
          <w:p>
            <w:pPr>
              <w:pStyle w:val="Compact"/>
            </w:pPr>
            <w:r>
              <w:t xml:space="preserve">Determinista</w:t>
            </w:r>
          </w:p>
        </w:tc>
        <w:tc>
          <w:tcPr/>
          <w:p>
            <w:pPr>
              <w:pStyle w:val="Compact"/>
            </w:pPr>
            <w:r>
              <w:t xml:space="preserve">Perecederos</w:t>
            </w:r>
          </w:p>
        </w:tc>
      </w:tr>
      <w:tr>
        <w:tc>
          <w:tcPr/>
          <w:p>
            <w:pPr>
              <w:pStyle w:val="Compact"/>
            </w:pPr>
            <w:r>
              <w:t xml:space="preserve">Kopanos et al.</w:t>
            </w:r>
            <w:r>
              <w:t xml:space="preserve"> </w:t>
            </w:r>
            <w:r>
              <w:t xml:space="preserve">[35]</w:t>
            </w:r>
          </w:p>
        </w:tc>
        <w:tc>
          <w:tcPr/>
          <w:p>
            <w:pPr>
              <w:pStyle w:val="Compact"/>
            </w:pPr>
            <w:r>
              <w:t xml:space="preserve">MILP</w:t>
            </w:r>
          </w:p>
        </w:tc>
        <w:tc>
          <w:tcPr/>
          <w:p>
            <w:pPr>
              <w:pStyle w:val="Compact"/>
            </w:pPr>
            <w:r>
              <w:t xml:space="preserve">Scheduling</w:t>
            </w:r>
          </w:p>
        </w:tc>
        <w:tc>
          <w:tcPr/>
          <w:p>
            <w:pPr>
              <w:pStyle w:val="Compact"/>
            </w:pPr>
            <w:r>
              <w:t xml:space="preserve">Determinista</w:t>
            </w:r>
          </w:p>
        </w:tc>
        <w:tc>
          <w:tcPr/>
          <w:p>
            <w:pPr>
              <w:pStyle w:val="Compact"/>
            </w:pPr>
            <w:r>
              <w:t xml:space="preserve">Alimentaria</w:t>
            </w:r>
          </w:p>
        </w:tc>
      </w:tr>
      <w:tr>
        <w:tc>
          <w:tcPr/>
          <w:p>
            <w:pPr>
              <w:pStyle w:val="Compact"/>
            </w:pPr>
            <w:r>
              <w:t xml:space="preserve">Amorim et al.</w:t>
            </w:r>
            <w:r>
              <w:t xml:space="preserve"> </w:t>
            </w:r>
            <w:r>
              <w:t xml:space="preserve">[14]</w:t>
            </w:r>
          </w:p>
        </w:tc>
        <w:tc>
          <w:tcPr/>
          <w:p>
            <w:pPr>
              <w:pStyle w:val="Compact"/>
            </w:pPr>
            <w:r>
              <w:t xml:space="preserve">MILP Multi-obj.</w:t>
            </w:r>
          </w:p>
        </w:tc>
        <w:tc>
          <w:tcPr/>
          <w:p>
            <w:pPr>
              <w:pStyle w:val="Compact"/>
            </w:pPr>
            <w:r>
              <w:t xml:space="preserve">Prod. + distrib.</w:t>
            </w:r>
          </w:p>
        </w:tc>
        <w:tc>
          <w:tcPr/>
          <w:p>
            <w:pPr>
              <w:pStyle w:val="Compact"/>
            </w:pPr>
            <w:r>
              <w:t xml:space="preserve">Determinista</w:t>
            </w:r>
          </w:p>
        </w:tc>
        <w:tc>
          <w:tcPr/>
          <w:p>
            <w:pPr>
              <w:pStyle w:val="Compact"/>
            </w:pPr>
            <w:r>
              <w:t xml:space="preserve">Perecederos</w:t>
            </w:r>
          </w:p>
        </w:tc>
      </w:tr>
      <w:tr>
        <w:tc>
          <w:tcPr/>
          <w:p>
            <w:pPr>
              <w:pStyle w:val="Compact"/>
            </w:pPr>
            <w:r>
              <w:t xml:space="preserve">Liang et al.</w:t>
            </w:r>
            <w:r>
              <w:t xml:space="preserve"> </w:t>
            </w:r>
            <w:r>
              <w:t xml:space="preserve">[34]</w:t>
            </w:r>
          </w:p>
        </w:tc>
        <w:tc>
          <w:tcPr/>
          <w:p>
            <w:pPr>
              <w:pStyle w:val="Compact"/>
            </w:pPr>
            <w:r>
              <w:t xml:space="preserve">Optim. Multi-obj.</w:t>
            </w:r>
          </w:p>
        </w:tc>
        <w:tc>
          <w:tcPr/>
          <w:p>
            <w:pPr>
              <w:pStyle w:val="Compact"/>
            </w:pPr>
            <w:r>
              <w:t xml:space="preserve">Corte cárnico</w:t>
            </w:r>
          </w:p>
        </w:tc>
        <w:tc>
          <w:tcPr/>
          <w:p>
            <w:pPr>
              <w:pStyle w:val="Compact"/>
            </w:pPr>
            <w:r>
              <w:t xml:space="preserve">Determinista</w:t>
            </w:r>
          </w:p>
        </w:tc>
        <w:tc>
          <w:tcPr/>
          <w:p>
            <w:pPr>
              <w:pStyle w:val="Compact"/>
            </w:pPr>
            <w:r>
              <w:t xml:space="preserve">Cárnica (coprod.)</w:t>
            </w:r>
          </w:p>
        </w:tc>
      </w:tr>
      <w:tr>
        <w:tc>
          <w:tcPr/>
          <w:p>
            <w:pPr>
              <w:pStyle w:val="Compact"/>
            </w:pPr>
            <w:r>
              <w:t xml:space="preserve">Claassen</w:t>
            </w:r>
            <w:r>
              <w:t xml:space="preserve"> </w:t>
            </w:r>
            <w:r>
              <w:t xml:space="preserve">[18]</w:t>
            </w:r>
          </w:p>
        </w:tc>
        <w:tc>
          <w:tcPr/>
          <w:p>
            <w:pPr>
              <w:pStyle w:val="Compact"/>
            </w:pPr>
            <w:r>
              <w:t xml:space="preserve">MILP</w:t>
            </w:r>
          </w:p>
        </w:tc>
        <w:tc>
          <w:tcPr/>
          <w:p>
            <w:pPr>
              <w:pStyle w:val="Compact"/>
            </w:pPr>
            <w:r>
              <w:t xml:space="preserve">Lot-sizing + decay</w:t>
            </w:r>
          </w:p>
        </w:tc>
        <w:tc>
          <w:tcPr/>
          <w:p>
            <w:pPr>
              <w:pStyle w:val="Compact"/>
            </w:pPr>
            <w:r>
              <w:t xml:space="preserve">Determinista</w:t>
            </w:r>
          </w:p>
        </w:tc>
        <w:tc>
          <w:tcPr/>
          <w:p>
            <w:pPr>
              <w:pStyle w:val="Compact"/>
            </w:pPr>
            <w:r>
              <w:t xml:space="preserve">FPI (setup non-triang.)</w:t>
            </w:r>
          </w:p>
        </w:tc>
      </w:tr>
      <w:tr>
        <w:tc>
          <w:tcPr/>
          <w:p>
            <w:pPr>
              <w:pStyle w:val="Compact"/>
            </w:pPr>
            <w:r>
              <w:t xml:space="preserve">Rahmani et al.</w:t>
            </w:r>
            <w:r>
              <w:t xml:space="preserve"> </w:t>
            </w:r>
            <w:r>
              <w:t xml:space="preserve">[10]</w:t>
            </w:r>
          </w:p>
        </w:tc>
        <w:tc>
          <w:tcPr/>
          <w:p>
            <w:pPr>
              <w:pStyle w:val="Compact"/>
            </w:pPr>
            <w:r>
              <w:t xml:space="preserve">Heurístico híbrido</w:t>
            </w:r>
          </w:p>
        </w:tc>
        <w:tc>
          <w:tcPr/>
          <w:p>
            <w:pPr>
              <w:pStyle w:val="Compact"/>
            </w:pPr>
            <w:r>
              <w:t xml:space="preserve">CLSP estocástico</w:t>
            </w:r>
          </w:p>
        </w:tc>
        <w:tc>
          <w:tcPr/>
          <w:p>
            <w:pPr>
              <w:pStyle w:val="Compact"/>
            </w:pPr>
            <w:r>
              <w:t xml:space="preserve">Estoc. 2 etapas</w:t>
            </w:r>
          </w:p>
        </w:tc>
        <w:tc>
          <w:tcPr/>
          <w:p>
            <w:pPr>
              <w:pStyle w:val="Compact"/>
            </w:pPr>
            <w:r>
              <w:t xml:space="preserve">Manufactura (NP-hard)</w:t>
            </w:r>
          </w:p>
        </w:tc>
      </w:tr>
      <w:tr>
        <w:tc>
          <w:tcPr/>
          <w:p>
            <w:pPr>
              <w:pStyle w:val="Compact"/>
            </w:pPr>
            <w:r>
              <w:t xml:space="preserve">Dadaneh et al.</w:t>
            </w:r>
            <w:r>
              <w:t xml:space="preserve"> </w:t>
            </w:r>
            <w:r>
              <w:t xml:space="preserve">[31]</w:t>
            </w:r>
          </w:p>
        </w:tc>
        <w:tc>
          <w:tcPr/>
          <w:p>
            <w:pPr>
              <w:pStyle w:val="Compact"/>
            </w:pPr>
            <w:r>
              <w:t xml:space="preserve">CLSP chance-constr.</w:t>
            </w:r>
          </w:p>
        </w:tc>
        <w:tc>
          <w:tcPr/>
          <w:p>
            <w:pPr>
              <w:pStyle w:val="Compact"/>
            </w:pPr>
            <w:r>
              <w:t xml:space="preserve">Planif. huevos</w:t>
            </w:r>
          </w:p>
        </w:tc>
        <w:tc>
          <w:tcPr/>
          <w:p>
            <w:pPr>
              <w:pStyle w:val="Compact"/>
            </w:pPr>
            <w:r>
              <w:t xml:space="preserve">Estoc. (demanda)</w:t>
            </w:r>
          </w:p>
        </w:tc>
        <w:tc>
          <w:tcPr/>
          <w:p>
            <w:pPr>
              <w:pStyle w:val="Compact"/>
            </w:pPr>
            <w:r>
              <w:t xml:space="preserve">Avícola (huevos)</w:t>
            </w:r>
          </w:p>
        </w:tc>
      </w:tr>
      <w:tr>
        <w:tc>
          <w:tcPr/>
          <w:p>
            <w:pPr>
              <w:pStyle w:val="Compact"/>
            </w:pPr>
            <w:r>
              <w:t xml:space="preserve">Akbari-Aghghaleh et al.</w:t>
            </w:r>
            <w:r>
              <w:t xml:space="preserve"> </w:t>
            </w:r>
            <w:r>
              <w:t xml:space="preserve">[15]</w:t>
            </w:r>
          </w:p>
        </w:tc>
        <w:tc>
          <w:tcPr/>
          <w:p>
            <w:pPr>
              <w:pStyle w:val="Compact"/>
            </w:pPr>
            <w:r>
              <w:rPr>
                <w:b/>
                <w:bCs/>
              </w:rPr>
              <w:t xml:space="preserve">GA, SA, DE, híbridos</w:t>
            </w:r>
          </w:p>
        </w:tc>
        <w:tc>
          <w:tcPr/>
          <w:p>
            <w:pPr>
              <w:pStyle w:val="Compact"/>
            </w:pPr>
            <w:r>
              <w:t xml:space="preserve">SC ciclo cerrado</w:t>
            </w:r>
          </w:p>
        </w:tc>
        <w:tc>
          <w:tcPr/>
          <w:p>
            <w:pPr>
              <w:pStyle w:val="Compact"/>
            </w:pPr>
            <w:r>
              <w:t xml:space="preserve">Determinista</w:t>
            </w:r>
          </w:p>
        </w:tc>
        <w:tc>
          <w:tcPr/>
          <w:p>
            <w:pPr>
              <w:pStyle w:val="Compact"/>
            </w:pPr>
            <w:r>
              <w:rPr>
                <w:b/>
                <w:bCs/>
              </w:rPr>
              <w:t xml:space="preserve">Avícola (perecib.)</w:t>
            </w:r>
          </w:p>
        </w:tc>
      </w:tr>
      <w:tr>
        <w:tc>
          <w:tcPr/>
          <w:p>
            <w:pPr>
              <w:pStyle w:val="Compact"/>
            </w:pPr>
            <w:r>
              <w:t xml:space="preserve">González-Neira et al.</w:t>
            </w:r>
            <w:r>
              <w:t xml:space="preserve"> </w:t>
            </w:r>
            <w:r>
              <w:t xml:space="preserve">[30]</w:t>
            </w:r>
          </w:p>
        </w:tc>
        <w:tc>
          <w:tcPr/>
          <w:p>
            <w:pPr>
              <w:pStyle w:val="Compact"/>
            </w:pPr>
            <w:r>
              <w:t xml:space="preserve">MILP</w:t>
            </w:r>
          </w:p>
        </w:tc>
        <w:tc>
          <w:tcPr/>
          <w:p>
            <w:pPr>
              <w:pStyle w:val="Compact"/>
            </w:pPr>
            <w:r>
              <w:t xml:space="preserve">Scheduling + transp.</w:t>
            </w:r>
          </w:p>
        </w:tc>
        <w:tc>
          <w:tcPr/>
          <w:p>
            <w:pPr>
              <w:pStyle w:val="Compact"/>
            </w:pPr>
            <w:r>
              <w:t xml:space="preserve">Determinista</w:t>
            </w:r>
          </w:p>
        </w:tc>
        <w:tc>
          <w:tcPr/>
          <w:p>
            <w:pPr>
              <w:pStyle w:val="Compact"/>
            </w:pPr>
            <w:r>
              <w:t xml:space="preserve">Avícola (Col.)</w:t>
            </w:r>
          </w:p>
        </w:tc>
      </w:tr>
      <w:tr>
        <w:tc>
          <w:tcPr/>
          <w:p>
            <w:pPr>
              <w:pStyle w:val="Compact"/>
            </w:pPr>
            <w:r>
              <w:rPr>
                <w:b/>
                <w:bCs/>
              </w:rPr>
              <w:t xml:space="preserve">→ Propuesta</w:t>
            </w:r>
          </w:p>
        </w:tc>
        <w:tc>
          <w:tcPr/>
          <w:p>
            <w:pPr>
              <w:pStyle w:val="Compact"/>
            </w:pPr>
            <w:r>
              <w:rPr>
                <w:b/>
                <w:bCs/>
              </w:rPr>
              <w:t xml:space="preserve">GA, SA, DE, GA-SA</w:t>
            </w:r>
          </w:p>
        </w:tc>
        <w:tc>
          <w:tcPr/>
          <w:p>
            <w:pPr>
              <w:pStyle w:val="Compact"/>
            </w:pPr>
            <w:r>
              <w:rPr>
                <w:b/>
                <w:bCs/>
              </w:rPr>
              <w:t xml:space="preserve">Max profit</w:t>
            </w:r>
          </w:p>
        </w:tc>
        <w:tc>
          <w:tcPr/>
          <w:p>
            <w:pPr>
              <w:pStyle w:val="Compact"/>
            </w:pPr>
            <w:r>
              <w:rPr>
                <w:b/>
                <w:bCs/>
              </w:rPr>
              <w:t xml:space="preserve">Estoc. (demanda)</w:t>
            </w:r>
          </w:p>
        </w:tc>
        <w:tc>
          <w:tcPr/>
          <w:p>
            <w:pPr>
              <w:pStyle w:val="Compact"/>
            </w:pPr>
            <w:r>
              <w:rPr>
                <w:b/>
                <w:bCs/>
              </w:rPr>
              <w:t xml:space="preserve">Avícola (coprod., Col.)</w:t>
            </w:r>
          </w:p>
        </w:tc>
      </w:tr>
    </w:tbl>
    <w:p>
      <w:pPr>
        <w:pStyle w:val="SourceCode"/>
      </w:pPr>
      <w:r>
        <w:rPr>
          <w:rStyle w:val="VerbatimChar"/>
        </w:rPr>
        <w:t xml:space="preserve">%%{init: {'theme': 'neutral'}}%%</w:t>
      </w:r>
      <w:r>
        <w:br/>
      </w:r>
      <w:r>
        <w:rPr>
          <w:rStyle w:val="VerbatimChar"/>
        </w:rPr>
        <w:t xml:space="preserve">graph TD</w:t>
      </w:r>
      <w:r>
        <w:br/>
      </w:r>
      <w:r>
        <w:rPr>
          <w:rStyle w:val="VerbatimChar"/>
        </w:rPr>
        <w:t xml:space="preserve">    A["Lot-sizing estocástico\n(Q1: 9, Q2: 11, Q5: 218)"] --&gt; E["INTERSECCIÓN\n13 papers"]</w:t>
      </w:r>
      <w:r>
        <w:br/>
      </w:r>
      <w:r>
        <w:rPr>
          <w:rStyle w:val="VerbatimChar"/>
        </w:rPr>
        <w:t xml:space="preserve">    B["Perecibilidad + Setup\n(Q3: 20, Q8: 4)"] --&gt; E</w:t>
      </w:r>
      <w:r>
        <w:br/>
      </w:r>
      <w:r>
        <w:rPr>
          <w:rStyle w:val="VerbatimChar"/>
        </w:rPr>
        <w:t xml:space="preserve">    C["Metaheurísticas\n(Q2: 11, Q5: 218)"] --&gt; E</w:t>
      </w:r>
      <w:r>
        <w:br/>
      </w:r>
      <w:r>
        <w:rPr>
          <w:rStyle w:val="VerbatimChar"/>
        </w:rPr>
        <w:t xml:space="preserve">    D["Industria avícola\n(Q4: 186)"] --&gt; E</w:t>
      </w:r>
      <w:r>
        <w:br/>
      </w:r>
      <w:r>
        <w:rPr>
          <w:rStyle w:val="VerbatimChar"/>
        </w:rPr>
        <w:t xml:space="preserve">    E --&gt; F["BRECHA: 0 reviews\n(Q7 = 0 resultados)"]</w:t>
      </w:r>
      <w:r>
        <w:br/>
      </w:r>
      <w:r>
        <w:rPr>
          <w:rStyle w:val="VerbatimChar"/>
        </w:rPr>
        <w:t xml:space="preserve">    E --&gt; G["→ PROPUESTA:\nGA, SA, DE, GA-SA\n+ estocástico\n+ perecibilidad\n+ avícola Colombia"]</w:t>
      </w:r>
    </w:p>
    <w:p>
      <w:pPr>
        <w:pStyle w:val="FirstParagraph"/>
      </w:pPr>
      <w:r>
        <w:rPr>
          <w:b/>
          <w:bCs/>
          <w:i/>
          <w:iCs/>
        </w:rPr>
        <w:t xml:space="preserve">Figura 3.</w:t>
      </w:r>
      <w:r>
        <w:rPr>
          <w:i/>
          <w:iCs/>
        </w:rPr>
        <w:t xml:space="preserve"> </w:t>
      </w:r>
      <w:r>
        <w:rPr>
          <w:i/>
          <w:iCs/>
        </w:rPr>
        <w:t xml:space="preserve">Diagrama de intersección de brechas de investigación. De 478 resultados en las 8 queries de búsqueda, solo 13 papers abordan la intersección directa entre lot-sizing estocástico, perecibilidad, metaheurísticas e industria avícola. La ausencia de reviews (Q7=0) confirma la novedad del área.</w:t>
      </w:r>
    </w:p>
    <w:p>
      <w:pPr>
        <w:pStyle w:val="BodyText"/>
      </w:pPr>
      <w:r>
        <w:t xml:space="preserve">Los principales vacíos identificados son:</w:t>
      </w:r>
    </w:p>
    <w:p>
      <w:pPr>
        <w:numPr>
          <w:ilvl w:val="0"/>
          <w:numId w:val="1013"/>
        </w:numPr>
      </w:pPr>
      <w:r>
        <w:rPr>
          <w:b/>
          <w:bCs/>
        </w:rPr>
        <w:t xml:space="preserve">Ausencia de metaheurísticas para planificación de coproductos avícolas bajo incertidumbre:</w:t>
      </w:r>
      <w:r>
        <w:t xml:space="preserve"> </w:t>
      </w:r>
      <w:r>
        <w:t xml:space="preserve">De los 14 trabajos relevantes en la Tabla 3, solo Akbari-Aghghaleh et al.</w:t>
      </w:r>
      <w:r>
        <w:t xml:space="preserve"> </w:t>
      </w:r>
      <w:r>
        <w:t xml:space="preserve">[15]</w:t>
      </w:r>
      <w:r>
        <w:t xml:space="preserve"> </w:t>
      </w:r>
      <w:r>
        <w:t xml:space="preserve">utilizan metaheurísticas en el contexto avícola, pero con un modelo determinista. Ningún trabajo combina metaheurísticas con programación estocástica de dos etapas para coproductos avícolas.</w:t>
      </w:r>
    </w:p>
    <w:p>
      <w:pPr>
        <w:numPr>
          <w:ilvl w:val="0"/>
          <w:numId w:val="1013"/>
        </w:numPr>
      </w:pPr>
      <w:r>
        <w:rPr>
          <w:b/>
          <w:bCs/>
        </w:rPr>
        <w:t xml:space="preserve">Inexistencia de reviews de multi-product lot-sizing estocástico:</w:t>
      </w:r>
      <w:r>
        <w:t xml:space="preserve"> </w:t>
      </w:r>
      <w:r>
        <w:t xml:space="preserve">La Query Q7 no arrojó ningún resultado, evidenciando que el campo carece de sistematización. Esto dificulta la identificación de mejores prácticas y líneas de investigación prioritarias.</w:t>
      </w:r>
    </w:p>
    <w:p>
      <w:pPr>
        <w:numPr>
          <w:ilvl w:val="0"/>
          <w:numId w:val="1013"/>
        </w:numPr>
      </w:pPr>
      <w:r>
        <w:rPr>
          <w:b/>
          <w:bCs/>
        </w:rPr>
        <w:t xml:space="preserve">Concentración en la intersección directa:</w:t>
      </w:r>
      <w:r>
        <w:t xml:space="preserve"> </w:t>
      </w:r>
      <w:r>
        <w:t xml:space="preserve">Solo 13 de 478 papers (2.7%) abordan simultáneamente los cuatro ejes temáticos (lot-sizing estocástico, perecibilidad, metaheurísticas, avícola), confirmando que la propuesta aborda un nicho inexplorado con contribución potencial significativa.</w:t>
      </w:r>
    </w:p>
    <w:p>
      <w:r>
        <w:pict>
          <v:rect style="width:0;height:1.5pt" o:hralign="center" o:hrstd="t" o:hr="t"/>
        </w:pict>
      </w:r>
    </w:p>
    <w:bookmarkEnd w:id="40"/>
    <w:bookmarkEnd w:id="41"/>
    <w:bookmarkStart w:id="47" w:name="formulación-del-modelo-matemático"/>
    <w:p>
      <w:pPr>
        <w:pStyle w:val="Heading2"/>
      </w:pPr>
      <w:r>
        <w:t xml:space="preserve">5. Formulación del Modelo Matemático</w:t>
      </w:r>
    </w:p>
    <w:p>
      <w:pPr>
        <w:pStyle w:val="FirstParagraph"/>
      </w:pPr>
      <w:r>
        <w:t xml:space="preserve">El modelo propuesto se formula como un problema de</w:t>
      </w:r>
      <w:r>
        <w:t xml:space="preserve"> </w:t>
      </w:r>
      <w:r>
        <w:rPr>
          <w:b/>
          <w:bCs/>
        </w:rPr>
        <w:t xml:space="preserve">Programación Lineal Entera Mixta (MILP) multi-periodo</w:t>
      </w:r>
      <w:r>
        <w:t xml:space="preserve"> </w:t>
      </w:r>
      <w:r>
        <w:t xml:space="preserve">con estructura de</w:t>
      </w:r>
      <w:r>
        <w:t xml:space="preserve"> </w:t>
      </w:r>
      <w:r>
        <w:rPr>
          <w:i/>
          <w:iCs/>
        </w:rPr>
        <w:t xml:space="preserve">lot-sizing</w:t>
      </w:r>
      <w:r>
        <w:t xml:space="preserve"> </w:t>
      </w:r>
      <w:r>
        <w:t xml:space="preserve">estocástico para la planificación óptima de coproductos avícolas bajo demanda incierta.</w:t>
      </w:r>
    </w:p>
    <w:bookmarkStart w:id="42" w:name="X44610707b303c31b7b2ffe71aa86304809b6d2d"/>
    <w:p>
      <w:pPr>
        <w:pStyle w:val="Heading3"/>
      </w:pPr>
      <w:r>
        <w:t xml:space="preserve">5.1. Conjuntos, Parámetros y Variables de Decisión</w:t>
      </w:r>
    </w:p>
    <w:p>
      <w:pPr>
        <w:pStyle w:val="FirstParagraph"/>
      </w:pPr>
      <w:r>
        <w:rPr>
          <w:b/>
          <w:bCs/>
        </w:rPr>
        <w:t xml:space="preserve">Conjuntos:</w:t>
      </w:r>
    </w:p>
    <w:p>
      <w:pPr>
        <w:pStyle w:val="Compact"/>
        <w:numPr>
          <w:ilvl w:val="0"/>
          <w:numId w:val="1014"/>
        </w:numPr>
      </w:pPr>
      <m:oMath>
        <m:r>
          <m:t>P</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sSub>
          <m:e>
            <m:r>
              <m:t>n</m:t>
            </m:r>
          </m:e>
          <m:sub>
            <m:r>
              <m:t>p</m:t>
            </m:r>
          </m:sub>
        </m:sSub>
        <m:r>
          <m:rPr>
            <m:sty m:val="p"/>
          </m:rPr>
          <m:t>}</m:t>
        </m:r>
      </m:oMath>
      <w:r>
        <w:t xml:space="preserve">: Conjunto de coproductos (formas de corte: pechuga, muslos, alas, etc.)</w:t>
      </w:r>
    </w:p>
    <w:p>
      <w:pPr>
        <w:pStyle w:val="Compact"/>
        <w:numPr>
          <w:ilvl w:val="0"/>
          <w:numId w:val="1014"/>
        </w:numPr>
      </w:pPr>
      <m:oMath>
        <m:r>
          <m:t>T</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sSub>
          <m:e>
            <m:r>
              <m:t>n</m:t>
            </m:r>
          </m:e>
          <m:sub>
            <m:r>
              <m:t>t</m:t>
            </m:r>
          </m:sub>
        </m:sSub>
        <m:r>
          <m:rPr>
            <m:sty m:val="p"/>
          </m:rPr>
          <m:t>}</m:t>
        </m:r>
      </m:oMath>
      <w:r>
        <w:t xml:space="preserve">: Conjunto de periodos de planificación</w:t>
      </w:r>
    </w:p>
    <w:p>
      <w:pPr>
        <w:pStyle w:val="Compact"/>
        <w:numPr>
          <w:ilvl w:val="0"/>
          <w:numId w:val="1014"/>
        </w:numPr>
      </w:pPr>
      <m:oMath>
        <m:r>
          <m:rPr>
            <m:sty m:val="p"/>
          </m:rPr>
          <m:t>Ω</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sSub>
          <m:e>
            <m:r>
              <m:t>n</m:t>
            </m:r>
          </m:e>
          <m:sub>
            <m:r>
              <m:t>ω</m:t>
            </m:r>
          </m:sub>
        </m:sSub>
        <m:r>
          <m:rPr>
            <m:sty m:val="p"/>
          </m:rPr>
          <m:t>}</m:t>
        </m:r>
      </m:oMath>
      <w:r>
        <w:t xml:space="preserve">: Conjunto de escenarios de demanda</w:t>
      </w:r>
    </w:p>
    <w:p>
      <w:pPr>
        <w:pStyle w:val="FirstParagraph"/>
      </w:pPr>
      <w:r>
        <w:rPr>
          <w:b/>
          <w:bCs/>
        </w:rPr>
        <w:t xml:space="preserve">Parámetros:</w:t>
      </w:r>
    </w:p>
    <w:p>
      <w:pPr>
        <w:pStyle w:val="Compact"/>
        <w:numPr>
          <w:ilvl w:val="0"/>
          <w:numId w:val="1015"/>
        </w:numPr>
      </w:pPr>
      <m:oMath>
        <m:sSub>
          <m:e>
            <m:r>
              <m:t>α</m:t>
            </m:r>
          </m:e>
          <m:sub>
            <m:r>
              <m:t>p</m:t>
            </m:r>
          </m:sub>
        </m:sSub>
      </m:oMath>
      <w:r>
        <w:t xml:space="preserve">: Proporción fija del coproducto</w:t>
      </w:r>
      <w:r>
        <w:t xml:space="preserve"> </w:t>
      </w:r>
      <m:oMath>
        <m:r>
          <m:t>p</m:t>
        </m:r>
      </m:oMath>
      <w:r>
        <w:t xml:space="preserve"> </w:t>
      </w:r>
      <w:r>
        <w:t xml:space="preserve">por carcasa (restricción anatómica,</w:t>
      </w:r>
      <w:r>
        <w:t xml:space="preserve"> </w:t>
      </w:r>
      <m:oMath>
        <m:nary>
          <m:naryPr>
            <m:chr m:val="∑"/>
            <m:limLoc m:val="undOvr"/>
            <m:subHide m:val="off"/>
            <m:supHide m:val="on"/>
          </m:naryPr>
          <m:sub>
            <m:r>
              <m:t>p</m:t>
            </m:r>
          </m:sub>
          <m:sup>
            <m:r>
              <m:t>​</m:t>
            </m:r>
          </m:sup>
          <m:e>
            <m:sSub>
              <m:e>
                <m:r>
                  <m:t>α</m:t>
                </m:r>
              </m:e>
              <m:sub>
                <m:r>
                  <m:t>p</m:t>
                </m:r>
              </m:sub>
            </m:sSub>
          </m:e>
        </m:nary>
        <m:r>
          <m:rPr>
            <m:sty m:val="p"/>
          </m:rPr>
          <m:t>=</m:t>
        </m:r>
        <m:r>
          <m:t>1</m:t>
        </m:r>
      </m:oMath>
      <w:r>
        <w:t xml:space="preserve">)</w:t>
      </w:r>
    </w:p>
    <w:p>
      <w:pPr>
        <w:pStyle w:val="Compact"/>
        <w:numPr>
          <w:ilvl w:val="0"/>
          <w:numId w:val="1015"/>
        </w:numPr>
      </w:pPr>
      <m:oMath>
        <m:r>
          <m:t>W</m:t>
        </m:r>
      </m:oMath>
      <w:r>
        <w:t xml:space="preserve">: Peso promedio de una carcasa (kg)</w:t>
      </w:r>
    </w:p>
    <w:p>
      <w:pPr>
        <w:pStyle w:val="Compact"/>
        <w:numPr>
          <w:ilvl w:val="0"/>
          <w:numId w:val="1015"/>
        </w:numPr>
      </w:pPr>
      <m:oMath>
        <m:sSub>
          <m:e>
            <m:r>
              <m:t>d</m:t>
            </m:r>
          </m:e>
          <m:sub>
            <m:r>
              <m:t>p</m:t>
            </m:r>
            <m:r>
              <m:t>t</m:t>
            </m:r>
            <m:r>
              <m:t>ω</m:t>
            </m:r>
          </m:sub>
        </m:sSub>
      </m:oMath>
      <w:r>
        <w:t xml:space="preserve">: Demanda del coproducto</w:t>
      </w:r>
      <w:r>
        <w:t xml:space="preserve"> </w:t>
      </w:r>
      <m:oMath>
        <m:r>
          <m:t>p</m:t>
        </m:r>
      </m:oMath>
      <w:r>
        <w:t xml:space="preserve"> </w:t>
      </w:r>
      <w:r>
        <w:t xml:space="preserve">en el periodo</w:t>
      </w:r>
      <w:r>
        <w:t xml:space="preserve"> </w:t>
      </w:r>
      <m:oMath>
        <m:r>
          <m:t>t</m:t>
        </m:r>
      </m:oMath>
      <w:r>
        <w:t xml:space="preserve"> </w:t>
      </w:r>
      <w:r>
        <w:t xml:space="preserve">bajo el escenario</w:t>
      </w:r>
      <w:r>
        <w:t xml:space="preserve"> </w:t>
      </w:r>
      <m:oMath>
        <m:r>
          <m:t>ω</m:t>
        </m:r>
      </m:oMath>
      <w:r>
        <w:t xml:space="preserve"> </w:t>
      </w:r>
      <w:r>
        <w:t xml:space="preserve">(kg)</w:t>
      </w:r>
    </w:p>
    <w:p>
      <w:pPr>
        <w:pStyle w:val="Compact"/>
        <w:numPr>
          <w:ilvl w:val="0"/>
          <w:numId w:val="1015"/>
        </w:numPr>
      </w:pPr>
      <m:oMath>
        <m:sSub>
          <m:e>
            <m:r>
              <m:t>r</m:t>
            </m:r>
          </m:e>
          <m:sub>
            <m:r>
              <m:t>p</m:t>
            </m:r>
          </m:sub>
        </m:sSub>
      </m:oMath>
      <w:r>
        <w:t xml:space="preserve">: Precio de venta del coproducto</w:t>
      </w:r>
      <w:r>
        <w:t xml:space="preserve"> </w:t>
      </w:r>
      <m:oMath>
        <m:r>
          <m:t>p</m:t>
        </m:r>
      </m:oMath>
      <w:r>
        <w:t xml:space="preserve"> </w:t>
      </w:r>
      <w:r>
        <w:t xml:space="preserve">(COP/kg)</w:t>
      </w:r>
    </w:p>
    <w:p>
      <w:pPr>
        <w:pStyle w:val="Compact"/>
        <w:numPr>
          <w:ilvl w:val="0"/>
          <w:numId w:val="1015"/>
        </w:numPr>
      </w:pPr>
      <m:oMath>
        <m:sSup>
          <m:e>
            <m:r>
              <m:t>c</m:t>
            </m:r>
          </m:e>
          <m:sup>
            <m:r>
              <m:t>p</m:t>
            </m:r>
            <m:r>
              <m:t>r</m:t>
            </m:r>
            <m:r>
              <m:t>o</m:t>
            </m:r>
            <m:r>
              <m:t>d</m:t>
            </m:r>
          </m:sup>
        </m:sSup>
      </m:oMath>
      <w:r>
        <w:t xml:space="preserve">: Costo de procesamiento por carcasa (COP/carcasa)</w:t>
      </w:r>
    </w:p>
    <w:p>
      <w:pPr>
        <w:pStyle w:val="Compact"/>
        <w:numPr>
          <w:ilvl w:val="0"/>
          <w:numId w:val="1015"/>
        </w:numPr>
      </w:pPr>
      <m:oMath>
        <m:r>
          <m:t>F</m:t>
        </m:r>
      </m:oMath>
      <w:r>
        <w:t xml:space="preserve">: Costo fijo de activación de la línea por periodo (COP/periodo)</w:t>
      </w:r>
    </w:p>
    <w:p>
      <w:pPr>
        <w:pStyle w:val="Compact"/>
        <w:numPr>
          <w:ilvl w:val="0"/>
          <w:numId w:val="1015"/>
        </w:numPr>
      </w:pPr>
      <m:oMath>
        <m:sSubSup>
          <m:e>
            <m:r>
              <m:t>c</m:t>
            </m:r>
          </m:e>
          <m:sub>
            <m:r>
              <m:t>p</m:t>
            </m:r>
          </m:sub>
          <m:sup>
            <m:r>
              <m:t>i</m:t>
            </m:r>
            <m:r>
              <m:t>n</m:t>
            </m:r>
            <m:r>
              <m:t>v</m:t>
            </m:r>
          </m:sup>
        </m:sSubSup>
      </m:oMath>
      <w:r>
        <w:t xml:space="preserve">: Costo de mantener inventario del coproducto</w:t>
      </w:r>
      <w:r>
        <w:t xml:space="preserve"> </w:t>
      </w:r>
      <m:oMath>
        <m:r>
          <m:t>p</m:t>
        </m:r>
      </m:oMath>
      <w:r>
        <w:t xml:space="preserve"> </w:t>
      </w:r>
      <w:r>
        <w:t xml:space="preserve">(COP/kg/periodo)</w:t>
      </w:r>
    </w:p>
    <w:p>
      <w:pPr>
        <w:pStyle w:val="Compact"/>
        <w:numPr>
          <w:ilvl w:val="0"/>
          <w:numId w:val="1015"/>
        </w:numPr>
      </w:pPr>
      <m:oMath>
        <m:sSubSup>
          <m:e>
            <m:r>
              <m:t>c</m:t>
            </m:r>
          </m:e>
          <m:sub>
            <m:r>
              <m:t>p</m:t>
            </m:r>
          </m:sub>
          <m:sup>
            <m:r>
              <m:t>p</m:t>
            </m:r>
            <m:r>
              <m:t>e</m:t>
            </m:r>
            <m:r>
              <m:t>n</m:t>
            </m:r>
          </m:sup>
        </m:sSubSup>
      </m:oMath>
      <w:r>
        <w:t xml:space="preserve">: Costo de penalización por demanda no satisfecha del coproducto</w:t>
      </w:r>
      <w:r>
        <w:t xml:space="preserve"> </w:t>
      </w:r>
      <m:oMath>
        <m:r>
          <m:t>p</m:t>
        </m:r>
      </m:oMath>
      <w:r>
        <w:t xml:space="preserve"> </w:t>
      </w:r>
      <w:r>
        <w:t xml:space="preserve">(COP/kg)</w:t>
      </w:r>
    </w:p>
    <w:p>
      <w:pPr>
        <w:pStyle w:val="Compact"/>
        <w:numPr>
          <w:ilvl w:val="0"/>
          <w:numId w:val="1015"/>
        </w:numPr>
      </w:pPr>
      <m:oMath>
        <m:sSup>
          <m:e>
            <m:r>
              <m:t>Q</m:t>
            </m:r>
          </m:e>
          <m:sup>
            <m:r>
              <m:t>m</m:t>
            </m:r>
            <m:r>
              <m:t>a</m:t>
            </m:r>
            <m:r>
              <m:t>x</m:t>
            </m:r>
          </m:sup>
        </m:sSup>
      </m:oMath>
      <w:r>
        <w:t xml:space="preserve">: Capacidad máxima de procesamiento (carcasas/periodo)</w:t>
      </w:r>
    </w:p>
    <w:p>
      <w:pPr>
        <w:pStyle w:val="Compact"/>
        <w:numPr>
          <w:ilvl w:val="0"/>
          <w:numId w:val="1015"/>
        </w:numPr>
      </w:pPr>
      <m:oMath>
        <m:sSup>
          <m:e>
            <m:r>
              <m:t>Q</m:t>
            </m:r>
          </m:e>
          <m:sup>
            <m:r>
              <m:t>m</m:t>
            </m:r>
            <m:r>
              <m:t>i</m:t>
            </m:r>
            <m:r>
              <m:t>n</m:t>
            </m:r>
          </m:sup>
        </m:sSup>
      </m:oMath>
      <w:r>
        <w:t xml:space="preserve">: Lote mínimo de procesamiento (carcasas/periodo)</w:t>
      </w:r>
    </w:p>
    <w:p>
      <w:pPr>
        <w:pStyle w:val="Compact"/>
        <w:numPr>
          <w:ilvl w:val="0"/>
          <w:numId w:val="1015"/>
        </w:numPr>
      </w:pPr>
      <m:oMath>
        <m:sSub>
          <m:e>
            <m:r>
              <m:t>L</m:t>
            </m:r>
          </m:e>
          <m:sub>
            <m:r>
              <m:t>p</m:t>
            </m:r>
          </m:sub>
        </m:sSub>
      </m:oMath>
      <w:r>
        <w:t xml:space="preserve">: Vida útil máxima del coproducto</w:t>
      </w:r>
      <w:r>
        <w:t xml:space="preserve"> </w:t>
      </w:r>
      <m:oMath>
        <m:r>
          <m:t>p</m:t>
        </m:r>
      </m:oMath>
      <w:r>
        <w:t xml:space="preserve"> </w:t>
      </w:r>
      <w:r>
        <w:t xml:space="preserve">(periodos)</w:t>
      </w:r>
    </w:p>
    <w:p>
      <w:pPr>
        <w:pStyle w:val="Compact"/>
        <w:numPr>
          <w:ilvl w:val="0"/>
          <w:numId w:val="1015"/>
        </w:numPr>
      </w:pPr>
      <m:oMath>
        <m:sSub>
          <m:e>
            <m:r>
              <m:t>π</m:t>
            </m:r>
          </m:e>
          <m:sub>
            <m:r>
              <m:t>ω</m:t>
            </m:r>
          </m:sub>
        </m:sSub>
      </m:oMath>
      <w:r>
        <w:t xml:space="preserve">: Probabilidad del escenario</w:t>
      </w:r>
      <w:r>
        <w:t xml:space="preserve"> </w:t>
      </w:r>
      <m:oMath>
        <m:r>
          <m:t>ω</m:t>
        </m:r>
      </m:oMath>
    </w:p>
    <w:p>
      <w:pPr>
        <w:pStyle w:val="FirstParagraph"/>
      </w:pPr>
      <w:r>
        <w:rPr>
          <w:b/>
          <w:bCs/>
        </w:rPr>
        <w:t xml:space="preserve">Variables de Decisión:</w:t>
      </w:r>
    </w:p>
    <w:p>
      <w:pPr>
        <w:pStyle w:val="Compact"/>
        <w:numPr>
          <w:ilvl w:val="0"/>
          <w:numId w:val="1016"/>
        </w:numPr>
      </w:pPr>
      <m:oMath>
        <m:sSub>
          <m:e>
            <m:r>
              <m:t>y</m:t>
            </m:r>
          </m:e>
          <m:sub>
            <m:r>
              <m:t>t</m:t>
            </m:r>
          </m:sub>
        </m:sSub>
        <m:r>
          <m:rPr>
            <m:sty m:val="p"/>
          </m:rPr>
          <m:t>∈</m:t>
        </m:r>
        <m:r>
          <m:rPr>
            <m:sty m:val="p"/>
          </m:rPr>
          <m:t>{</m:t>
        </m:r>
        <m:r>
          <m:t>0</m:t>
        </m:r>
        <m:r>
          <m:rPr>
            <m:sty m:val="p"/>
          </m:rPr>
          <m:t>,</m:t>
        </m:r>
        <m:r>
          <m:t>1</m:t>
        </m:r>
        <m:r>
          <m:rPr>
            <m:sty m:val="p"/>
          </m:rPr>
          <m:t>}</m:t>
        </m:r>
      </m:oMath>
      <w:r>
        <w:t xml:space="preserve">: Variable binaria de activación (</w:t>
      </w:r>
      <w:r>
        <w:rPr>
          <w:i/>
          <w:iCs/>
        </w:rPr>
        <w:t xml:space="preserve">setup</w:t>
      </w:r>
      <w:r>
        <w:t xml:space="preserve">) de la línea en</w:t>
      </w:r>
      <w:r>
        <w:t xml:space="preserve"> </w:t>
      </w:r>
      <m:oMath>
        <m:r>
          <m:t>t</m:t>
        </m:r>
      </m:oMath>
      <w:r>
        <w:t xml:space="preserve"> </w:t>
      </w:r>
      <w:r>
        <w:t xml:space="preserve">(primera etapa)</w:t>
      </w:r>
    </w:p>
    <w:p>
      <w:pPr>
        <w:pStyle w:val="Compact"/>
        <w:numPr>
          <w:ilvl w:val="0"/>
          <w:numId w:val="1016"/>
        </w:numPr>
      </w:pPr>
      <m:oMath>
        <m:sSub>
          <m:e>
            <m:r>
              <m:t>q</m:t>
            </m:r>
          </m:e>
          <m:sub>
            <m:r>
              <m:t>t</m:t>
            </m:r>
          </m:sub>
        </m:sSub>
        <m:r>
          <m:rPr>
            <m:sty m:val="p"/>
          </m:rPr>
          <m:t>∈</m:t>
        </m:r>
        <m:sSup>
          <m:e>
            <m:r>
              <m:rPr>
                <m:scr m:val="double-struck"/>
                <m:sty m:val="p"/>
              </m:rPr>
              <m:t>Z</m:t>
            </m:r>
          </m:e>
          <m:sup>
            <m:r>
              <m:rPr>
                <m:sty m:val="p"/>
              </m:rPr>
              <m:t>+</m:t>
            </m:r>
          </m:sup>
        </m:sSup>
      </m:oMath>
      <w:r>
        <w:t xml:space="preserve">: Número de carcasas a procesar en</w:t>
      </w:r>
      <w:r>
        <w:t xml:space="preserve"> </w:t>
      </w:r>
      <m:oMath>
        <m:r>
          <m:t>t</m:t>
        </m:r>
      </m:oMath>
      <w:r>
        <w:t xml:space="preserve"> </w:t>
      </w:r>
      <w:r>
        <w:t xml:space="preserve">(primera etapa)</w:t>
      </w:r>
    </w:p>
    <w:p>
      <w:pPr>
        <w:pStyle w:val="Compact"/>
        <w:numPr>
          <w:ilvl w:val="0"/>
          <w:numId w:val="1016"/>
        </w:numPr>
      </w:pPr>
      <m:oMath>
        <m:sSub>
          <m:e>
            <m:r>
              <m:t>v</m:t>
            </m:r>
          </m:e>
          <m:sub>
            <m:r>
              <m:t>p</m:t>
            </m:r>
            <m:r>
              <m:t>t</m:t>
            </m:r>
            <m:r>
              <m:t>ω</m:t>
            </m:r>
          </m:sub>
        </m:sSub>
      </m:oMath>
      <w:r>
        <w:t xml:space="preserve">: Cantidad vendida del coproducto</w:t>
      </w:r>
      <w:r>
        <w:t xml:space="preserve"> </w:t>
      </w:r>
      <m:oMath>
        <m:r>
          <m:t>p</m:t>
        </m:r>
      </m:oMath>
      <w:r>
        <w:t xml:space="preserve"> </w:t>
      </w:r>
      <w:r>
        <w:t xml:space="preserve">en</w:t>
      </w:r>
      <w:r>
        <w:t xml:space="preserve"> </w:t>
      </w:r>
      <m:oMath>
        <m:r>
          <m:t>t</m:t>
        </m:r>
      </m:oMath>
      <w:r>
        <w:t xml:space="preserve">, escenario</w:t>
      </w:r>
      <w:r>
        <w:t xml:space="preserve"> </w:t>
      </w:r>
      <m:oMath>
        <m:r>
          <m:t>ω</m:t>
        </m:r>
      </m:oMath>
      <w:r>
        <w:t xml:space="preserve"> </w:t>
      </w:r>
      <w:r>
        <w:t xml:space="preserve">(segunda etapa)</w:t>
      </w:r>
    </w:p>
    <w:p>
      <w:pPr>
        <w:pStyle w:val="Compact"/>
        <w:numPr>
          <w:ilvl w:val="0"/>
          <w:numId w:val="1016"/>
        </w:numPr>
      </w:pPr>
      <m:oMath>
        <m:sSub>
          <m:e>
            <m:r>
              <m:t>I</m:t>
            </m:r>
          </m:e>
          <m:sub>
            <m:r>
              <m:t>p</m:t>
            </m:r>
            <m:r>
              <m:t>t</m:t>
            </m:r>
            <m:r>
              <m:t>ω</m:t>
            </m:r>
          </m:sub>
        </m:sSub>
      </m:oMath>
      <w:r>
        <w:t xml:space="preserve">: Inventario del coproducto</w:t>
      </w:r>
      <w:r>
        <w:t xml:space="preserve"> </w:t>
      </w:r>
      <m:oMath>
        <m:r>
          <m:t>p</m:t>
        </m:r>
      </m:oMath>
      <w:r>
        <w:t xml:space="preserve"> </w:t>
      </w:r>
      <w:r>
        <w:t xml:space="preserve">al final de</w:t>
      </w:r>
      <w:r>
        <w:t xml:space="preserve"> </w:t>
      </w:r>
      <m:oMath>
        <m:r>
          <m:t>t</m:t>
        </m:r>
      </m:oMath>
      <w:r>
        <w:t xml:space="preserve">, escenario</w:t>
      </w:r>
      <w:r>
        <w:t xml:space="preserve"> </w:t>
      </w:r>
      <m:oMath>
        <m:r>
          <m:t>ω</m:t>
        </m:r>
      </m:oMath>
    </w:p>
    <w:p>
      <w:pPr>
        <w:pStyle w:val="Compact"/>
        <w:numPr>
          <w:ilvl w:val="0"/>
          <w:numId w:val="1016"/>
        </w:numPr>
      </w:pPr>
      <m:oMath>
        <m:sSub>
          <m:e>
            <m:r>
              <m:t>u</m:t>
            </m:r>
          </m:e>
          <m:sub>
            <m:r>
              <m:t>p</m:t>
            </m:r>
            <m:r>
              <m:t>t</m:t>
            </m:r>
            <m:r>
              <m:t>ω</m:t>
            </m:r>
          </m:sub>
        </m:sSub>
      </m:oMath>
      <w:r>
        <w:t xml:space="preserve">: Demanda no satisfecha del coproducto</w:t>
      </w:r>
      <w:r>
        <w:t xml:space="preserve"> </w:t>
      </w:r>
      <m:oMath>
        <m:r>
          <m:t>p</m:t>
        </m:r>
      </m:oMath>
      <w:r>
        <w:t xml:space="preserve"> </w:t>
      </w:r>
      <w:r>
        <w:t xml:space="preserve">en</w:t>
      </w:r>
      <w:r>
        <w:t xml:space="preserve"> </w:t>
      </w:r>
      <m:oMath>
        <m:r>
          <m:t>t</m:t>
        </m:r>
      </m:oMath>
      <w:r>
        <w:t xml:space="preserve">, escenario</w:t>
      </w:r>
      <w:r>
        <w:t xml:space="preserve"> </w:t>
      </w:r>
      <m:oMath>
        <m:r>
          <m:t>ω</m:t>
        </m:r>
      </m:oMath>
    </w:p>
    <w:p>
      <w:pPr>
        <w:pStyle w:val="FirstParagraph"/>
      </w:pPr>
      <w:r>
        <w:rPr>
          <w:b/>
          <w:bCs/>
          <w:i/>
          <w:iCs/>
        </w:rPr>
        <w:t xml:space="preserve">Tabla 4.</w:t>
      </w:r>
      <w:r>
        <w:rPr>
          <w:i/>
          <w:iCs/>
        </w:rPr>
        <w:t xml:space="preserve"> </w:t>
      </w:r>
      <w:r>
        <w:rPr>
          <w:i/>
          <w:iCs/>
        </w:rPr>
        <w:t xml:space="preserve">Conteo de variables y restricciones por tamaño de instancia</w:t>
      </w:r>
    </w:p>
    <w:tbl>
      <w:tblPr>
        <w:tblStyle w:val="Table"/>
        <w:tblW w:type="pct" w:w="5000"/>
        <w:tblLayout w:type="fixed"/>
        <w:tblLook w:firstRow="1" w:lastRow="0" w:firstColumn="0" w:lastColumn="0" w:noHBand="0" w:noVBand="0" w:val="0020"/>
      </w:tblPr>
      <w:tblGrid>
        <w:gridCol w:w="597"/>
        <w:gridCol w:w="523"/>
        <w:gridCol w:w="523"/>
        <w:gridCol w:w="896"/>
        <w:gridCol w:w="1494"/>
        <w:gridCol w:w="1494"/>
        <w:gridCol w:w="1270"/>
        <w:gridCol w:w="1120"/>
      </w:tblGrid>
      <w:tr>
        <w:trPr>
          <w:tblHeader w:val="on"/>
        </w:trPr>
        <w:tc>
          <w:tcPr/>
          <w:p>
            <w:pPr>
              <w:pStyle w:val="Compact"/>
            </w:pPr>
            <w:r>
              <w:t xml:space="preserve">Perfil</w:t>
            </w:r>
          </w:p>
        </w:tc>
        <w:tc>
          <w:tcPr/>
          <w:p>
            <w:pPr>
              <w:pStyle w:val="Compact"/>
              <w:jc w:val="center"/>
            </w:pPr>
            <m:oMath>
              <m:sSub>
                <m:e>
                  <m:r>
                    <m:t>n</m:t>
                  </m:r>
                </m:e>
                <m:sub>
                  <m:r>
                    <m:t>p</m:t>
                  </m:r>
                </m:sub>
              </m:sSub>
            </m:oMath>
          </w:p>
        </w:tc>
        <w:tc>
          <w:tcPr/>
          <w:p>
            <w:pPr>
              <w:pStyle w:val="Compact"/>
              <w:jc w:val="center"/>
            </w:pPr>
            <m:oMath>
              <m:sSub>
                <m:e>
                  <m:r>
                    <m:t>n</m:t>
                  </m:r>
                </m:e>
                <m:sub>
                  <m:r>
                    <m:t>t</m:t>
                  </m:r>
                </m:sub>
              </m:sSub>
            </m:oMath>
          </w:p>
        </w:tc>
        <w:tc>
          <w:tcPr/>
          <w:p>
            <w:pPr>
              <w:pStyle w:val="Compact"/>
              <w:jc w:val="center"/>
            </w:pPr>
            <m:oMath>
              <m:sSub>
                <m:e>
                  <m:r>
                    <m:t>n</m:t>
                  </m:r>
                </m:e>
                <m:sub>
                  <m:r>
                    <m:t>ω</m:t>
                  </m:r>
                </m:sub>
              </m:sSub>
            </m:oMath>
          </w:p>
        </w:tc>
        <w:tc>
          <w:tcPr/>
          <w:p>
            <w:pPr>
              <w:pStyle w:val="Compact"/>
              <w:jc w:val="center"/>
            </w:pPr>
            <w:r>
              <w:t xml:space="preserve">Variables 1ª etapa</w:t>
            </w:r>
          </w:p>
        </w:tc>
        <w:tc>
          <w:tcPr/>
          <w:p>
            <w:pPr>
              <w:pStyle w:val="Compact"/>
              <w:jc w:val="center"/>
            </w:pPr>
            <w:r>
              <w:t xml:space="preserve">Variables 2ª etapa</w:t>
            </w:r>
          </w:p>
        </w:tc>
        <w:tc>
          <w:tcPr/>
          <w:p>
            <w:pPr>
              <w:pStyle w:val="Compact"/>
              <w:jc w:val="center"/>
            </w:pPr>
            <w:r>
              <w:t xml:space="preserve">Total variables</w:t>
            </w:r>
          </w:p>
        </w:tc>
        <w:tc>
          <w:tcPr/>
          <w:p>
            <w:pPr>
              <w:pStyle w:val="Compact"/>
              <w:jc w:val="center"/>
            </w:pPr>
            <w:r>
              <w:t xml:space="preserve">Restricciones</w:t>
            </w:r>
          </w:p>
        </w:tc>
      </w:tr>
      <w:tr>
        <w:tc>
          <w:tcPr/>
          <w:p>
            <w:pPr>
              <w:pStyle w:val="Compact"/>
            </w:pPr>
            <w:r>
              <w:t xml:space="preserve">Small</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12</w:t>
            </w:r>
          </w:p>
        </w:tc>
        <w:tc>
          <w:tcPr/>
          <w:p>
            <w:pPr>
              <w:pStyle w:val="Compact"/>
              <w:jc w:val="center"/>
            </w:pPr>
            <w:r>
              <w:t xml:space="preserve">900</w:t>
            </w:r>
          </w:p>
        </w:tc>
        <w:tc>
          <w:tcPr/>
          <w:p>
            <w:pPr>
              <w:pStyle w:val="Compact"/>
              <w:jc w:val="center"/>
            </w:pPr>
            <w:r>
              <w:t xml:space="preserve">912</w:t>
            </w:r>
          </w:p>
        </w:tc>
        <w:tc>
          <w:tcPr/>
          <w:p>
            <w:pPr>
              <w:pStyle w:val="Compact"/>
              <w:jc w:val="center"/>
            </w:pPr>
            <w:r>
              <w:t xml:space="preserve">~1,080</w:t>
            </w:r>
          </w:p>
        </w:tc>
      </w:tr>
      <w:tr>
        <w:tc>
          <w:tcPr/>
          <w:p>
            <w:pPr>
              <w:pStyle w:val="Compact"/>
            </w:pPr>
            <w:r>
              <w:t xml:space="preserve">Medium</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50</w:t>
            </w:r>
          </w:p>
        </w:tc>
        <w:tc>
          <w:tcPr/>
          <w:p>
            <w:pPr>
              <w:pStyle w:val="Compact"/>
              <w:jc w:val="center"/>
            </w:pPr>
            <w:r>
              <w:t xml:space="preserve">24</w:t>
            </w:r>
          </w:p>
        </w:tc>
        <w:tc>
          <w:tcPr/>
          <w:p>
            <w:pPr>
              <w:pStyle w:val="Compact"/>
              <w:jc w:val="center"/>
            </w:pPr>
            <w:r>
              <w:t xml:space="preserve">14,400</w:t>
            </w:r>
          </w:p>
        </w:tc>
        <w:tc>
          <w:tcPr/>
          <w:p>
            <w:pPr>
              <w:pStyle w:val="Compact"/>
              <w:jc w:val="center"/>
            </w:pPr>
            <w:r>
              <w:t xml:space="preserve">14,424</w:t>
            </w:r>
          </w:p>
        </w:tc>
        <w:tc>
          <w:tcPr/>
          <w:p>
            <w:pPr>
              <w:pStyle w:val="Compact"/>
              <w:jc w:val="center"/>
            </w:pPr>
            <w:r>
              <w:t xml:space="preserve">~16,800</w:t>
            </w:r>
          </w:p>
        </w:tc>
      </w:tr>
      <w:tr>
        <w:tc>
          <w:tcPr/>
          <w:p>
            <w:pPr>
              <w:pStyle w:val="Compact"/>
            </w:pPr>
            <w:r>
              <w:t xml:space="preserve">Large</w:t>
            </w:r>
          </w:p>
        </w:tc>
        <w:tc>
          <w:tcPr/>
          <w:p>
            <w:pPr>
              <w:pStyle w:val="Compact"/>
              <w:jc w:val="center"/>
            </w:pPr>
            <w:r>
              <w:t xml:space="preserve">8</w:t>
            </w:r>
          </w:p>
        </w:tc>
        <w:tc>
          <w:tcPr/>
          <w:p>
            <w:pPr>
              <w:pStyle w:val="Compact"/>
              <w:jc w:val="center"/>
            </w:pPr>
            <w:r>
              <w:t xml:space="preserve">30</w:t>
            </w:r>
          </w:p>
        </w:tc>
        <w:tc>
          <w:tcPr/>
          <w:p>
            <w:pPr>
              <w:pStyle w:val="Compact"/>
              <w:jc w:val="center"/>
            </w:pPr>
            <w:r>
              <w:t xml:space="preserve">100</w:t>
            </w:r>
          </w:p>
        </w:tc>
        <w:tc>
          <w:tcPr/>
          <w:p>
            <w:pPr>
              <w:pStyle w:val="Compact"/>
              <w:jc w:val="center"/>
            </w:pPr>
            <w:r>
              <w:t xml:space="preserve">60</w:t>
            </w:r>
          </w:p>
        </w:tc>
        <w:tc>
          <w:tcPr/>
          <w:p>
            <w:pPr>
              <w:pStyle w:val="Compact"/>
              <w:jc w:val="center"/>
            </w:pPr>
            <w:r>
              <w:t xml:space="preserve">72,000</w:t>
            </w:r>
          </w:p>
        </w:tc>
        <w:tc>
          <w:tcPr/>
          <w:p>
            <w:pPr>
              <w:pStyle w:val="Compact"/>
              <w:jc w:val="center"/>
            </w:pPr>
            <w:r>
              <w:t xml:space="preserve">72,060</w:t>
            </w:r>
          </w:p>
        </w:tc>
        <w:tc>
          <w:tcPr/>
          <w:p>
            <w:pPr>
              <w:pStyle w:val="Compact"/>
              <w:jc w:val="center"/>
            </w:pPr>
            <w:r>
              <w:t xml:space="preserve">~84,000</w:t>
            </w:r>
          </w:p>
        </w:tc>
      </w:tr>
    </w:tbl>
    <w:bookmarkEnd w:id="42"/>
    <w:bookmarkStart w:id="43" w:name="función-objetivo"/>
    <w:p>
      <w:pPr>
        <w:pStyle w:val="Heading3"/>
      </w:pPr>
      <w:r>
        <w:t xml:space="preserve">5.2. Función Objetivo</w:t>
      </w:r>
    </w:p>
    <w:p>
      <w:pPr>
        <w:pStyle w:val="FirstParagraph"/>
      </w:pPr>
      <w:r>
        <w:t xml:space="preserve">La función objetivo maximiza el</w:t>
      </w:r>
      <w:r>
        <w:t xml:space="preserve"> </w:t>
      </w:r>
      <w:r>
        <w:rPr>
          <w:b/>
          <w:bCs/>
        </w:rPr>
        <w:t xml:space="preserve">beneficio esperado</w:t>
      </w:r>
      <w:r>
        <w:t xml:space="preserve"> </w:t>
      </w:r>
      <w:r>
        <w:t xml:space="preserve">sobre todos los escenarios de demanda:</w:t>
      </w:r>
    </w:p>
    <w:p>
      <w:pPr>
        <w:pStyle w:val="BodyText"/>
      </w:pPr>
    </w:p>
    <w:p>
      <w:pPr>
        <w:pStyle w:val="BodyText"/>
      </w:pPr>
      <w:r>
        <w:t xml:space="preserve">Los cinco componentes de la función objetivo son:</w:t>
      </w:r>
    </w:p>
    <w:p>
      <w:pPr>
        <w:pStyle w:val="Compact"/>
        <w:numPr>
          <w:ilvl w:val="0"/>
          <w:numId w:val="1017"/>
        </w:numPr>
      </w:pPr>
      <w:r>
        <w:rPr>
          <w:b/>
          <w:bCs/>
        </w:rPr>
        <w:t xml:space="preserve">Ingresos por ventas:</w:t>
      </w:r>
      <w:r>
        <w:t xml:space="preserve"> </w:t>
      </w:r>
      <m:oMath>
        <m:nary>
          <m:naryPr>
            <m:chr m:val="∑"/>
            <m:limLoc m:val="undOvr"/>
            <m:subHide m:val="off"/>
            <m:supHide m:val="on"/>
          </m:naryPr>
          <m:sub>
            <m:r>
              <m:t>p</m:t>
            </m:r>
          </m:sub>
          <m:sup>
            <m:r>
              <m:t>​</m:t>
            </m:r>
          </m:sup>
          <m:e>
            <m:sSub>
              <m:e>
                <m:r>
                  <m:t>r</m:t>
                </m:r>
              </m:e>
              <m:sub>
                <m:r>
                  <m:t>p</m:t>
                </m:r>
              </m:sub>
            </m:sSub>
          </m:e>
        </m:nary>
        <m:r>
          <m:rPr>
            <m:sty m:val="p"/>
          </m:rPr>
          <m:t>⋅</m:t>
        </m:r>
        <m:sSub>
          <m:e>
            <m:r>
              <m:t>v</m:t>
            </m:r>
          </m:e>
          <m:sub>
            <m:r>
              <m:t>p</m:t>
            </m:r>
            <m:r>
              <m:t>t</m:t>
            </m:r>
            <m:r>
              <m:t>ω</m:t>
            </m:r>
          </m:sub>
        </m:sSub>
      </m:oMath>
      <w:r>
        <w:t xml:space="preserve"> </w:t>
      </w:r>
      <w:r>
        <w:t xml:space="preserve">— maximiza la venta de coproductos a precios de mercado.</w:t>
      </w:r>
    </w:p>
    <w:p>
      <w:pPr>
        <w:pStyle w:val="Compact"/>
        <w:numPr>
          <w:ilvl w:val="0"/>
          <w:numId w:val="1017"/>
        </w:numPr>
      </w:pPr>
      <w:r>
        <w:rPr>
          <w:b/>
          <w:bCs/>
        </w:rPr>
        <w:t xml:space="preserve">Costo de producción:</w:t>
      </w:r>
      <w:r>
        <w:t xml:space="preserve"> </w:t>
      </w:r>
      <m:oMath>
        <m:sSup>
          <m:e>
            <m:r>
              <m:t>c</m:t>
            </m:r>
          </m:e>
          <m:sup>
            <m:r>
              <m:t>p</m:t>
            </m:r>
            <m:r>
              <m:t>r</m:t>
            </m:r>
            <m:r>
              <m:t>o</m:t>
            </m:r>
            <m:r>
              <m:t>d</m:t>
            </m:r>
          </m:sup>
        </m:sSup>
        <m:r>
          <m:rPr>
            <m:sty m:val="p"/>
          </m:rPr>
          <m:t>⋅</m:t>
        </m:r>
        <m:sSub>
          <m:e>
            <m:r>
              <m:t>q</m:t>
            </m:r>
          </m:e>
          <m:sub>
            <m:r>
              <m:t>t</m:t>
            </m:r>
          </m:sub>
        </m:sSub>
      </m:oMath>
      <w:r>
        <w:t xml:space="preserve"> </w:t>
      </w:r>
      <w:r>
        <w:t xml:space="preserve">— costo variable proporcional al número de carcasas procesadas.</w:t>
      </w:r>
    </w:p>
    <w:p>
      <w:pPr>
        <w:pStyle w:val="Compact"/>
        <w:numPr>
          <w:ilvl w:val="0"/>
          <w:numId w:val="1017"/>
        </w:numPr>
      </w:pPr>
      <w:r>
        <w:rPr>
          <w:b/>
          <w:bCs/>
        </w:rPr>
        <w:t xml:space="preserve">Costo de setup:</w:t>
      </w:r>
      <w:r>
        <w:t xml:space="preserve"> </w:t>
      </w:r>
      <m:oMath>
        <m:r>
          <m:t>F</m:t>
        </m:r>
        <m:r>
          <m:rPr>
            <m:sty m:val="p"/>
          </m:rPr>
          <m:t>⋅</m:t>
        </m:r>
        <m:sSub>
          <m:e>
            <m:r>
              <m:t>y</m:t>
            </m:r>
          </m:e>
          <m:sub>
            <m:r>
              <m:t>t</m:t>
            </m:r>
          </m:sub>
        </m:sSub>
      </m:oMath>
      <w:r>
        <w:t xml:space="preserve"> </w:t>
      </w:r>
      <w:r>
        <w:t xml:space="preserve">— costo fijo de activación de la línea (personal, energía, sanitización).</w:t>
      </w:r>
    </w:p>
    <w:p>
      <w:pPr>
        <w:pStyle w:val="Compact"/>
        <w:numPr>
          <w:ilvl w:val="0"/>
          <w:numId w:val="1017"/>
        </w:numPr>
      </w:pPr>
      <w:r>
        <w:rPr>
          <w:b/>
          <w:bCs/>
        </w:rPr>
        <w:t xml:space="preserve">Costo de inventario:</w:t>
      </w:r>
      <w:r>
        <w:t xml:space="preserve"> </w:t>
      </w:r>
      <m:oMath>
        <m:nary>
          <m:naryPr>
            <m:chr m:val="∑"/>
            <m:limLoc m:val="undOvr"/>
            <m:subHide m:val="off"/>
            <m:supHide m:val="on"/>
          </m:naryPr>
          <m:sub>
            <m:r>
              <m:t>p</m:t>
            </m:r>
          </m:sub>
          <m:sup>
            <m:r>
              <m:t>​</m:t>
            </m:r>
          </m:sup>
          <m:e>
            <m:sSubSup>
              <m:e>
                <m:r>
                  <m:t>c</m:t>
                </m:r>
              </m:e>
              <m:sub>
                <m:r>
                  <m:t>p</m:t>
                </m:r>
              </m:sub>
              <m:sup>
                <m:r>
                  <m:t>i</m:t>
                </m:r>
                <m:r>
                  <m:t>n</m:t>
                </m:r>
                <m:r>
                  <m:t>v</m:t>
                </m:r>
              </m:sup>
            </m:sSubSup>
          </m:e>
        </m:nary>
        <m:r>
          <m:rPr>
            <m:sty m:val="p"/>
          </m:rPr>
          <m:t>⋅</m:t>
        </m:r>
        <m:sSub>
          <m:e>
            <m:r>
              <m:t>I</m:t>
            </m:r>
          </m:e>
          <m:sub>
            <m:r>
              <m:t>p</m:t>
            </m:r>
            <m:r>
              <m:t>t</m:t>
            </m:r>
            <m:r>
              <m:t>ω</m:t>
            </m:r>
          </m:sub>
        </m:sSub>
      </m:oMath>
      <w:r>
        <w:t xml:space="preserve"> </w:t>
      </w:r>
      <w:r>
        <w:t xml:space="preserve">— penaliza la acumulación de inventario (refrigeración).</w:t>
      </w:r>
    </w:p>
    <w:p>
      <w:pPr>
        <w:pStyle w:val="Compact"/>
        <w:numPr>
          <w:ilvl w:val="0"/>
          <w:numId w:val="1017"/>
        </w:numPr>
      </w:pPr>
      <w:r>
        <w:rPr>
          <w:b/>
          <w:bCs/>
        </w:rPr>
        <w:t xml:space="preserve">Penalización por demanda insatisfecha:</w:t>
      </w:r>
      <w:r>
        <w:t xml:space="preserve"> </w:t>
      </w:r>
      <m:oMath>
        <m:nary>
          <m:naryPr>
            <m:chr m:val="∑"/>
            <m:limLoc m:val="undOvr"/>
            <m:subHide m:val="off"/>
            <m:supHide m:val="on"/>
          </m:naryPr>
          <m:sub>
            <m:r>
              <m:t>p</m:t>
            </m:r>
          </m:sub>
          <m:sup>
            <m:r>
              <m:t>​</m:t>
            </m:r>
          </m:sup>
          <m:e>
            <m:sSubSup>
              <m:e>
                <m:r>
                  <m:t>c</m:t>
                </m:r>
              </m:e>
              <m:sub>
                <m:r>
                  <m:t>p</m:t>
                </m:r>
              </m:sub>
              <m:sup>
                <m:r>
                  <m:t>p</m:t>
                </m:r>
                <m:r>
                  <m:t>e</m:t>
                </m:r>
                <m:r>
                  <m:t>n</m:t>
                </m:r>
              </m:sup>
            </m:sSubSup>
          </m:e>
        </m:nary>
        <m:r>
          <m:rPr>
            <m:sty m:val="p"/>
          </m:rPr>
          <m:t>⋅</m:t>
        </m:r>
        <m:sSub>
          <m:e>
            <m:r>
              <m:t>u</m:t>
            </m:r>
          </m:e>
          <m:sub>
            <m:r>
              <m:t>p</m:t>
            </m:r>
            <m:r>
              <m:t>t</m:t>
            </m:r>
            <m:r>
              <m:t>ω</m:t>
            </m:r>
          </m:sub>
        </m:sSub>
      </m:oMath>
      <w:r>
        <w:t xml:space="preserve"> </w:t>
      </w:r>
      <w:r>
        <w:t xml:space="preserve">— penaliza las oportunidades de venta perdidas.</w:t>
      </w:r>
    </w:p>
    <w:bookmarkEnd w:id="43"/>
    <w:bookmarkStart w:id="44" w:name="restricciones"/>
    <w:p>
      <w:pPr>
        <w:pStyle w:val="Heading3"/>
      </w:pPr>
      <w:r>
        <w:t xml:space="preserve">5.3. Restricciones</w:t>
      </w:r>
    </w:p>
    <w:p>
      <w:pPr>
        <w:pStyle w:val="FirstParagraph"/>
      </w:pPr>
      <w:r>
        <w:rPr>
          <w:b/>
          <w:bCs/>
        </w:rPr>
        <w:t xml:space="preserve">Restricción 1 — Balance de materiales (co-producción):</w:t>
      </w:r>
      <w:r>
        <w:t xml:space="preserve"> </w:t>
      </w:r>
    </w:p>
    <w:p>
      <w:pPr>
        <w:pStyle w:val="BodyText"/>
      </w:pPr>
      <w:r>
        <w:t xml:space="preserve">El inventario al final de cada periodo resulta del inventario anterior más la producción (proporcional a las carcasas procesadas) menos las ventas realizadas.</w:t>
      </w:r>
    </w:p>
    <w:p>
      <w:pPr>
        <w:pStyle w:val="BodyText"/>
      </w:pPr>
      <w:r>
        <w:rPr>
          <w:b/>
          <w:bCs/>
        </w:rPr>
        <w:t xml:space="preserve">Restricción 2 — Satisfacción de demanda:</w:t>
      </w:r>
      <w:r>
        <w:t xml:space="preserve"> </w:t>
      </w:r>
    </w:p>
    <w:p>
      <w:pPr>
        <w:pStyle w:val="BodyText"/>
      </w:pPr>
      <w:r>
        <w:t xml:space="preserve">La demanda de cada coproducto se satisface parcial o totalmente. La diferencia entre demanda y ventas constituye la demanda insatisfecha.</w:t>
      </w:r>
    </w:p>
    <w:p>
      <w:pPr>
        <w:pStyle w:val="BodyText"/>
      </w:pPr>
      <w:r>
        <w:rPr>
          <w:b/>
          <w:bCs/>
        </w:rPr>
        <w:t xml:space="preserve">Restricción 3 — Vínculo de activación (capacidad máxima):</w:t>
      </w:r>
      <w:r>
        <w:t xml:space="preserve"> </w:t>
      </w:r>
    </w:p>
    <w:p>
      <w:pPr>
        <w:pStyle w:val="BodyText"/>
      </w:pPr>
      <w:r>
        <w:t xml:space="preserve">Si la línea no está activa (</w:t>
      </w:r>
      <m:oMath>
        <m:sSub>
          <m:e>
            <m:r>
              <m:t>y</m:t>
            </m:r>
          </m:e>
          <m:sub>
            <m:r>
              <m:t>t</m:t>
            </m:r>
          </m:sub>
        </m:sSub>
        <m:r>
          <m:rPr>
            <m:sty m:val="p"/>
          </m:rPr>
          <m:t>=</m:t>
        </m:r>
        <m:r>
          <m:t>0</m:t>
        </m:r>
      </m:oMath>
      <w:r>
        <w:t xml:space="preserve">), no se procesa ninguna carcasa.</w:t>
      </w:r>
    </w:p>
    <w:p>
      <w:pPr>
        <w:pStyle w:val="BodyText"/>
      </w:pPr>
      <w:r>
        <w:rPr>
          <w:b/>
          <w:bCs/>
        </w:rPr>
        <w:t xml:space="preserve">Restricción 4 — Lote mínimo de procesamiento:</w:t>
      </w:r>
      <w:r>
        <w:t xml:space="preserve"> </w:t>
      </w:r>
    </w:p>
    <w:p>
      <w:pPr>
        <w:pStyle w:val="BodyText"/>
      </w:pPr>
      <w:r>
        <w:t xml:space="preserve">Si la línea está activa (</w:t>
      </w:r>
      <m:oMath>
        <m:sSub>
          <m:e>
            <m:r>
              <m:t>y</m:t>
            </m:r>
          </m:e>
          <m:sub>
            <m:r>
              <m:t>t</m:t>
            </m:r>
          </m:sub>
        </m:sSub>
        <m:r>
          <m:rPr>
            <m:sty m:val="p"/>
          </m:rPr>
          <m:t>=</m:t>
        </m:r>
        <m:r>
          <m:t>1</m:t>
        </m:r>
      </m:oMath>
      <w:r>
        <w:t xml:space="preserve">), se procesa al menos el lote mínimo operativamente viable.</w:t>
      </w:r>
    </w:p>
    <w:p>
      <w:pPr>
        <w:pStyle w:val="BodyText"/>
      </w:pPr>
      <w:r>
        <w:rPr>
          <w:b/>
          <w:bCs/>
        </w:rPr>
        <w:t xml:space="preserve">Restricción 5 — Ventas limitadas por disponibilidad:</w:t>
      </w:r>
      <w:r>
        <w:t xml:space="preserve"> </w:t>
      </w:r>
    </w:p>
    <w:p>
      <w:pPr>
        <w:pStyle w:val="BodyText"/>
      </w:pPr>
      <w:r>
        <w:t xml:space="preserve">No se puede vender más de lo disponible (inventario anterior + producción del periodo).</w:t>
      </w:r>
    </w:p>
    <w:p>
      <w:pPr>
        <w:pStyle w:val="BodyText"/>
      </w:pPr>
      <w:r>
        <w:rPr>
          <w:b/>
          <w:bCs/>
        </w:rPr>
        <w:t xml:space="preserve">Restricción 6 — Perecibilidad (vida útil):</w:t>
      </w:r>
      <w:r>
        <w:t xml:space="preserve"> </w:t>
      </w:r>
    </w:p>
    <w:p>
      <w:pPr>
        <w:pStyle w:val="BodyText"/>
      </w:pPr>
      <w:r>
        <w:t xml:space="preserve">El inventario se descarta cuando excede la vida útil del producto</w:t>
      </w:r>
      <w:r>
        <w:t xml:space="preserve"> </w:t>
      </w:r>
      <w:r>
        <w:t xml:space="preserve">[18]</w:t>
      </w:r>
      <w:r>
        <w:t xml:space="preserve">.</w:t>
      </w:r>
    </w:p>
    <w:p>
      <w:pPr>
        <w:pStyle w:val="BodyText"/>
      </w:pPr>
      <w:r>
        <w:rPr>
          <w:b/>
          <w:bCs/>
        </w:rPr>
        <w:t xml:space="preserve">Restricción 7 — Dominio de variables:</w:t>
      </w:r>
      <w:r>
        <w:t xml:space="preserve"> </w:t>
      </w:r>
    </w:p>
    <w:bookmarkEnd w:id="44"/>
    <w:bookmarkStart w:id="45" w:name="Xd5ada625bf8af2b0c6d4e9dfec32c45a68df5b4"/>
    <w:p>
      <w:pPr>
        <w:pStyle w:val="Heading3"/>
      </w:pPr>
      <w:r>
        <w:t xml:space="preserve">5.4. Estructura de Programación Estocástica de Dos Etapas</w:t>
      </w:r>
    </w:p>
    <w:p>
      <w:pPr>
        <w:pStyle w:val="FirstParagraph"/>
      </w:pPr>
      <w:r>
        <w:t xml:space="preserve">El modelo sigue la estructura clásica de programación estocástica de dos etapas</w:t>
      </w:r>
      <w:r>
        <w:t xml:space="preserve"> </w:t>
      </w:r>
      <w:r>
        <w:t xml:space="preserve">[23]</w:t>
      </w:r>
      <w:r>
        <w:t xml:space="preserve">:</w:t>
      </w:r>
    </w:p>
    <w:p>
      <w:pPr>
        <w:pStyle w:val="Compact"/>
        <w:numPr>
          <w:ilvl w:val="0"/>
          <w:numId w:val="1018"/>
        </w:numPr>
      </w:pPr>
      <w:r>
        <w:rPr>
          <w:b/>
          <w:bCs/>
        </w:rPr>
        <w:t xml:space="preserve">Primera etapa (</w:t>
      </w:r>
      <w:r>
        <w:rPr>
          <w:b/>
          <w:bCs/>
          <w:i/>
          <w:iCs/>
        </w:rPr>
        <w:t xml:space="preserve">here-and-now</w:t>
      </w:r>
      <w:r>
        <w:rPr>
          <w:b/>
          <w:bCs/>
        </w:rPr>
        <w:t xml:space="preserve">):</w:t>
      </w:r>
      <w:r>
        <w:t xml:space="preserve"> </w:t>
      </w:r>
      <w:r>
        <w:t xml:space="preserve">Las decisiones de setup</w:t>
      </w:r>
      <w:r>
        <w:t xml:space="preserve"> </w:t>
      </w:r>
      <m:oMath>
        <m:sSub>
          <m:e>
            <m:r>
              <m:t>y</m:t>
            </m:r>
          </m:e>
          <m:sub>
            <m:r>
              <m:t>t</m:t>
            </m:r>
          </m:sub>
        </m:sSub>
      </m:oMath>
      <w:r>
        <w:t xml:space="preserve"> </w:t>
      </w:r>
      <w:r>
        <w:t xml:space="preserve">y producción</w:t>
      </w:r>
      <w:r>
        <w:t xml:space="preserve"> </w:t>
      </w:r>
      <m:oMath>
        <m:sSub>
          <m:e>
            <m:r>
              <m:t>q</m:t>
            </m:r>
          </m:e>
          <m:sub>
            <m:r>
              <m:t>t</m:t>
            </m:r>
          </m:sub>
        </m:sSub>
      </m:oMath>
      <w:r>
        <w:t xml:space="preserve"> </w:t>
      </w:r>
      <w:r>
        <w:t xml:space="preserve">se toman</w:t>
      </w:r>
      <w:r>
        <w:t xml:space="preserve"> </w:t>
      </w:r>
      <w:r>
        <w:rPr>
          <w:b/>
          <w:bCs/>
        </w:rPr>
        <w:t xml:space="preserve">antes</w:t>
      </w:r>
      <w:r>
        <w:t xml:space="preserve"> </w:t>
      </w:r>
      <w:r>
        <w:t xml:space="preserve">de conocer la demanda real. Estas son las variables que las metaheurísticas optimizan directamente.</w:t>
      </w:r>
    </w:p>
    <w:p>
      <w:pPr>
        <w:pStyle w:val="Compact"/>
        <w:numPr>
          <w:ilvl w:val="0"/>
          <w:numId w:val="1018"/>
        </w:numPr>
      </w:pPr>
      <w:r>
        <w:rPr>
          <w:b/>
          <w:bCs/>
        </w:rPr>
        <w:t xml:space="preserve">Segunda etapa (</w:t>
      </w:r>
      <w:r>
        <w:rPr>
          <w:b/>
          <w:bCs/>
          <w:i/>
          <w:iCs/>
        </w:rPr>
        <w:t xml:space="preserve">wait-and-see</w:t>
      </w:r>
      <w:r>
        <w:rPr>
          <w:b/>
          <w:bCs/>
        </w:rPr>
        <w:t xml:space="preserve">):</w:t>
      </w:r>
      <w:r>
        <w:t xml:space="preserve"> </w:t>
      </w:r>
      <w:r>
        <w:t xml:space="preserve">Las decisiones de venta</w:t>
      </w:r>
      <w:r>
        <w:t xml:space="preserve"> </w:t>
      </w:r>
      <m:oMath>
        <m:sSub>
          <m:e>
            <m:r>
              <m:t>v</m:t>
            </m:r>
          </m:e>
          <m:sub>
            <m:r>
              <m:t>p</m:t>
            </m:r>
            <m:r>
              <m:t>t</m:t>
            </m:r>
            <m:r>
              <m:t>ω</m:t>
            </m:r>
          </m:sub>
        </m:sSub>
      </m:oMath>
      <w:r>
        <w:t xml:space="preserve">, inventario</w:t>
      </w:r>
      <w:r>
        <w:t xml:space="preserve"> </w:t>
      </w:r>
      <m:oMath>
        <m:sSub>
          <m:e>
            <m:r>
              <m:t>I</m:t>
            </m:r>
          </m:e>
          <m:sub>
            <m:r>
              <m:t>p</m:t>
            </m:r>
            <m:r>
              <m:t>t</m:t>
            </m:r>
            <m:r>
              <m:t>ω</m:t>
            </m:r>
          </m:sub>
        </m:sSub>
      </m:oMath>
      <w:r>
        <w:t xml:space="preserve"> </w:t>
      </w:r>
      <w:r>
        <w:t xml:space="preserve">y demanda insatisfecha</w:t>
      </w:r>
      <w:r>
        <w:t xml:space="preserve"> </w:t>
      </w:r>
      <m:oMath>
        <m:sSub>
          <m:e>
            <m:r>
              <m:t>u</m:t>
            </m:r>
          </m:e>
          <m:sub>
            <m:r>
              <m:t>p</m:t>
            </m:r>
            <m:r>
              <m:t>t</m:t>
            </m:r>
            <m:r>
              <m:t>ω</m:t>
            </m:r>
          </m:sub>
        </m:sSub>
      </m:oMath>
      <w:r>
        <w:t xml:space="preserve"> </w:t>
      </w:r>
      <w:r>
        <w:t xml:space="preserve">se determinan</w:t>
      </w:r>
      <w:r>
        <w:t xml:space="preserve"> </w:t>
      </w:r>
      <w:r>
        <w:rPr>
          <w:b/>
          <w:bCs/>
        </w:rPr>
        <w:t xml:space="preserve">después</w:t>
      </w:r>
      <w:r>
        <w:t xml:space="preserve"> </w:t>
      </w:r>
      <w:r>
        <w:t xml:space="preserve">de observar cada escenario</w:t>
      </w:r>
      <w:r>
        <w:t xml:space="preserve"> </w:t>
      </w:r>
      <m:oMath>
        <m:r>
          <m:t>ω</m:t>
        </m:r>
      </m:oMath>
      <w:r>
        <w:t xml:space="preserve">. En la implementación, estas variables se calculan mediante un decodificador greedy determinista (§6.2).</w:t>
      </w:r>
    </w:p>
    <w:p>
      <w:pPr>
        <w:pStyle w:val="SourceCode"/>
      </w:pPr>
      <w:r>
        <w:rPr>
          <w:rStyle w:val="VerbatimChar"/>
        </w:rPr>
        <w:t xml:space="preserve">%%{init: {'theme': 'neutral'}}%%</w:t>
      </w:r>
      <w:r>
        <w:br/>
      </w:r>
      <w:r>
        <w:rPr>
          <w:rStyle w:val="VerbatimChar"/>
        </w:rPr>
        <w:t xml:space="preserve">flowchart TD</w:t>
      </w:r>
      <w:r>
        <w:br/>
      </w:r>
      <w:r>
        <w:rPr>
          <w:rStyle w:val="VerbatimChar"/>
        </w:rPr>
        <w:t xml:space="preserve">    A["Primera Etapa\n(here-and-now)"] --&gt; B["Decisiones:\ny_t (setup), q_t (lote)"]</w:t>
      </w:r>
      <w:r>
        <w:br/>
      </w:r>
      <w:r>
        <w:rPr>
          <w:rStyle w:val="VerbatimChar"/>
        </w:rPr>
        <w:t xml:space="preserve">    B --&gt; C{"Escenarios\nω = 1..n_ω"}</w:t>
      </w:r>
      <w:r>
        <w:br/>
      </w:r>
      <w:r>
        <w:rPr>
          <w:rStyle w:val="VerbatimChar"/>
        </w:rPr>
        <w:t xml:space="preserve">    C --&gt; D1["ω₁: d_pt1\n→ v, I, u"]</w:t>
      </w:r>
      <w:r>
        <w:br/>
      </w:r>
      <w:r>
        <w:rPr>
          <w:rStyle w:val="VerbatimChar"/>
        </w:rPr>
        <w:t xml:space="preserve">    C --&gt; D2["ω₂: d_pt2\n→ v, I, u"]</w:t>
      </w:r>
      <w:r>
        <w:br/>
      </w:r>
      <w:r>
        <w:rPr>
          <w:rStyle w:val="VerbatimChar"/>
        </w:rPr>
        <w:t xml:space="preserve">    C --&gt; D3["...\nω_n: d_ptn\n→ v, I, u"]</w:t>
      </w:r>
      <w:r>
        <w:br/>
      </w:r>
      <w:r>
        <w:rPr>
          <w:rStyle w:val="VerbatimChar"/>
        </w:rPr>
        <w:t xml:space="preserve">    D1 --&gt; E["Z = E[beneficio]\n= Σ π_ω · Z_ω"]</w:t>
      </w:r>
      <w:r>
        <w:br/>
      </w:r>
      <w:r>
        <w:rPr>
          <w:rStyle w:val="VerbatimChar"/>
        </w:rPr>
        <w:t xml:space="preserve">    D2 --&gt; E</w:t>
      </w:r>
      <w:r>
        <w:br/>
      </w:r>
      <w:r>
        <w:rPr>
          <w:rStyle w:val="VerbatimChar"/>
        </w:rPr>
        <w:t xml:space="preserve">    D3 --&gt; E</w:t>
      </w:r>
    </w:p>
    <w:p>
      <w:pPr>
        <w:pStyle w:val="FirstParagraph"/>
      </w:pPr>
      <w:r>
        <w:rPr>
          <w:b/>
          <w:bCs/>
          <w:i/>
          <w:iCs/>
        </w:rPr>
        <w:t xml:space="preserve">Figura 4.</w:t>
      </w:r>
      <w:r>
        <w:rPr>
          <w:i/>
          <w:iCs/>
        </w:rPr>
        <w:t xml:space="preserve"> </w:t>
      </w:r>
      <w:r>
        <w:rPr>
          <w:i/>
          <w:iCs/>
        </w:rPr>
        <w:t xml:space="preserve">Estructura de programación estocástica de dos etapas. Las decisiones de primera etapa (setup y producción) se toman antes de conocer la demanda; las de segunda etapa (ventas, inventario) se adaptan a cada escenario.</w:t>
      </w:r>
    </w:p>
    <w:bookmarkEnd w:id="45"/>
    <w:bookmarkStart w:id="46" w:name="validación-con-solver-exacto-cbc"/>
    <w:p>
      <w:pPr>
        <w:pStyle w:val="Heading3"/>
      </w:pPr>
      <w:r>
        <w:t xml:space="preserve">5.5. Validación con Solver Exacto (CBC)</w:t>
      </w:r>
    </w:p>
    <w:p>
      <w:pPr>
        <w:pStyle w:val="FirstParagraph"/>
      </w:pPr>
      <w:r>
        <w:t xml:space="preserve">El modelo fue validado resolviendo instancias Small (</w:t>
      </w:r>
      <m:oMath>
        <m:sSub>
          <m:e>
            <m:r>
              <m:t>n</m:t>
            </m:r>
          </m:e>
          <m:sub>
            <m:r>
              <m:t>p</m:t>
            </m:r>
          </m:sub>
        </m:sSub>
        <m:r>
          <m:rPr>
            <m:sty m:val="p"/>
          </m:rPr>
          <m:t>=</m:t>
        </m:r>
        <m:r>
          <m:t>5</m:t>
        </m:r>
      </m:oMath>
      <w:r>
        <w:t xml:space="preserve">,</w:t>
      </w:r>
      <w:r>
        <w:t xml:space="preserve"> </w:t>
      </w:r>
      <m:oMath>
        <m:sSub>
          <m:e>
            <m:r>
              <m:t>n</m:t>
            </m:r>
          </m:e>
          <m:sub>
            <m:r>
              <m:t>t</m:t>
            </m:r>
          </m:sub>
        </m:sSub>
        <m:r>
          <m:rPr>
            <m:sty m:val="p"/>
          </m:rPr>
          <m:t>=</m:t>
        </m:r>
        <m:r>
          <m:t>6</m:t>
        </m:r>
      </m:oMath>
      <w:r>
        <w:t xml:space="preserve">,</w:t>
      </w:r>
      <w:r>
        <w:t xml:space="preserve"> </w:t>
      </w:r>
      <m:oMath>
        <m:sSub>
          <m:e>
            <m:r>
              <m:t>n</m:t>
            </m:r>
          </m:e>
          <m:sub>
            <m:r>
              <m:t>ω</m:t>
            </m:r>
          </m:sub>
        </m:sSub>
        <m:r>
          <m:rPr>
            <m:sty m:val="p"/>
          </m:rPr>
          <m:t>=</m:t>
        </m:r>
        <m:r>
          <m:t>10</m:t>
        </m:r>
      </m:oMath>
      <w:r>
        <w:t xml:space="preserve">) con el solver exacto CBC (COIN-OR Branch and Cut) integrado en PuLP. CBC encuentra la solución óptima global garantizada para estas instancias en tiempos razonables (&lt; 15 segundos). Esta solución óptima sirve como referencia (</w:t>
      </w:r>
      <w:r>
        <w:rPr>
          <w:i/>
          <w:iCs/>
        </w:rPr>
        <w:t xml:space="preserve">benchmark</w:t>
      </w:r>
      <w:r>
        <w:t xml:space="preserve">) para evaluar la calidad de las soluciones metaheurísticas.</w:t>
      </w:r>
    </w:p>
    <w:p>
      <w:pPr>
        <w:pStyle w:val="BodyText"/>
      </w:pPr>
      <w:r>
        <w:t xml:space="preserve">Para instancias Medium y Large, el solver exacto se ejecuta con un límite de tiempo de 300 segundos. En instancias Large (</w:t>
      </w:r>
      <m:oMath>
        <m:sSub>
          <m:e>
            <m:r>
              <m:t>n</m:t>
            </m:r>
          </m:e>
          <m:sub>
            <m:r>
              <m:t>p</m:t>
            </m:r>
          </m:sub>
        </m:sSub>
        <m:r>
          <m:rPr>
            <m:sty m:val="p"/>
          </m:rPr>
          <m:t>=</m:t>
        </m:r>
        <m:r>
          <m:t>8</m:t>
        </m:r>
      </m:oMath>
      <w:r>
        <w:t xml:space="preserve">,</w:t>
      </w:r>
      <w:r>
        <w:t xml:space="preserve"> </w:t>
      </w:r>
      <m:oMath>
        <m:sSub>
          <m:e>
            <m:r>
              <m:t>n</m:t>
            </m:r>
          </m:e>
          <m:sub>
            <m:r>
              <m:t>t</m:t>
            </m:r>
          </m:sub>
        </m:sSub>
        <m:r>
          <m:rPr>
            <m:sty m:val="p"/>
          </m:rPr>
          <m:t>=</m:t>
        </m:r>
        <m:r>
          <m:t>30</m:t>
        </m:r>
      </m:oMath>
      <w:r>
        <w:t xml:space="preserve">,</w:t>
      </w:r>
      <w:r>
        <w:t xml:space="preserve"> </w:t>
      </w:r>
      <m:oMath>
        <m:sSub>
          <m:e>
            <m:r>
              <m:t>n</m:t>
            </m:r>
          </m:e>
          <m:sub>
            <m:r>
              <m:t>ω</m:t>
            </m:r>
          </m:sub>
        </m:sSub>
        <m:r>
          <m:rPr>
            <m:sty m:val="p"/>
          </m:rPr>
          <m:t>=</m:t>
        </m:r>
        <m:r>
          <m:t>100</m:t>
        </m:r>
      </m:oMath>
      <w:r>
        <w:t xml:space="preserve">) con 72,060 variables, CBC no logra converger a la solución óptima dentro del límite de tiempo, confirmando la necesidad de métodos metaheurísticos.</w:t>
      </w:r>
    </w:p>
    <w:p>
      <w:r>
        <w:pict>
          <v:rect style="width:0;height:1.5pt" o:hralign="center" o:hrstd="t" o:hr="t"/>
        </w:pict>
      </w:r>
    </w:p>
    <w:bookmarkEnd w:id="46"/>
    <w:bookmarkEnd w:id="47"/>
    <w:bookmarkStart w:id="73" w:name="X2ab5df386e2a348971a08bf47f6deeb51bc5f31"/>
    <w:p>
      <w:pPr>
        <w:pStyle w:val="Heading2"/>
      </w:pPr>
      <w:r>
        <w:t xml:space="preserve">6. Diseño e Implementación de Metaheurísticas</w:t>
      </w:r>
    </w:p>
    <w:p>
      <w:pPr>
        <w:pStyle w:val="FirstParagraph"/>
      </w:pPr>
      <w:r>
        <w:t xml:space="preserve">Dada la complejidad NP-hard del problema (§4.2.1), se implementan cuatro metaheurísticas siguiendo el marco comparativo de Akbari-Aghghaleh et al.</w:t>
      </w:r>
      <w:r>
        <w:t xml:space="preserve"> </w:t>
      </w:r>
      <w:r>
        <w:t xml:space="preserve">[15]</w:t>
      </w:r>
      <w:r>
        <w:t xml:space="preserve">. Todas comparten la misma codificación de solución y decodificador greedy, permitiendo una comparación justa.</w:t>
      </w:r>
    </w:p>
    <w:bookmarkStart w:id="51" w:name="representación-cromosómica"/>
    <w:p>
      <w:pPr>
        <w:pStyle w:val="Heading3"/>
      </w:pPr>
      <w:r>
        <w:t xml:space="preserve">6.1. Representación Cromosómica</w:t>
      </w:r>
    </w:p>
    <w:p>
      <w:pPr>
        <w:pStyle w:val="FirstParagraph"/>
      </w:pPr>
      <w:r>
        <w:t xml:space="preserve">El</w:t>
      </w:r>
      <w:r>
        <w:t xml:space="preserve"> </w:t>
      </w:r>
      <w:r>
        <w:rPr>
          <w:b/>
          <w:bCs/>
        </w:rPr>
        <w:t xml:space="preserve">cromosoma</w:t>
      </w:r>
      <w:r>
        <w:t xml:space="preserve"> </w:t>
      </w:r>
      <w:r>
        <w:t xml:space="preserve">constituye la representación computacional de una solución candidata en el espacio de búsqueda. En el contexto de este problema, cada cromosoma codifica exclusivamente las</w:t>
      </w:r>
      <w:r>
        <w:t xml:space="preserve"> </w:t>
      </w:r>
      <w:r>
        <w:rPr>
          <w:b/>
          <w:bCs/>
        </w:rPr>
        <w:t xml:space="preserve">decisiones de primera etapa</w:t>
      </w:r>
      <w:r>
        <w:t xml:space="preserve"> </w:t>
      </w:r>
      <w:r>
        <w:t xml:space="preserve">del modelo estocástico (§5.4), es decir, aquellas que deben tomarse antes de conocer la realización de la demanda.</w:t>
      </w:r>
    </w:p>
    <w:p>
      <w:pPr>
        <w:pStyle w:val="BodyText"/>
      </w:pPr>
      <w:r>
        <w:t xml:space="preserve">Formalmente, un cromosoma</w:t>
      </w:r>
      <w:r>
        <w:t xml:space="preserve"> </w:t>
      </w:r>
      <m:oMath>
        <m:r>
          <m:rPr>
            <m:sty m:val="b"/>
          </m:rPr>
          <m:t>s</m:t>
        </m:r>
      </m:oMath>
      <w:r>
        <w:t xml:space="preserve"> </w:t>
      </w:r>
      <w:r>
        <w:t xml:space="preserve">se define como un par de vectores:</w:t>
      </w:r>
    </w:p>
    <w:p>
      <w:pPr>
        <w:pStyle w:val="BodyText"/>
      </w:pPr>
    </w:p>
    <w:p>
      <w:pPr>
        <w:pStyle w:val="Compact"/>
        <w:numPr>
          <w:ilvl w:val="0"/>
          <w:numId w:val="1019"/>
        </w:numPr>
      </w:pPr>
      <w:r>
        <w:rPr>
          <w:b/>
          <w:bCs/>
        </w:rPr>
        <w:t xml:space="preserve">Vector de setup (binario):</w:t>
      </w:r>
      <w:r>
        <w:t xml:space="preserve"> </w:t>
      </w:r>
      <m:oMath>
        <m:r>
          <m:rPr>
            <m:sty m:val="b"/>
          </m:rP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sSub>
              <m:e>
                <m:r>
                  <m:t>n</m:t>
                </m:r>
              </m:e>
              <m:sub>
                <m:r>
                  <m:t>t</m:t>
                </m:r>
              </m:sub>
            </m:sSub>
          </m:sub>
        </m:sSub>
        <m:r>
          <m:rPr>
            <m:sty m:val="p"/>
          </m:rPr>
          <m:t>)</m:t>
        </m:r>
      </m:oMath>
      <w:r>
        <w:t xml:space="preserve"> </w:t>
      </w:r>
      <w:r>
        <w:t xml:space="preserve">— cada gen</w:t>
      </w:r>
      <w:r>
        <w:t xml:space="preserve"> </w:t>
      </w:r>
      <m:oMath>
        <m:sSub>
          <m:e>
            <m:r>
              <m:t>y</m:t>
            </m:r>
          </m:e>
          <m:sub>
            <m:r>
              <m:t>t</m:t>
            </m:r>
          </m:sub>
        </m:sSub>
        <m:r>
          <m:rPr>
            <m:sty m:val="p"/>
          </m:rPr>
          <m:t>∈</m:t>
        </m:r>
        <m:r>
          <m:rPr>
            <m:sty m:val="p"/>
          </m:rPr>
          <m:t>{</m:t>
        </m:r>
        <m:r>
          <m:t>0</m:t>
        </m:r>
        <m:r>
          <m:rPr>
            <m:sty m:val="p"/>
          </m:rPr>
          <m:t>,</m:t>
        </m:r>
        <m:r>
          <m:t>1</m:t>
        </m:r>
        <m:r>
          <m:rPr>
            <m:sty m:val="p"/>
          </m:rPr>
          <m:t>}</m:t>
        </m:r>
      </m:oMath>
      <w:r>
        <w:t xml:space="preserve"> </w:t>
      </w:r>
      <w:r>
        <w:t xml:space="preserve">indica si la línea de producción se activa (</w:t>
      </w:r>
      <m:oMath>
        <m:sSub>
          <m:e>
            <m:r>
              <m:t>y</m:t>
            </m:r>
          </m:e>
          <m:sub>
            <m:r>
              <m:t>t</m:t>
            </m:r>
          </m:sub>
        </m:sSub>
        <m:r>
          <m:rPr>
            <m:sty m:val="p"/>
          </m:rPr>
          <m:t>=</m:t>
        </m:r>
        <m:r>
          <m:t>1</m:t>
        </m:r>
      </m:oMath>
      <w:r>
        <w:t xml:space="preserve">) o permanece inactiva (</w:t>
      </w:r>
      <m:oMath>
        <m:sSub>
          <m:e>
            <m:r>
              <m:t>y</m:t>
            </m:r>
          </m:e>
          <m:sub>
            <m:r>
              <m:t>t</m:t>
            </m:r>
          </m:sub>
        </m:sSub>
        <m:r>
          <m:rPr>
            <m:sty m:val="p"/>
          </m:rPr>
          <m:t>=</m:t>
        </m:r>
        <m:r>
          <m:t>0</m:t>
        </m:r>
      </m:oMath>
      <w:r>
        <w:t xml:space="preserve">) en el periodo</w:t>
      </w:r>
      <w:r>
        <w:t xml:space="preserve"> </w:t>
      </w:r>
      <m:oMath>
        <m:r>
          <m:t>t</m:t>
        </m:r>
      </m:oMath>
      <w:r>
        <w:t xml:space="preserve">.</w:t>
      </w:r>
    </w:p>
    <w:p>
      <w:pPr>
        <w:pStyle w:val="Compact"/>
        <w:numPr>
          <w:ilvl w:val="0"/>
          <w:numId w:val="1019"/>
        </w:numPr>
      </w:pPr>
      <w:r>
        <w:rPr>
          <w:b/>
          <w:bCs/>
        </w:rPr>
        <w:t xml:space="preserve">Vector de cantidad (entero):</w:t>
      </w:r>
      <w:r>
        <w:t xml:space="preserve"> </w:t>
      </w:r>
      <m:oMath>
        <m:r>
          <m:rPr>
            <m:sty m:val="b"/>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r>
          <m:rPr>
            <m:sty m:val="p"/>
          </m:rPr>
          <m:t>.</m:t>
        </m:r>
        <m:r>
          <m:rPr>
            <m:sty m:val="p"/>
          </m:rPr>
          <m:t>,</m:t>
        </m:r>
        <m:sSub>
          <m:e>
            <m:r>
              <m:t>q</m:t>
            </m:r>
          </m:e>
          <m:sub>
            <m:sSub>
              <m:e>
                <m:r>
                  <m:t>n</m:t>
                </m:r>
              </m:e>
              <m:sub>
                <m:r>
                  <m:t>t</m:t>
                </m:r>
              </m:sub>
            </m:sSub>
          </m:sub>
        </m:sSub>
        <m:r>
          <m:rPr>
            <m:sty m:val="p"/>
          </m:rPr>
          <m:t>)</m:t>
        </m:r>
      </m:oMath>
      <w:r>
        <w:t xml:space="preserve"> </w:t>
      </w:r>
      <w:r>
        <w:t xml:space="preserve">— cada gen</w:t>
      </w:r>
      <w:r>
        <w:t xml:space="preserve"> </w:t>
      </w:r>
      <m:oMath>
        <m:sSub>
          <m:e>
            <m:r>
              <m:t>q</m:t>
            </m:r>
          </m:e>
          <m:sub>
            <m:r>
              <m:t>t</m:t>
            </m:r>
          </m:sub>
        </m:sSub>
        <m:r>
          <m:rPr>
            <m:sty m:val="p"/>
          </m:rPr>
          <m:t>∈</m:t>
        </m:r>
        <m:r>
          <m:rPr>
            <m:scr m:val="double-struck"/>
            <m:sty m:val="p"/>
          </m:rPr>
          <m:t>Z</m:t>
        </m:r>
      </m:oMath>
      <w:r>
        <w:t xml:space="preserve"> </w:t>
      </w:r>
      <w:r>
        <w:t xml:space="preserve">codifica el número de carcasas a procesar en el periodo</w:t>
      </w:r>
      <w:r>
        <w:t xml:space="preserve"> </w:t>
      </w:r>
      <m:oMath>
        <m:r>
          <m:t>t</m:t>
        </m:r>
      </m:oMath>
      <w:r>
        <w:t xml:space="preserve">, sujeto a</w:t>
      </w:r>
      <w:r>
        <w:t xml:space="preserve"> </w:t>
      </w:r>
      <m:oMath>
        <m:sSup>
          <m:e>
            <m:r>
              <m:t>Q</m:t>
            </m:r>
          </m:e>
          <m:sup>
            <m:r>
              <m:t>m</m:t>
            </m:r>
            <m:r>
              <m:t>i</m:t>
            </m:r>
            <m:r>
              <m:t>n</m:t>
            </m:r>
          </m:sup>
        </m:sSup>
        <m:r>
          <m:rPr>
            <m:sty m:val="p"/>
          </m:rPr>
          <m:t>≤</m:t>
        </m:r>
        <m:sSub>
          <m:e>
            <m:r>
              <m:t>q</m:t>
            </m:r>
          </m:e>
          <m:sub>
            <m:r>
              <m:t>t</m:t>
            </m:r>
          </m:sub>
        </m:sSub>
        <m:r>
          <m:rPr>
            <m:sty m:val="p"/>
          </m:rPr>
          <m:t>≤</m:t>
        </m:r>
        <m:sSup>
          <m:e>
            <m:r>
              <m:t>Q</m:t>
            </m:r>
          </m:e>
          <m:sup>
            <m:r>
              <m:t>m</m:t>
            </m:r>
            <m:r>
              <m:t>a</m:t>
            </m:r>
            <m:r>
              <m:t>x</m:t>
            </m:r>
          </m:sup>
        </m:sSup>
      </m:oMath>
      <w:r>
        <w:t xml:space="preserve"> </w:t>
      </w:r>
      <w:r>
        <w:t xml:space="preserve">cuando</w:t>
      </w:r>
      <w:r>
        <w:t xml:space="preserve"> </w:t>
      </w:r>
      <m:oMath>
        <m:sSub>
          <m:e>
            <m:r>
              <m:t>y</m:t>
            </m:r>
          </m:e>
          <m:sub>
            <m:r>
              <m:t>t</m:t>
            </m:r>
          </m:sub>
        </m:sSub>
        <m:r>
          <m:rPr>
            <m:sty m:val="p"/>
          </m:rPr>
          <m:t>=</m:t>
        </m:r>
        <m:r>
          <m:t>1</m:t>
        </m:r>
      </m:oMath>
      <w:r>
        <w:t xml:space="preserve">.</w:t>
      </w:r>
    </w:p>
    <w:p>
      <w:pPr>
        <w:pStyle w:val="FirstParagraph"/>
      </w:pPr>
      <w:r>
        <w:t xml:space="preserve">Las</w:t>
      </w:r>
      <w:r>
        <w:t xml:space="preserve"> </w:t>
      </w:r>
      <w:r>
        <w:rPr>
          <w:b/>
          <w:bCs/>
        </w:rPr>
        <w:t xml:space="preserve">variables de segunda etapa</w:t>
      </w:r>
      <w:r>
        <w:t xml:space="preserve"> </w:t>
      </w:r>
      <w:r>
        <w:t xml:space="preserve">(</w:t>
      </w:r>
      <m:oMath>
        <m:sSub>
          <m:e>
            <m:r>
              <m:t>v</m:t>
            </m:r>
          </m:e>
          <m:sub>
            <m:r>
              <m:t>p</m:t>
            </m:r>
            <m:r>
              <m:t>t</m:t>
            </m:r>
            <m:r>
              <m:t>ω</m:t>
            </m:r>
          </m:sub>
        </m:sSub>
      </m:oMath>
      <w:r>
        <w:t xml:space="preserve">,</w:t>
      </w:r>
      <w:r>
        <w:t xml:space="preserve"> </w:t>
      </w:r>
      <m:oMath>
        <m:sSub>
          <m:e>
            <m:r>
              <m:t>I</m:t>
            </m:r>
          </m:e>
          <m:sub>
            <m:r>
              <m:t>p</m:t>
            </m:r>
            <m:r>
              <m:t>t</m:t>
            </m:r>
            <m:r>
              <m:t>ω</m:t>
            </m:r>
          </m:sub>
        </m:sSub>
      </m:oMath>
      <w:r>
        <w:t xml:space="preserve">,</w:t>
      </w:r>
      <w:r>
        <w:t xml:space="preserve"> </w:t>
      </w:r>
      <m:oMath>
        <m:sSub>
          <m:e>
            <m:r>
              <m:t>u</m:t>
            </m:r>
          </m:e>
          <m:sub>
            <m:r>
              <m:t>p</m:t>
            </m:r>
            <m:r>
              <m:t>t</m:t>
            </m:r>
            <m:r>
              <m:t>ω</m:t>
            </m:r>
          </m:sub>
        </m:sSub>
      </m:oMath>
      <w:r>
        <w:t xml:space="preserve">) no forman parte del cromosoma; se calculan de manera determinista mediante el decodificador greedy (§6.6) dado un cromosoma y una instancia del problema.</w:t>
      </w:r>
    </w:p>
    <w:p>
      <w:pPr>
        <w:pStyle w:val="BodyText"/>
      </w:pPr>
      <w:r>
        <w:rPr>
          <w:b/>
          <w:bCs/>
        </w:rPr>
        <w:t xml:space="preserve">Ejemplo numérico.</w:t>
      </w:r>
      <w:r>
        <w:t xml:space="preserve"> </w:t>
      </w:r>
      <w:r>
        <w:t xml:space="preserve">Para una instancia con</w:t>
      </w:r>
      <w:r>
        <w:t xml:space="preserve"> </w:t>
      </w:r>
      <m:oMath>
        <m:sSub>
          <m:e>
            <m:r>
              <m:t>n</m:t>
            </m:r>
          </m:e>
          <m:sub>
            <m:r>
              <m:t>t</m:t>
            </m:r>
          </m:sub>
        </m:sSub>
        <m:r>
          <m:rPr>
            <m:sty m:val="p"/>
          </m:rPr>
          <m:t>=</m:t>
        </m:r>
        <m:r>
          <m:t>6</m:t>
        </m:r>
      </m:oMath>
      <w:r>
        <w:t xml:space="preserve"> </w:t>
      </w:r>
      <w:r>
        <w:t xml:space="preserve">periodos,</w:t>
      </w:r>
      <w:r>
        <w:t xml:space="preserve"> </w:t>
      </w:r>
      <m:oMath>
        <m:sSup>
          <m:e>
            <m:r>
              <m:t>Q</m:t>
            </m:r>
          </m:e>
          <m:sup>
            <m:r>
              <m:t>m</m:t>
            </m:r>
            <m:r>
              <m:t>i</m:t>
            </m:r>
            <m:r>
              <m:t>n</m:t>
            </m:r>
          </m:sup>
        </m:sSup>
        <m:r>
          <m:rPr>
            <m:sty m:val="p"/>
          </m:rPr>
          <m:t>=</m:t>
        </m:r>
        <m:r>
          <m:t>100</m:t>
        </m:r>
      </m:oMath>
      <w:r>
        <w:t xml:space="preserve"> </w:t>
      </w:r>
      <w:r>
        <w:t xml:space="preserve">y</w:t>
      </w:r>
      <w:r>
        <w:t xml:space="preserve"> </w:t>
      </w:r>
      <m:oMath>
        <m:sSup>
          <m:e>
            <m:r>
              <m:t>Q</m:t>
            </m:r>
          </m:e>
          <m:sup>
            <m:r>
              <m:t>m</m:t>
            </m:r>
            <m:r>
              <m:t>a</m:t>
            </m:r>
            <m:r>
              <m:t>x</m:t>
            </m:r>
          </m:sup>
        </m:sSup>
        <m:r>
          <m:rPr>
            <m:sty m:val="p"/>
          </m:rPr>
          <m:t>=</m:t>
        </m:r>
        <m:r>
          <m:t>1000</m:t>
        </m:r>
      </m:oMath>
      <w:r>
        <w:t xml:space="preserve">, un cromosoma válido podría ser:</w:t>
      </w:r>
    </w:p>
    <w:p>
      <w:pPr>
        <w:pStyle w:val="BodyText"/>
      </w:pPr>
      <w:r>
        <w:rPr>
          <w:b/>
          <w:bCs/>
          <w:i/>
          <w:iCs/>
        </w:rPr>
        <w:t xml:space="preserve">Tabla 5a.</w:t>
      </w:r>
      <w:r>
        <w:rPr>
          <w:i/>
          <w:iCs/>
        </w:rPr>
        <w:t xml:space="preserve"> </w:t>
      </w:r>
      <w:r>
        <w:rPr>
          <w:i/>
          <w:iCs/>
        </w:rPr>
        <w:t xml:space="preserve">Ejemplo de cromosoma para</w:t>
      </w:r>
      <w:r>
        <w:rPr>
          <w:i/>
          <w:iCs/>
        </w:rPr>
        <w:t xml:space="preserve"> </w:t>
      </w:r>
      <m:oMath>
        <m:sSub>
          <m:e>
            <m:r>
              <m:t>n</m:t>
            </m:r>
          </m:e>
          <m:sub>
            <m:r>
              <m:t>t</m:t>
            </m:r>
          </m:sub>
        </m:sSub>
        <m:r>
          <m:rPr>
            <m:sty m:val="p"/>
          </m:rPr>
          <m:t>=</m:t>
        </m:r>
        <m:r>
          <m:t>6</m:t>
        </m:r>
      </m:oMath>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Periodo</w:t>
            </w:r>
            <w:r>
              <w:t xml:space="preserve"> </w:t>
            </w:r>
            <m:oMath>
              <m:r>
                <m:t>t</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left"/>
            </w:pPr>
            <m:oMath>
              <m:sSub>
                <m:e>
                  <m:r>
                    <m:t>y</m:t>
                  </m:r>
                </m:e>
                <m:sub>
                  <m:r>
                    <m:t>t</m:t>
                  </m:r>
                </m:sub>
              </m:sSub>
            </m:oMath>
            <w:r>
              <w:t xml:space="preserve"> </w:t>
            </w:r>
            <w:r>
              <w:t xml:space="preserve">(setup)</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m:oMath>
              <m:sSub>
                <m:e>
                  <m:r>
                    <m:t>q</m:t>
                  </m:r>
                </m:e>
                <m:sub>
                  <m:r>
                    <m:t>t</m:t>
                  </m:r>
                </m:sub>
              </m:sSub>
            </m:oMath>
            <w:r>
              <w:t xml:space="preserve"> </w:t>
            </w:r>
            <w:r>
              <w:t xml:space="preserve">(carcasas)</w:t>
            </w:r>
          </w:p>
        </w:tc>
        <w:tc>
          <w:tcPr/>
          <w:p>
            <w:pPr>
              <w:pStyle w:val="Compact"/>
              <w:jc w:val="center"/>
            </w:pPr>
            <w:r>
              <w:t xml:space="preserve">750</w:t>
            </w:r>
          </w:p>
        </w:tc>
        <w:tc>
          <w:tcPr/>
          <w:p>
            <w:pPr>
              <w:pStyle w:val="Compact"/>
              <w:jc w:val="center"/>
            </w:pPr>
            <w:r>
              <w:t xml:space="preserve">420</w:t>
            </w:r>
          </w:p>
        </w:tc>
        <w:tc>
          <w:tcPr/>
          <w:p>
            <w:pPr>
              <w:pStyle w:val="Compact"/>
              <w:jc w:val="center"/>
            </w:pPr>
            <w:r>
              <w:t xml:space="preserve">0</w:t>
            </w:r>
          </w:p>
        </w:tc>
        <w:tc>
          <w:tcPr/>
          <w:p>
            <w:pPr>
              <w:pStyle w:val="Compact"/>
              <w:jc w:val="center"/>
            </w:pPr>
            <w:r>
              <w:t xml:space="preserve">1000</w:t>
            </w:r>
          </w:p>
        </w:tc>
        <w:tc>
          <w:tcPr/>
          <w:p>
            <w:pPr>
              <w:pStyle w:val="Compact"/>
              <w:jc w:val="center"/>
            </w:pPr>
            <w:r>
              <w:t xml:space="preserve">0</w:t>
            </w:r>
          </w:p>
        </w:tc>
        <w:tc>
          <w:tcPr/>
          <w:p>
            <w:pPr>
              <w:pStyle w:val="Compact"/>
              <w:jc w:val="center"/>
            </w:pPr>
            <w:r>
              <w:t xml:space="preserve">300</w:t>
            </w:r>
          </w:p>
        </w:tc>
      </w:tr>
    </w:tbl>
    <w:p>
      <w:pPr>
        <w:pStyle w:val="BodyText"/>
      </w:pPr>
      <w:r>
        <w:t xml:space="preserve">En este ejemplo, la línea se activa en los periodos 1, 2, 4 y 6. Nótese la</w:t>
      </w:r>
      <w:r>
        <w:t xml:space="preserve"> </w:t>
      </w:r>
      <w:r>
        <w:rPr>
          <w:b/>
          <w:bCs/>
        </w:rPr>
        <w:t xml:space="preserve">consistencia</w:t>
      </w:r>
      <w:r>
        <w:t xml:space="preserve"> </w:t>
      </w:r>
      <w:r>
        <w:t xml:space="preserve">entre vectores: cuando</w:t>
      </w:r>
      <w:r>
        <w:t xml:space="preserve"> </w:t>
      </w:r>
      <m:oMath>
        <m:sSub>
          <m:e>
            <m:r>
              <m:t>y</m:t>
            </m:r>
          </m:e>
          <m:sub>
            <m:r>
              <m:t>t</m:t>
            </m:r>
          </m:sub>
        </m:sSub>
        <m:r>
          <m:rPr>
            <m:sty m:val="p"/>
          </m:rPr>
          <m:t>=</m:t>
        </m:r>
        <m:r>
          <m:t>0</m:t>
        </m:r>
      </m:oMath>
      <w:r>
        <w:t xml:space="preserve"> </w:t>
      </w:r>
      <w:r>
        <w:t xml:space="preserve">(periodos 3 y 5), necesariamente</w:t>
      </w:r>
      <w:r>
        <w:t xml:space="preserve"> </w:t>
      </w:r>
      <m:oMath>
        <m:sSub>
          <m:e>
            <m:r>
              <m:t>q</m:t>
            </m:r>
          </m:e>
          <m:sub>
            <m:r>
              <m:t>t</m:t>
            </m:r>
          </m:sub>
        </m:sSub>
        <m:r>
          <m:rPr>
            <m:sty m:val="p"/>
          </m:rPr>
          <m:t>=</m:t>
        </m:r>
        <m:r>
          <m:t>0</m:t>
        </m:r>
      </m:oMath>
      <w:r>
        <w:t xml:space="preserve">. Cuando</w:t>
      </w:r>
      <w:r>
        <w:t xml:space="preserve"> </w:t>
      </w:r>
      <m:oMath>
        <m:sSub>
          <m:e>
            <m:r>
              <m:t>y</m:t>
            </m:r>
          </m:e>
          <m:sub>
            <m:r>
              <m:t>t</m:t>
            </m:r>
          </m:sub>
        </m:sSub>
        <m:r>
          <m:rPr>
            <m:sty m:val="p"/>
          </m:rPr>
          <m:t>=</m:t>
        </m:r>
        <m:r>
          <m:t>1</m:t>
        </m:r>
      </m:oMath>
      <w:r>
        <w:t xml:space="preserve">, la cantidad respeta</w:t>
      </w:r>
      <w:r>
        <w:t xml:space="preserve"> </w:t>
      </w:r>
      <m:oMath>
        <m:r>
          <m:t>100</m:t>
        </m:r>
        <m:r>
          <m:rPr>
            <m:sty m:val="p"/>
          </m:rPr>
          <m:t>≤</m:t>
        </m:r>
        <m:sSub>
          <m:e>
            <m:r>
              <m:t>q</m:t>
            </m:r>
          </m:e>
          <m:sub>
            <m:r>
              <m:t>t</m:t>
            </m:r>
          </m:sub>
        </m:sSub>
        <m:r>
          <m:rPr>
            <m:sty m:val="p"/>
          </m:rPr>
          <m:t>≤</m:t>
        </m:r>
        <m:r>
          <m:t>1000</m:t>
        </m:r>
      </m:oMath>
      <w:r>
        <w:t xml:space="preserve">.</w:t>
      </w:r>
    </w:p>
    <w:p>
      <w:pPr>
        <w:pStyle w:val="SourceCode"/>
      </w:pPr>
      <w:r>
        <w:rPr>
          <w:rStyle w:val="VerbatimChar"/>
        </w:rPr>
        <w:t xml:space="preserve">%%{init: {'theme': 'neutral'}}%%</w:t>
      </w:r>
      <w:r>
        <w:br/>
      </w:r>
      <w:r>
        <w:rPr>
          <w:rStyle w:val="VerbatimChar"/>
        </w:rPr>
        <w:t xml:space="preserve">block-beta</w:t>
      </w:r>
      <w:r>
        <w:br/>
      </w:r>
      <w:r>
        <w:rPr>
          <w:rStyle w:val="VerbatimChar"/>
        </w:rPr>
        <w:t xml:space="preserve">    columns 7</w:t>
      </w:r>
      <w:r>
        <w:br/>
      </w:r>
      <w:r>
        <w:rPr>
          <w:rStyle w:val="VerbatimChar"/>
        </w:rPr>
        <w:t xml:space="preserve">    A["Cromosoma s"]:7</w:t>
      </w:r>
      <w:r>
        <w:br/>
      </w:r>
      <w:r>
        <w:rPr>
          <w:rStyle w:val="VerbatimChar"/>
        </w:rPr>
        <w:t xml:space="preserve">    B["y (setup)"]</w:t>
      </w:r>
      <w:r>
        <w:br/>
      </w:r>
      <w:r>
        <w:rPr>
          <w:rStyle w:val="VerbatimChar"/>
        </w:rPr>
        <w:t xml:space="preserve">    B1["1"]</w:t>
      </w:r>
      <w:r>
        <w:br/>
      </w:r>
      <w:r>
        <w:rPr>
          <w:rStyle w:val="VerbatimChar"/>
        </w:rPr>
        <w:t xml:space="preserve">    B2["1"]</w:t>
      </w:r>
      <w:r>
        <w:br/>
      </w:r>
      <w:r>
        <w:rPr>
          <w:rStyle w:val="VerbatimChar"/>
        </w:rPr>
        <w:t xml:space="preserve">    B3["0"]</w:t>
      </w:r>
      <w:r>
        <w:br/>
      </w:r>
      <w:r>
        <w:rPr>
          <w:rStyle w:val="VerbatimChar"/>
        </w:rPr>
        <w:t xml:space="preserve">    B4["1"]</w:t>
      </w:r>
      <w:r>
        <w:br/>
      </w:r>
      <w:r>
        <w:rPr>
          <w:rStyle w:val="VerbatimChar"/>
        </w:rPr>
        <w:t xml:space="preserve">    B5["0"]</w:t>
      </w:r>
      <w:r>
        <w:br/>
      </w:r>
      <w:r>
        <w:rPr>
          <w:rStyle w:val="VerbatimChar"/>
        </w:rPr>
        <w:t xml:space="preserve">    B6["1"]</w:t>
      </w:r>
      <w:r>
        <w:br/>
      </w:r>
      <w:r>
        <w:rPr>
          <w:rStyle w:val="VerbatimChar"/>
        </w:rPr>
        <w:t xml:space="preserve">    C["q (cantidad)"]</w:t>
      </w:r>
      <w:r>
        <w:br/>
      </w:r>
      <w:r>
        <w:rPr>
          <w:rStyle w:val="VerbatimChar"/>
        </w:rPr>
        <w:t xml:space="preserve">    C1["750"]</w:t>
      </w:r>
      <w:r>
        <w:br/>
      </w:r>
      <w:r>
        <w:rPr>
          <w:rStyle w:val="VerbatimChar"/>
        </w:rPr>
        <w:t xml:space="preserve">    C2["420"]</w:t>
      </w:r>
      <w:r>
        <w:br/>
      </w:r>
      <w:r>
        <w:rPr>
          <w:rStyle w:val="VerbatimChar"/>
        </w:rPr>
        <w:t xml:space="preserve">    C3["0"]</w:t>
      </w:r>
      <w:r>
        <w:br/>
      </w:r>
      <w:r>
        <w:rPr>
          <w:rStyle w:val="VerbatimChar"/>
        </w:rPr>
        <w:t xml:space="preserve">    C4["1000"]</w:t>
      </w:r>
      <w:r>
        <w:br/>
      </w:r>
      <w:r>
        <w:rPr>
          <w:rStyle w:val="VerbatimChar"/>
        </w:rPr>
        <w:t xml:space="preserve">    C5["0"]</w:t>
      </w:r>
      <w:r>
        <w:br/>
      </w:r>
      <w:r>
        <w:rPr>
          <w:rStyle w:val="VerbatimChar"/>
        </w:rPr>
        <w:t xml:space="preserve">    C6["300"]</w:t>
      </w:r>
    </w:p>
    <w:p>
      <w:pPr>
        <w:pStyle w:val="FirstParagraph"/>
      </w:pPr>
      <w:r>
        <w:rPr>
          <w:b/>
          <w:bCs/>
          <w:i/>
          <w:iCs/>
        </w:rPr>
        <w:t xml:space="preserve">Figura 5.</w:t>
      </w:r>
      <w:r>
        <w:rPr>
          <w:i/>
          <w:iCs/>
        </w:rPr>
        <w:t xml:space="preserve"> </w:t>
      </w:r>
      <w:r>
        <w:rPr>
          <w:i/>
          <w:iCs/>
        </w:rPr>
        <w:t xml:space="preserve">Estructura del cromosoma como par de vectores. El vector superior (binario) codifica las decisiones de setup y el inferior (entero) las cantidades de producción. Los genes son posicionalmente correspondientes: el gen</w:t>
      </w:r>
      <w:r>
        <w:rPr>
          <w:i/>
          <w:iCs/>
        </w:rPr>
        <w:t xml:space="preserve"> </w:t>
      </w:r>
      <m:oMath>
        <m:sSub>
          <m:e>
            <m:r>
              <m:t>q</m:t>
            </m:r>
          </m:e>
          <m:sub>
            <m:r>
              <m:t>t</m:t>
            </m:r>
          </m:sub>
        </m:sSub>
      </m:oMath>
      <w:r>
        <w:rPr>
          <w:i/>
          <w:iCs/>
        </w:rPr>
        <w:t xml:space="preserve"> </w:t>
      </w:r>
      <w:r>
        <w:rPr>
          <w:i/>
          <w:iCs/>
        </w:rPr>
        <w:t xml:space="preserve">es coherente con</w:t>
      </w:r>
      <w:r>
        <w:rPr>
          <w:i/>
          <w:iCs/>
        </w:rPr>
        <w:t xml:space="preserve"> </w:t>
      </w:r>
      <m:oMath>
        <m:sSub>
          <m:e>
            <m:r>
              <m:t>y</m:t>
            </m:r>
          </m:e>
          <m:sub>
            <m:r>
              <m:t>t</m:t>
            </m:r>
          </m:sub>
        </m:sSub>
      </m:oMath>
      <w:r>
        <w:rPr>
          <w:i/>
          <w:iCs/>
        </w:rPr>
        <w:t xml:space="preserve">.</w:t>
      </w:r>
    </w:p>
    <w:p>
      <w:pPr>
        <w:pStyle w:val="CaptionedFigure"/>
      </w:pPr>
      <w:r>
        <w:drawing>
          <wp:inline>
            <wp:extent cx="4533900" cy="2691067"/>
            <wp:effectExtent b="0" l="0" r="0" t="0"/>
            <wp:docPr descr="Representación visual del cromosoma como par de vectores (y, q)" title="" id="49" name="Picture"/>
            <a:graphic>
              <a:graphicData uri="http://schemas.openxmlformats.org/drawingml/2006/picture">
                <pic:pic>
                  <pic:nvPicPr>
                    <pic:cNvPr descr="figuras/fig_chromosome_representation.png" id="50" name="Picture"/>
                    <pic:cNvPicPr>
                      <a:picLocks noChangeArrowheads="1" noChangeAspect="1"/>
                    </pic:cNvPicPr>
                  </pic:nvPicPr>
                  <pic:blipFill>
                    <a:blip r:embed="rId48"/>
                    <a:stretch>
                      <a:fillRect/>
                    </a:stretch>
                  </pic:blipFill>
                  <pic:spPr bwMode="auto">
                    <a:xfrm>
                      <a:off x="0" y="0"/>
                      <a:ext cx="4533900" cy="2691067"/>
                    </a:xfrm>
                    <a:prstGeom prst="rect">
                      <a:avLst/>
                    </a:prstGeom>
                    <a:noFill/>
                    <a:ln w="9525">
                      <a:noFill/>
                      <a:headEnd/>
                      <a:tailEnd/>
                    </a:ln>
                  </pic:spPr>
                </pic:pic>
              </a:graphicData>
            </a:graphic>
          </wp:inline>
        </w:drawing>
      </w:r>
    </w:p>
    <w:p>
      <w:pPr>
        <w:pStyle w:val="ImageCaption"/>
      </w:pPr>
      <w:r>
        <w:t xml:space="preserve">Representación visual del cromosoma como par de vectores (y, q)</w:t>
      </w:r>
    </w:p>
    <w:p>
      <w:pPr>
        <w:pStyle w:val="BodyText"/>
      </w:pPr>
      <w:r>
        <w:rPr>
          <w:b/>
          <w:bCs/>
          <w:i/>
          <w:iCs/>
        </w:rPr>
        <w:t xml:space="preserve">Figura 5b.</w:t>
      </w:r>
      <w:r>
        <w:rPr>
          <w:i/>
          <w:iCs/>
        </w:rPr>
        <w:t xml:space="preserve"> </w:t>
      </w:r>
      <w:r>
        <w:rPr>
          <w:i/>
          <w:iCs/>
        </w:rPr>
        <w:t xml:space="preserve">Representación visual del cromosoma. Las celdas activas (</w:t>
      </w:r>
      <m:oMath>
        <m:sSub>
          <m:e>
            <m:r>
              <m:t>y</m:t>
            </m:r>
          </m:e>
          <m:sub>
            <m:r>
              <m:t>t</m:t>
            </m:r>
          </m:sub>
        </m:sSub>
        <m:r>
          <m:rPr>
            <m:sty m:val="p"/>
          </m:rPr>
          <m:t>=</m:t>
        </m:r>
        <m:r>
          <m:t>1</m:t>
        </m:r>
      </m:oMath>
      <w:r>
        <w:rPr>
          <w:i/>
          <w:iCs/>
        </w:rPr>
        <w:t xml:space="preserve">) se destacan con fondo cian para el vector de setup y verde para el vector de cantidad Periodos inactivos (</w:t>
      </w:r>
      <m:oMath>
        <m:sSub>
          <m:e>
            <m:r>
              <m:t>y</m:t>
            </m:r>
          </m:e>
          <m:sub>
            <m:r>
              <m:t>t</m:t>
            </m:r>
          </m:sub>
        </m:sSub>
        <m:r>
          <m:rPr>
            <m:sty m:val="p"/>
          </m:rPr>
          <m:t>=</m:t>
        </m:r>
        <m:r>
          <m:t>0</m:t>
        </m:r>
      </m:oMath>
      <w:r>
        <w:rPr>
          <w:i/>
          <w:iCs/>
        </w:rPr>
        <w:t xml:space="preserve">,</w:t>
      </w:r>
      <w:r>
        <w:rPr>
          <w:i/>
          <w:iCs/>
        </w:rPr>
        <w:t xml:space="preserve"> </w:t>
      </w:r>
      <m:oMath>
        <m:sSub>
          <m:e>
            <m:r>
              <m:t>q</m:t>
            </m:r>
          </m:e>
          <m:sub>
            <m:r>
              <m:t>t</m:t>
            </m:r>
          </m:sub>
        </m:sSub>
        <m:r>
          <m:rPr>
            <m:sty m:val="p"/>
          </m:rPr>
          <m:t>=</m:t>
        </m:r>
        <m:r>
          <m:t>0</m:t>
        </m:r>
      </m:oMath>
      <w:r>
        <w:rPr>
          <w:i/>
          <w:iCs/>
        </w:rPr>
        <w:t xml:space="preserve">) se muestran en gris. La correspondencia posicional garantiza la consistencia: si</w:t>
      </w:r>
      <w:r>
        <w:rPr>
          <w:i/>
          <w:iCs/>
        </w:rPr>
        <w:t xml:space="preserve"> </w:t>
      </w:r>
      <m:oMath>
        <m:sSub>
          <m:e>
            <m:r>
              <m:t>y</m:t>
            </m:r>
          </m:e>
          <m:sub>
            <m:r>
              <m:t>t</m:t>
            </m:r>
          </m:sub>
        </m:sSub>
        <m:r>
          <m:rPr>
            <m:sty m:val="p"/>
          </m:rPr>
          <m:t>=</m:t>
        </m:r>
        <m:r>
          <m:t>0</m:t>
        </m:r>
      </m:oMath>
      <w:r>
        <w:rPr>
          <w:i/>
          <w:iCs/>
        </w:rPr>
        <w:t xml:space="preserve">, necesariamente</w:t>
      </w:r>
      <w:r>
        <w:rPr>
          <w:i/>
          <w:iCs/>
        </w:rPr>
        <w:t xml:space="preserve"> </w:t>
      </w:r>
      <m:oMath>
        <m:sSub>
          <m:e>
            <m:r>
              <m:t>q</m:t>
            </m:r>
          </m:e>
          <m:sub>
            <m:r>
              <m:t>t</m:t>
            </m:r>
          </m:sub>
        </m:sSub>
        <m:r>
          <m:rPr>
            <m:sty m:val="p"/>
          </m:rPr>
          <m:t>=</m:t>
        </m:r>
        <m:r>
          <m:t>0</m:t>
        </m:r>
      </m:oMath>
      <w:r>
        <w:rPr>
          <w:i/>
          <w:iCs/>
        </w:rPr>
        <w:t xml:space="preserve">; si</w:t>
      </w:r>
      <w:r>
        <w:rPr>
          <w:i/>
          <w:iCs/>
        </w:rPr>
        <w:t xml:space="preserve"> </w:t>
      </w:r>
      <m:oMath>
        <m:sSub>
          <m:e>
            <m:r>
              <m:t>y</m:t>
            </m:r>
          </m:e>
          <m:sub>
            <m:r>
              <m:t>t</m:t>
            </m:r>
          </m:sub>
        </m:sSub>
        <m:r>
          <m:rPr>
            <m:sty m:val="p"/>
          </m:rPr>
          <m:t>=</m:t>
        </m:r>
        <m:r>
          <m:t>1</m:t>
        </m:r>
      </m:oMath>
      <w:r>
        <w:rPr>
          <w:i/>
          <w:iCs/>
        </w:rPr>
        <w:t xml:space="preserve">, entonces</w:t>
      </w:r>
      <w:r>
        <w:rPr>
          <w:i/>
          <w:iCs/>
        </w:rPr>
        <w:t xml:space="preserve"> </w:t>
      </w:r>
      <m:oMath>
        <m:sSup>
          <m:e>
            <m:r>
              <m:t>Q</m:t>
            </m:r>
          </m:e>
          <m:sup>
            <m:r>
              <m:t>m</m:t>
            </m:r>
            <m:r>
              <m:t>i</m:t>
            </m:r>
            <m:r>
              <m:t>n</m:t>
            </m:r>
          </m:sup>
        </m:sSup>
        <m:r>
          <m:rPr>
            <m:sty m:val="p"/>
          </m:rPr>
          <m:t>≤</m:t>
        </m:r>
        <m:sSub>
          <m:e>
            <m:r>
              <m:t>q</m:t>
            </m:r>
          </m:e>
          <m:sub>
            <m:r>
              <m:t>t</m:t>
            </m:r>
          </m:sub>
        </m:sSub>
        <m:r>
          <m:rPr>
            <m:sty m:val="p"/>
          </m:rPr>
          <m:t>≤</m:t>
        </m:r>
        <m:sSup>
          <m:e>
            <m:r>
              <m:t>Q</m:t>
            </m:r>
          </m:e>
          <m:sup>
            <m:r>
              <m:t>m</m:t>
            </m:r>
            <m:r>
              <m:t>a</m:t>
            </m:r>
            <m:r>
              <m:t>x</m:t>
            </m:r>
          </m:sup>
        </m:sSup>
      </m:oMath>
      <w:r>
        <w:rPr>
          <w:i/>
          <w:iCs/>
        </w:rPr>
        <w:t xml:space="preserve">.</w:t>
      </w:r>
    </w:p>
    <w:p>
      <w:pPr>
        <w:pStyle w:val="BodyText"/>
      </w:pPr>
      <w:r>
        <w:rPr>
          <w:b/>
          <w:bCs/>
        </w:rPr>
        <w:t xml:space="preserve">Tamaño del espacio de búsqueda.</w:t>
      </w:r>
      <w:r>
        <w:t xml:space="preserve"> </w:t>
      </w:r>
      <w:r>
        <w:t xml:space="preserve">El espacio de soluciones factibles</w:t>
      </w:r>
      <w:r>
        <w:t xml:space="preserve"> </w:t>
      </w:r>
      <m:oMath>
        <m:r>
          <m:rPr>
            <m:scr m:val="script"/>
            <m:sty m:val="p"/>
          </m:rPr>
          <m:t>S</m:t>
        </m:r>
      </m:oMath>
      <w:r>
        <w:t xml:space="preserve"> </w:t>
      </w:r>
      <w:r>
        <w:t xml:space="preserve">tiene cardinalidad:</w:t>
      </w:r>
    </w:p>
    <w:p>
      <w:pPr>
        <w:pStyle w:val="BodyText"/>
      </w:pPr>
    </w:p>
    <w:p>
      <w:pPr>
        <w:pStyle w:val="BodyText"/>
      </w:pPr>
      <w:r>
        <w:t xml:space="preserve">donde</w:t>
      </w:r>
      <w:r>
        <w:t xml:space="preserve"> </w:t>
      </w:r>
      <m:oMath>
        <m:r>
          <m:t>k</m:t>
        </m:r>
      </m:oMath>
      <w:r>
        <w:t xml:space="preserve"> </w:t>
      </w:r>
      <w:r>
        <w:t xml:space="preserve">es el número de periodos activos. Para la instancia Medium (</w:t>
      </w:r>
      <m:oMath>
        <m:sSub>
          <m:e>
            <m:r>
              <m:t>n</m:t>
            </m:r>
          </m:e>
          <m:sub>
            <m:r>
              <m:t>t</m:t>
            </m:r>
          </m:sub>
        </m:sSub>
        <m:r>
          <m:rPr>
            <m:sty m:val="p"/>
          </m:rPr>
          <m:t>=</m:t>
        </m:r>
        <m:r>
          <m:t>12</m:t>
        </m:r>
      </m:oMath>
      <w:r>
        <w:t xml:space="preserve">,</w:t>
      </w:r>
      <w:r>
        <w:t xml:space="preserve"> </w:t>
      </w:r>
      <m:oMath>
        <m:sSup>
          <m:e>
            <m:r>
              <m:t>Q</m:t>
            </m:r>
          </m:e>
          <m:sup>
            <m:r>
              <m:t>m</m:t>
            </m:r>
            <m:r>
              <m:t>i</m:t>
            </m:r>
            <m:r>
              <m:t>n</m:t>
            </m:r>
          </m:sup>
        </m:sSup>
        <m:r>
          <m:rPr>
            <m:sty m:val="p"/>
          </m:rPr>
          <m:t>=</m:t>
        </m:r>
        <m:r>
          <m:t>100</m:t>
        </m:r>
      </m:oMath>
      <w:r>
        <w:t xml:space="preserve">,</w:t>
      </w:r>
      <w:r>
        <w:t xml:space="preserve"> </w:t>
      </w:r>
      <m:oMath>
        <m:sSup>
          <m:e>
            <m:r>
              <m:t>Q</m:t>
            </m:r>
          </m:e>
          <m:sup>
            <m:r>
              <m:t>m</m:t>
            </m:r>
            <m:r>
              <m:t>a</m:t>
            </m:r>
            <m:r>
              <m:t>x</m:t>
            </m:r>
          </m:sup>
        </m:sSup>
        <m:r>
          <m:rPr>
            <m:sty m:val="p"/>
          </m:rPr>
          <m:t>=</m:t>
        </m:r>
        <m:r>
          <m:t>1000</m:t>
        </m:r>
      </m:oMath>
      <w:r>
        <w:t xml:space="preserve">), esto equivale a</w:t>
      </w:r>
      <w:r>
        <w:t xml:space="preserve"> </w:t>
      </w:r>
      <m:oMath>
        <m:r>
          <m:rPr>
            <m:sty m:val="p"/>
          </m:rPr>
          <m:t>|</m:t>
        </m:r>
        <m:r>
          <m:rPr>
            <m:scr m:val="script"/>
            <m:sty m:val="p"/>
          </m:rPr>
          <m:t>S</m:t>
        </m:r>
        <m:r>
          <m:rPr>
            <m:sty m:val="p"/>
          </m:rPr>
          <m:t>|</m:t>
        </m:r>
        <m:r>
          <m:rPr>
            <m:sty m:val="p"/>
          </m:rPr>
          <m:t>=</m:t>
        </m:r>
        <m:r>
          <m:rPr>
            <m:sty m:val="p"/>
          </m:rPr>
          <m:t>(</m:t>
        </m:r>
        <m:r>
          <m:t>1</m:t>
        </m:r>
        <m:r>
          <m:rPr>
            <m:sty m:val="p"/>
          </m:rPr>
          <m:t>+</m:t>
        </m:r>
        <m:r>
          <m:t>901</m:t>
        </m:r>
        <m:sSup>
          <m:e>
            <m:r>
              <m:rPr>
                <m:sty m:val="p"/>
              </m:rPr>
              <m:t>)</m:t>
            </m:r>
          </m:e>
          <m:sup>
            <m:r>
              <m:t>12</m:t>
            </m:r>
          </m:sup>
        </m:sSup>
        <m:r>
          <m:rPr>
            <m:sty m:val="p"/>
          </m:rPr>
          <m:t>≈</m:t>
        </m:r>
        <m:r>
          <m:t>8.7</m:t>
        </m:r>
        <m:r>
          <m:rPr>
            <m:sty m:val="p"/>
          </m:rPr>
          <m:t>×</m:t>
        </m:r>
        <m:sSup>
          <m:e>
            <m:r>
              <m:t>10</m:t>
            </m:r>
          </m:e>
          <m:sup>
            <m:r>
              <m:t>35</m:t>
            </m:r>
          </m:sup>
        </m:sSup>
      </m:oMath>
      <w:r>
        <w:t xml:space="preserve">, un espacio que impide la enumeración exhaustiva y justifica el uso de metaheurísticas.</w:t>
      </w:r>
    </w:p>
    <w:bookmarkEnd w:id="51"/>
    <w:bookmarkStart w:id="55" w:name="operadores-de-vecindad"/>
    <w:p>
      <w:pPr>
        <w:pStyle w:val="Heading3"/>
      </w:pPr>
      <w:r>
        <w:t xml:space="preserve">6.2. Operadores de Vecindad</w:t>
      </w:r>
    </w:p>
    <w:p>
      <w:pPr>
        <w:pStyle w:val="FirstParagraph"/>
      </w:pPr>
      <w:r>
        <w:t xml:space="preserve">Los</w:t>
      </w:r>
      <w:r>
        <w:t xml:space="preserve"> </w:t>
      </w:r>
      <w:r>
        <w:rPr>
          <w:b/>
          <w:bCs/>
        </w:rPr>
        <w:t xml:space="preserve">operadores de vecindad</w:t>
      </w:r>
      <w:r>
        <w:t xml:space="preserve"> </w:t>
      </w:r>
      <w:r>
        <w:t xml:space="preserve">definen la estructura del espacio de búsqueda al determinar qué soluciones son</w:t>
      </w:r>
      <w:r>
        <w:t xml:space="preserve"> </w:t>
      </w:r>
      <w:r>
        <w:t xml:space="preserve">“alcanzables”</w:t>
      </w:r>
      <w:r>
        <w:t xml:space="preserve"> </w:t>
      </w:r>
      <w:r>
        <w:t xml:space="preserve">desde una solución dada en un solo movimiento. Estos operadores son utilizados directamente por el Recocido Simulado (SA, §6.8) y por la fase de búsqueda local del híbrido GA-SA (§6.10).</w:t>
      </w:r>
    </w:p>
    <w:p>
      <w:pPr>
        <w:pStyle w:val="BodyText"/>
      </w:pPr>
      <w:r>
        <w:t xml:space="preserve">Se definen tres estructuras de vecindad, cada una diseñada para perturbar un aspecto diferente del cromosoma:</w:t>
      </w:r>
    </w:p>
    <w:p>
      <w:pPr>
        <w:pStyle w:val="BodyText"/>
      </w:pPr>
      <w:r>
        <w:rPr>
          <w:b/>
          <w:bCs/>
        </w:rPr>
        <w:t xml:space="preserve">Definición 1 — Vecindad de Toggle (exploración estructural).</w:t>
      </w:r>
      <w:r>
        <w:t xml:space="preserve"> </w:t>
      </w:r>
      <w:r>
        <w:t xml:space="preserve">Dado un cromosoma</w:t>
      </w:r>
      <w:r>
        <w:t xml:space="preserve"> </w:t>
      </w:r>
      <m:oMath>
        <m:r>
          <m:rPr>
            <m:sty m:val="b"/>
          </m:rPr>
          <m:t>s</m:t>
        </m:r>
        <m:r>
          <m:rPr>
            <m:sty m:val="p"/>
          </m:rPr>
          <m:t>=</m:t>
        </m:r>
        <m:r>
          <m:rPr>
            <m:sty m:val="p"/>
          </m:rPr>
          <m:t>(</m:t>
        </m:r>
        <m:r>
          <m:rPr>
            <m:sty m:val="b"/>
          </m:rPr>
          <m:t>y</m:t>
        </m:r>
        <m:r>
          <m:rPr>
            <m:sty m:val="p"/>
          </m:rPr>
          <m:t>,</m:t>
        </m:r>
        <m:r>
          <m:rPr>
            <m:sty m:val="b"/>
          </m:rPr>
          <m:t>q</m:t>
        </m:r>
        <m:r>
          <m:rPr>
            <m:sty m:val="p"/>
          </m:rPr>
          <m:t>)</m:t>
        </m:r>
      </m:oMath>
      <w:r>
        <w:t xml:space="preserve">, la vecindad de toggle</w:t>
      </w:r>
      <w:r>
        <w:t xml:space="preserve"> </w:t>
      </w:r>
      <m:oMath>
        <m:sSub>
          <m:e>
            <m:r>
              <m:t>N</m:t>
            </m:r>
          </m:e>
          <m:sub>
            <m:r>
              <m:t>t</m:t>
            </m:r>
            <m:r>
              <m:t>o</m:t>
            </m:r>
            <m:r>
              <m:t>g</m:t>
            </m:r>
            <m:r>
              <m:t>g</m:t>
            </m:r>
            <m:r>
              <m:t>l</m:t>
            </m:r>
            <m:r>
              <m:t>e</m:t>
            </m:r>
          </m:sub>
        </m:sSub>
        <m:r>
          <m:rPr>
            <m:sty m:val="p"/>
          </m:rPr>
          <m:t>(</m:t>
        </m:r>
        <m:r>
          <m:rPr>
            <m:sty m:val="b"/>
          </m:rPr>
          <m:t>s</m:t>
        </m:r>
        <m:r>
          <m:rPr>
            <m:sty m:val="p"/>
          </m:rPr>
          <m:t>,</m:t>
        </m:r>
        <m:r>
          <m:t>k</m:t>
        </m:r>
        <m:r>
          <m:rPr>
            <m:sty m:val="p"/>
          </m:rPr>
          <m:t>)</m:t>
        </m:r>
      </m:oMath>
      <w:r>
        <w:t xml:space="preserve"> </w:t>
      </w:r>
      <w:r>
        <w:t xml:space="preserve">genera un vecino invirtiendo</w:t>
      </w:r>
      <w:r>
        <w:t xml:space="preserve"> </w:t>
      </w:r>
      <m:oMath>
        <m:r>
          <m:t>k</m:t>
        </m:r>
      </m:oMath>
      <w:r>
        <w:t xml:space="preserve"> </w:t>
      </w:r>
      <w:r>
        <w:t xml:space="preserve">bits seleccionados aleatoriamente del vector de setup:</w:t>
      </w:r>
    </w:p>
    <w:p>
      <w:pPr>
        <w:pStyle w:val="BodyText"/>
      </w:pPr>
    </w:p>
    <w:p>
      <w:pPr>
        <w:pStyle w:val="BodyText"/>
      </w:pPr>
      <w:r>
        <w:t xml:space="preserve">Este operador modifica la</w:t>
      </w:r>
      <w:r>
        <w:t xml:space="preserve"> </w:t>
      </w:r>
      <w:r>
        <w:rPr>
          <w:b/>
          <w:bCs/>
        </w:rPr>
        <w:t xml:space="preserve">estructura de producción</w:t>
      </w:r>
      <w:r>
        <w:t xml:space="preserve"> </w:t>
      </w:r>
      <w:r>
        <w:t xml:space="preserve">(qué periodos producen), generando movimientos de largo alcance en el espacio de soluciones. Por defecto,</w:t>
      </w:r>
      <w:r>
        <w:t xml:space="preserve"> </w:t>
      </w:r>
      <m:oMath>
        <m:r>
          <m:t>k</m:t>
        </m:r>
        <m:r>
          <m:rPr>
            <m:sty m:val="p"/>
          </m:rPr>
          <m:t>=</m:t>
        </m:r>
        <m:r>
          <m:t>1</m:t>
        </m:r>
      </m:oMath>
      <w:r>
        <w:t xml:space="preserve">.</w:t>
      </w:r>
    </w:p>
    <w:p>
      <w:pPr>
        <w:pStyle w:val="BodyText"/>
      </w:pPr>
      <w:r>
        <w:rPr>
          <w:b/>
          <w:bCs/>
        </w:rPr>
        <w:t xml:space="preserve">Definición 2 — Vecindad de Cantidad (explotación local).</w:t>
      </w:r>
      <w:r>
        <w:t xml:space="preserve"> </w:t>
      </w:r>
      <w:r>
        <w:t xml:space="preserve">La vecindad de cantidad</w:t>
      </w:r>
      <w:r>
        <w:t xml:space="preserve"> </w:t>
      </w:r>
      <m:oMath>
        <m:sSub>
          <m:e>
            <m:r>
              <m:t>N</m:t>
            </m:r>
          </m:e>
          <m:sub>
            <m:r>
              <m:t>q</m:t>
            </m:r>
            <m:r>
              <m:t>u</m:t>
            </m:r>
            <m:r>
              <m:t>a</m:t>
            </m:r>
            <m:r>
              <m:t>n</m:t>
            </m:r>
            <m:r>
              <m:t>t</m:t>
            </m:r>
            <m:r>
              <m:t>i</m:t>
            </m:r>
            <m:r>
              <m:t>t</m:t>
            </m:r>
            <m:r>
              <m:t>y</m:t>
            </m:r>
          </m:sub>
        </m:sSub>
        <m:r>
          <m:rPr>
            <m:sty m:val="p"/>
          </m:rPr>
          <m:t>(</m:t>
        </m:r>
        <m:r>
          <m:rPr>
            <m:sty m:val="b"/>
          </m:rPr>
          <m:t>s</m:t>
        </m:r>
        <m:r>
          <m:rPr>
            <m:sty m:val="p"/>
          </m:rPr>
          <m:t>,</m:t>
        </m:r>
        <m:r>
          <m:t>δ</m:t>
        </m:r>
        <m:r>
          <m:rPr>
            <m:sty m:val="p"/>
          </m:rPr>
          <m:t>)</m:t>
        </m:r>
      </m:oMath>
      <w:r>
        <w:t xml:space="preserve"> </w:t>
      </w:r>
      <w:r>
        <w:t xml:space="preserve">perturba el vector de cantidades con ruido gaussiano, solo en periodos activos:</w:t>
      </w:r>
    </w:p>
    <w:p>
      <w:pPr>
        <w:pStyle w:val="BodyText"/>
      </w:pPr>
    </w:p>
    <w:p>
      <w:pPr>
        <w:pStyle w:val="BodyText"/>
      </w:pPr>
      <w:r>
        <w:t xml:space="preserve">donde</w:t>
      </w:r>
      <w:r>
        <w:t xml:space="preserve"> </w:t>
      </w:r>
      <m:oMath>
        <m:r>
          <m:t>δ</m:t>
        </m:r>
        <m:r>
          <m:rPr>
            <m:sty m:val="p"/>
          </m:rPr>
          <m:t>∈</m:t>
        </m:r>
        <m:r>
          <m:rPr>
            <m:sty m:val="p"/>
          </m:rPr>
          <m:t>(</m:t>
        </m:r>
        <m:r>
          <m:t>0</m:t>
        </m:r>
        <m:r>
          <m:rPr>
            <m:sty m:val="p"/>
          </m:rPr>
          <m:t>,</m:t>
        </m:r>
        <m:r>
          <m:t>1</m:t>
        </m:r>
        <m:r>
          <m:rPr>
            <m:sty m:val="p"/>
          </m:rPr>
          <m:t>)</m:t>
        </m:r>
      </m:oMath>
      <w:r>
        <w:t xml:space="preserve"> </w:t>
      </w:r>
      <w:r>
        <w:t xml:space="preserve">controla la magnitud de la perturbación. Este operador realiza ajustes finos en las cantidades de producción sin modificar la estructura de periodos activos, favoreciendo la</w:t>
      </w:r>
      <w:r>
        <w:t xml:space="preserve"> </w:t>
      </w:r>
      <w:r>
        <w:rPr>
          <w:b/>
          <w:bCs/>
        </w:rPr>
        <w:t xml:space="preserve">explotación local</w:t>
      </w:r>
      <w:r>
        <w:t xml:space="preserve">.</w:t>
      </w:r>
    </w:p>
    <w:p>
      <w:pPr>
        <w:pStyle w:val="BodyText"/>
      </w:pPr>
      <w:r>
        <w:rPr>
          <w:b/>
          <w:bCs/>
        </w:rPr>
        <w:t xml:space="preserve">Definición 3 — Vecindad Mixta (balance exploración-explotación).</w:t>
      </w:r>
      <w:r>
        <w:t xml:space="preserve"> </w:t>
      </w:r>
      <w:r>
        <w:t xml:space="preserve">El SA utiliza una selección probabilística entre las tres opciones en cada iteración:</w:t>
      </w:r>
    </w:p>
    <w:p>
      <w:pPr>
        <w:pStyle w:val="Compact"/>
        <w:numPr>
          <w:ilvl w:val="0"/>
          <w:numId w:val="1020"/>
        </w:numPr>
      </w:pPr>
      <w:r>
        <w:t xml:space="preserve">Con probabilidad</w:t>
      </w:r>
      <w:r>
        <w:t xml:space="preserve"> </w:t>
      </w:r>
      <m:oMath>
        <m:sSub>
          <m:e>
            <m:r>
              <m:t>p</m:t>
            </m:r>
          </m:e>
          <m:sub>
            <m:r>
              <m:t>t</m:t>
            </m:r>
            <m:r>
              <m:t>o</m:t>
            </m:r>
            <m:r>
              <m:t>g</m:t>
            </m:r>
            <m:r>
              <m:t>g</m:t>
            </m:r>
            <m:r>
              <m:t>l</m:t>
            </m:r>
            <m:r>
              <m:t>e</m:t>
            </m:r>
          </m:sub>
        </m:sSub>
      </m:oMath>
      <w:r>
        <w:t xml:space="preserve">: aplicar</w:t>
      </w:r>
      <w:r>
        <w:t xml:space="preserve"> </w:t>
      </w:r>
      <m:oMath>
        <m:sSub>
          <m:e>
            <m:r>
              <m:t>N</m:t>
            </m:r>
          </m:e>
          <m:sub>
            <m:r>
              <m:t>t</m:t>
            </m:r>
            <m:r>
              <m:t>o</m:t>
            </m:r>
            <m:r>
              <m:t>g</m:t>
            </m:r>
            <m:r>
              <m:t>g</m:t>
            </m:r>
            <m:r>
              <m:t>l</m:t>
            </m:r>
            <m:r>
              <m:t>e</m:t>
            </m:r>
          </m:sub>
        </m:sSub>
      </m:oMath>
    </w:p>
    <w:p>
      <w:pPr>
        <w:pStyle w:val="Compact"/>
        <w:numPr>
          <w:ilvl w:val="0"/>
          <w:numId w:val="1020"/>
        </w:numPr>
      </w:pPr>
      <w:r>
        <w:t xml:space="preserve">Con probabilidad</w:t>
      </w:r>
      <w:r>
        <w:t xml:space="preserve"> </w:t>
      </w:r>
      <m:oMath>
        <m:sSub>
          <m:e>
            <m:r>
              <m:t>p</m:t>
            </m:r>
          </m:e>
          <m:sub>
            <m:r>
              <m:t>q</m:t>
            </m:r>
            <m:r>
              <m:t>u</m:t>
            </m:r>
            <m:r>
              <m:t>a</m:t>
            </m:r>
            <m:r>
              <m:t>n</m:t>
            </m:r>
            <m:r>
              <m:t>t</m:t>
            </m:r>
            <m:r>
              <m:t>i</m:t>
            </m:r>
            <m:r>
              <m:t>t</m:t>
            </m:r>
            <m:r>
              <m:t>y</m:t>
            </m:r>
          </m:sub>
        </m:sSub>
      </m:oMath>
      <w:r>
        <w:t xml:space="preserve">: aplicar</w:t>
      </w:r>
      <w:r>
        <w:t xml:space="preserve"> </w:t>
      </w:r>
      <m:oMath>
        <m:sSub>
          <m:e>
            <m:r>
              <m:t>N</m:t>
            </m:r>
          </m:e>
          <m:sub>
            <m:r>
              <m:t>q</m:t>
            </m:r>
            <m:r>
              <m:t>u</m:t>
            </m:r>
            <m:r>
              <m:t>a</m:t>
            </m:r>
            <m:r>
              <m:t>n</m:t>
            </m:r>
            <m:r>
              <m:t>t</m:t>
            </m:r>
            <m:r>
              <m:t>i</m:t>
            </m:r>
            <m:r>
              <m:t>t</m:t>
            </m:r>
            <m:r>
              <m:t>y</m:t>
            </m:r>
          </m:sub>
        </m:sSub>
      </m:oMath>
    </w:p>
    <w:p>
      <w:pPr>
        <w:pStyle w:val="Compact"/>
        <w:numPr>
          <w:ilvl w:val="0"/>
          <w:numId w:val="1020"/>
        </w:numPr>
      </w:pPr>
      <w:r>
        <w:t xml:space="preserve">Con probabilidad</w:t>
      </w:r>
      <w:r>
        <w:t xml:space="preserve"> </w:t>
      </w:r>
      <m:oMath>
        <m:r>
          <m:t>1</m:t>
        </m:r>
        <m:r>
          <m:rPr>
            <m:sty m:val="p"/>
          </m:rPr>
          <m:t>−</m:t>
        </m:r>
        <m:sSub>
          <m:e>
            <m:r>
              <m:t>p</m:t>
            </m:r>
          </m:e>
          <m:sub>
            <m:r>
              <m:t>t</m:t>
            </m:r>
            <m:r>
              <m:t>o</m:t>
            </m:r>
            <m:r>
              <m:t>g</m:t>
            </m:r>
            <m:r>
              <m:t>g</m:t>
            </m:r>
            <m:r>
              <m:t>l</m:t>
            </m:r>
            <m:r>
              <m:t>e</m:t>
            </m:r>
          </m:sub>
        </m:sSub>
        <m:r>
          <m:rPr>
            <m:sty m:val="p"/>
          </m:rPr>
          <m:t>−</m:t>
        </m:r>
        <m:sSub>
          <m:e>
            <m:r>
              <m:t>p</m:t>
            </m:r>
          </m:e>
          <m:sub>
            <m:r>
              <m:t>q</m:t>
            </m:r>
            <m:r>
              <m:t>u</m:t>
            </m:r>
            <m:r>
              <m:t>a</m:t>
            </m:r>
            <m:r>
              <m:t>n</m:t>
            </m:r>
            <m:r>
              <m:t>t</m:t>
            </m:r>
            <m:r>
              <m:t>i</m:t>
            </m:r>
            <m:r>
              <m:t>t</m:t>
            </m:r>
            <m:r>
              <m:t>y</m:t>
            </m:r>
          </m:sub>
        </m:sSub>
      </m:oMath>
      <w:r>
        <w:t xml:space="preserve">: aplicar ambas secuencialmente</w:t>
      </w:r>
    </w:p>
    <w:p>
      <w:pPr>
        <w:pStyle w:val="FirstParagraph"/>
      </w:pPr>
      <w:r>
        <w:t xml:space="preserve">Este mecanismo permite al SA alternar entre movimientos exploratorios (cambiar estructura) y explotatorios (refinar cantidades) de manera adaptativa.</w:t>
      </w:r>
    </w:p>
    <w:p>
      <w:pPr>
        <w:pStyle w:val="BodyText"/>
      </w:pPr>
      <w:r>
        <w:rPr>
          <w:b/>
          <w:bCs/>
          <w:i/>
          <w:iCs/>
        </w:rPr>
        <w:t xml:space="preserve">Tabla 5b.</w:t>
      </w:r>
      <w:r>
        <w:rPr>
          <w:i/>
          <w:iCs/>
        </w:rPr>
        <w:t xml:space="preserve"> </w:t>
      </w:r>
      <w:r>
        <w:rPr>
          <w:i/>
          <w:iCs/>
        </w:rPr>
        <w:t xml:space="preserve">Ejemplo de aplicación de operadores de vecindad sobre un cromosoma con</w:t>
      </w:r>
      <w:r>
        <w:rPr>
          <w:i/>
          <w:iCs/>
        </w:rPr>
        <w:t xml:space="preserve"> </w:t>
      </w:r>
      <m:oMath>
        <m:sSub>
          <m:e>
            <m:r>
              <m:t>n</m:t>
            </m:r>
          </m:e>
          <m:sub>
            <m:r>
              <m:t>t</m:t>
            </m:r>
          </m:sub>
        </m:sSub>
        <m:r>
          <m:rPr>
            <m:sty m:val="p"/>
          </m:rPr>
          <m:t>=</m:t>
        </m:r>
        <m:r>
          <m:t>6</m:t>
        </m:r>
      </m:oMath>
    </w:p>
    <w:tbl>
      <w:tblPr>
        <w:tblStyle w:val="Table"/>
        <w:tblW w:type="pct" w:w="5000"/>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pPr>
          </w:p>
        </w:tc>
        <w:tc>
          <w:tcPr/>
          <w:p>
            <w:pPr>
              <w:pStyle w:val="Compact"/>
              <w:jc w:val="center"/>
            </w:pPr>
            <m:oMath>
              <m:r>
                <m:t>t</m:t>
              </m:r>
              <m:r>
                <m:rPr>
                  <m:sty m:val="p"/>
                </m:rPr>
                <m:t>=</m:t>
              </m:r>
              <m:r>
                <m:t>1</m:t>
              </m:r>
            </m:oMath>
          </w:p>
        </w:tc>
        <w:tc>
          <w:tcPr/>
          <w:p>
            <w:pPr>
              <w:pStyle w:val="Compact"/>
              <w:jc w:val="center"/>
            </w:pPr>
            <m:oMath>
              <m:r>
                <m:t>t</m:t>
              </m:r>
              <m:r>
                <m:rPr>
                  <m:sty m:val="p"/>
                </m:rPr>
                <m:t>=</m:t>
              </m:r>
              <m:r>
                <m:t>2</m:t>
              </m:r>
            </m:oMath>
          </w:p>
        </w:tc>
        <w:tc>
          <w:tcPr/>
          <w:p>
            <w:pPr>
              <w:pStyle w:val="Compact"/>
              <w:jc w:val="center"/>
            </w:pPr>
            <m:oMath>
              <m:r>
                <m:t>t</m:t>
              </m:r>
              <m:r>
                <m:rPr>
                  <m:sty m:val="p"/>
                </m:rPr>
                <m:t>=</m:t>
              </m:r>
              <m:r>
                <m:t>3</m:t>
              </m:r>
            </m:oMath>
          </w:p>
        </w:tc>
        <w:tc>
          <w:tcPr/>
          <w:p>
            <w:pPr>
              <w:pStyle w:val="Compact"/>
              <w:jc w:val="center"/>
            </w:pPr>
            <m:oMath>
              <m:r>
                <m:t>t</m:t>
              </m:r>
              <m:r>
                <m:rPr>
                  <m:sty m:val="p"/>
                </m:rPr>
                <m:t>=</m:t>
              </m:r>
              <m:r>
                <m:t>4</m:t>
              </m:r>
            </m:oMath>
          </w:p>
        </w:tc>
        <w:tc>
          <w:tcPr/>
          <w:p>
            <w:pPr>
              <w:pStyle w:val="Compact"/>
              <w:jc w:val="center"/>
            </w:pPr>
            <m:oMath>
              <m:r>
                <m:t>t</m:t>
              </m:r>
              <m:r>
                <m:rPr>
                  <m:sty m:val="p"/>
                </m:rPr>
                <m:t>=</m:t>
              </m:r>
              <m:r>
                <m:t>5</m:t>
              </m:r>
            </m:oMath>
          </w:p>
        </w:tc>
        <w:tc>
          <w:tcPr/>
          <w:p>
            <w:pPr>
              <w:pStyle w:val="Compact"/>
              <w:jc w:val="center"/>
            </w:pPr>
            <m:oMath>
              <m:r>
                <m:t>t</m:t>
              </m:r>
              <m:r>
                <m:rPr>
                  <m:sty m:val="p"/>
                </m:rPr>
                <m:t>=</m:t>
              </m:r>
              <m:r>
                <m:t>6</m:t>
              </m:r>
            </m:oMath>
          </w:p>
        </w:tc>
        <w:tc>
          <w:tcPr/>
          <w:p>
            <w:pPr>
              <w:pStyle w:val="Compact"/>
              <w:jc w:val="left"/>
            </w:pPr>
            <w:r>
              <w:t xml:space="preserve">Acción</w:t>
            </w:r>
          </w:p>
        </w:tc>
      </w:tr>
      <w:tr>
        <w:tc>
          <w:tcPr/>
          <w:p>
            <w:pPr>
              <w:pStyle w:val="Compact"/>
              <w:jc w:val="left"/>
            </w:pPr>
            <m:oMath>
              <m:r>
                <m:rPr>
                  <m:sty m:val="b"/>
                </m:rPr>
                <m:t>y</m:t>
              </m:r>
            </m:oMath>
            <w:r>
              <w:t xml:space="preserve"> </w:t>
            </w:r>
            <w:r>
              <w:t xml:space="preserve">Original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left"/>
            </w:pPr>
            <w:r>
              <w:t xml:space="preserve">—</w:t>
            </w:r>
          </w:p>
        </w:tc>
      </w:tr>
      <w:tr>
        <w:tc>
          <w:tcPr/>
          <w:p>
            <w:pPr>
              <w:pStyle w:val="Compact"/>
              <w:jc w:val="left"/>
            </w:pPr>
            <m:oMath>
              <m:r>
                <m:rPr>
                  <m:sty m:val="b"/>
                </m:rPr>
                <m:t>q</m:t>
              </m:r>
            </m:oMath>
            <w:r>
              <w:t xml:space="preserve"> </w:t>
            </w:r>
            <w:r>
              <w:t xml:space="preserve">Original</w:t>
            </w:r>
          </w:p>
        </w:tc>
        <w:tc>
          <w:tcPr/>
          <w:p>
            <w:pPr>
              <w:pStyle w:val="Compact"/>
              <w:jc w:val="center"/>
            </w:pPr>
            <w:r>
              <w:t xml:space="preserve">750</w:t>
            </w:r>
          </w:p>
        </w:tc>
        <w:tc>
          <w:tcPr/>
          <w:p>
            <w:pPr>
              <w:pStyle w:val="Compact"/>
              <w:jc w:val="center"/>
            </w:pPr>
            <w:r>
              <w:t xml:space="preserve">420</w:t>
            </w:r>
          </w:p>
        </w:tc>
        <w:tc>
          <w:tcPr/>
          <w:p>
            <w:pPr>
              <w:pStyle w:val="Compact"/>
              <w:jc w:val="center"/>
            </w:pPr>
            <w:r>
              <w:t xml:space="preserve">0</w:t>
            </w:r>
          </w:p>
        </w:tc>
        <w:tc>
          <w:tcPr/>
          <w:p>
            <w:pPr>
              <w:pStyle w:val="Compact"/>
              <w:jc w:val="center"/>
            </w:pPr>
            <w:r>
              <w:t xml:space="preserve">1000</w:t>
            </w:r>
          </w:p>
        </w:tc>
        <w:tc>
          <w:tcPr/>
          <w:p>
            <w:pPr>
              <w:pStyle w:val="Compact"/>
              <w:jc w:val="center"/>
            </w:pPr>
            <w:r>
              <w:t xml:space="preserve">0</w:t>
            </w:r>
          </w:p>
        </w:tc>
        <w:tc>
          <w:tcPr/>
          <w:p>
            <w:pPr>
              <w:pStyle w:val="Compact"/>
              <w:jc w:val="center"/>
            </w:pPr>
            <w:r>
              <w:t xml:space="preserve">300</w:t>
            </w:r>
          </w:p>
        </w:tc>
        <w:tc>
          <w:tcPr/>
          <w:p>
            <w:pPr>
              <w:pStyle w:val="Compact"/>
              <w:jc w:val="left"/>
            </w:pPr>
            <w:r>
              <w:t xml:space="preserve">—</w:t>
            </w:r>
          </w:p>
        </w:tc>
      </w:tr>
      <w:tr>
        <w:tc>
          <w:tcPr/>
          <w:p>
            <w:pPr>
              <w:pStyle w:val="Compact"/>
              <w:jc w:val="left"/>
            </w:pPr>
            <m:oMath>
              <m:sSup>
                <m:e>
                  <m:r>
                    <m:rPr>
                      <m:sty m:val="b"/>
                    </m:rPr>
                    <m:t>y</m:t>
                  </m:r>
                </m:e>
                <m:sup>
                  <m:r>
                    <m:rPr>
                      <m:sty m:val="p"/>
                    </m:rPr>
                    <m:t>′</m:t>
                  </m:r>
                </m:sup>
              </m:sSup>
            </m:oMath>
            <w:r>
              <w:t xml:space="preserve"> </w:t>
            </w:r>
            <w:r>
              <w:t xml:space="preserve">Toggle (</w:t>
            </w:r>
            <m:oMath>
              <m:sSub>
                <m:e>
                  <m:r>
                    <m:t>t</m:t>
                  </m:r>
                </m:e>
                <m:sub>
                  <m:r>
                    <m:t>1</m:t>
                  </m:r>
                </m:sub>
              </m:sSub>
              <m:r>
                <m:rPr>
                  <m:sty m:val="p"/>
                </m:rPr>
                <m:t>=</m:t>
              </m:r>
              <m:r>
                <m:t>3</m:t>
              </m:r>
            </m:oMath>
            <w:r>
              <w:t xml:space="preserve">)</w:t>
            </w:r>
          </w:p>
        </w:tc>
        <w:tc>
          <w:tcPr/>
          <w:p>
            <w:pPr>
              <w:pStyle w:val="Compact"/>
              <w:jc w:val="center"/>
            </w:pPr>
            <w:r>
              <w:t xml:space="preserve">1</w:t>
            </w:r>
          </w:p>
        </w:tc>
        <w:tc>
          <w:tcPr/>
          <w:p>
            <w:pPr>
              <w:pStyle w:val="Compact"/>
              <w:jc w:val="center"/>
            </w:pPr>
            <w:r>
              <w:t xml:space="preserve">1</w:t>
            </w:r>
          </w:p>
        </w:tc>
        <w:tc>
          <w:tcPr/>
          <w:p>
            <w:pPr>
              <w:pStyle w:val="Compact"/>
              <w:jc w:val="center"/>
            </w:pPr>
            <w:r>
              <w:rPr>
                <w:b/>
                <w:bCs/>
              </w:rP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left"/>
            </w:pPr>
            <w:r>
              <w:t xml:space="preserve">Activar</w:t>
            </w:r>
            <w:r>
              <w:t xml:space="preserve"> </w:t>
            </w:r>
            <m:oMath>
              <m:r>
                <m:t>t</m:t>
              </m:r>
              <m:r>
                <m:rPr>
                  <m:sty m:val="p"/>
                </m:rPr>
                <m:t>=</m:t>
              </m:r>
              <m:r>
                <m:t>3</m:t>
              </m:r>
            </m:oMath>
          </w:p>
        </w:tc>
      </w:tr>
      <w:tr>
        <w:tc>
          <w:tcPr/>
          <w:p>
            <w:pPr>
              <w:pStyle w:val="Compact"/>
              <w:jc w:val="left"/>
            </w:pPr>
            <m:oMath>
              <m:sSup>
                <m:e>
                  <m:r>
                    <m:rPr>
                      <m:sty m:val="b"/>
                    </m:rPr>
                    <m:t>q</m:t>
                  </m:r>
                </m:e>
                <m:sup>
                  <m:r>
                    <m:rPr>
                      <m:sty m:val="p"/>
                    </m:rPr>
                    <m:t>′</m:t>
                  </m:r>
                </m:sup>
              </m:sSup>
            </m:oMath>
            <w:r>
              <w:t xml:space="preserve"> </w:t>
            </w:r>
            <w:r>
              <w:t xml:space="preserve">Toggle</w:t>
            </w:r>
          </w:p>
        </w:tc>
        <w:tc>
          <w:tcPr/>
          <w:p>
            <w:pPr>
              <w:pStyle w:val="Compact"/>
              <w:jc w:val="center"/>
            </w:pPr>
            <w:r>
              <w:t xml:space="preserve">750</w:t>
            </w:r>
          </w:p>
        </w:tc>
        <w:tc>
          <w:tcPr/>
          <w:p>
            <w:pPr>
              <w:pStyle w:val="Compact"/>
              <w:jc w:val="center"/>
            </w:pPr>
            <w:r>
              <w:t xml:space="preserve">420</w:t>
            </w:r>
          </w:p>
        </w:tc>
        <w:tc>
          <w:tcPr/>
          <w:p>
            <w:pPr>
              <w:pStyle w:val="Compact"/>
              <w:jc w:val="center"/>
            </w:pPr>
            <w:r>
              <w:rPr>
                <w:b/>
                <w:bCs/>
              </w:rPr>
              <w:t xml:space="preserve">537</w:t>
            </w:r>
          </w:p>
        </w:tc>
        <w:tc>
          <w:tcPr/>
          <w:p>
            <w:pPr>
              <w:pStyle w:val="Compact"/>
              <w:jc w:val="center"/>
            </w:pPr>
            <w:r>
              <w:t xml:space="preserve">1000</w:t>
            </w:r>
          </w:p>
        </w:tc>
        <w:tc>
          <w:tcPr/>
          <w:p>
            <w:pPr>
              <w:pStyle w:val="Compact"/>
              <w:jc w:val="center"/>
            </w:pPr>
            <w:r>
              <w:t xml:space="preserve">0</w:t>
            </w:r>
          </w:p>
        </w:tc>
        <w:tc>
          <w:tcPr/>
          <w:p>
            <w:pPr>
              <w:pStyle w:val="Compact"/>
              <w:jc w:val="center"/>
            </w:pPr>
            <w:r>
              <w:t xml:space="preserve">300</w:t>
            </w:r>
          </w:p>
        </w:tc>
        <w:tc>
          <w:tcPr/>
          <w:p>
            <w:pPr>
              <w:pStyle w:val="Compact"/>
              <w:jc w:val="left"/>
            </w:pPr>
            <m:oMath>
              <m:sSub>
                <m:e>
                  <m:sSup>
                    <m:e>
                      <m:r>
                        <m:t>q</m:t>
                      </m:r>
                    </m:e>
                    <m:sup>
                      <m:r>
                        <m:rPr>
                          <m:sty m:val="p"/>
                        </m:rPr>
                        <m:t>′</m:t>
                      </m:r>
                    </m:sup>
                  </m:sSup>
                </m:e>
                <m:sub>
                  <m:r>
                    <m:t>3</m:t>
                  </m:r>
                </m:sub>
              </m:sSub>
              <m:r>
                <m:rPr>
                  <m:sty m:val="p"/>
                </m:rPr>
                <m:t>∼</m:t>
              </m:r>
              <m:r>
                <m:t>U</m:t>
              </m:r>
              <m:r>
                <m:rPr>
                  <m:sty m:val="p"/>
                </m:rPr>
                <m:t>[</m:t>
              </m:r>
              <m:r>
                <m:t>100</m:t>
              </m:r>
              <m:r>
                <m:rPr>
                  <m:sty m:val="p"/>
                </m:rPr>
                <m:t>,</m:t>
              </m:r>
              <m:r>
                <m:t>1000</m:t>
              </m:r>
              <m:r>
                <m:rPr>
                  <m:sty m:val="p"/>
                </m:rPr>
                <m:t>]</m:t>
              </m:r>
            </m:oMath>
          </w:p>
        </w:tc>
      </w:tr>
      <w:tr>
        <w:tc>
          <w:tcPr/>
          <w:p>
            <w:pPr>
              <w:pStyle w:val="Compact"/>
              <w:jc w:val="left"/>
            </w:pPr>
            <m:oMath>
              <m:sSup>
                <m:e>
                  <m:r>
                    <m:rPr>
                      <m:sty m:val="b"/>
                    </m:rPr>
                    <m:t>q</m:t>
                  </m:r>
                </m:e>
                <m:sup>
                  <m:r>
                    <m:rPr>
                      <m:sty m:val="p"/>
                    </m:rPr>
                    <m:t>′</m:t>
                  </m:r>
                </m:sup>
              </m:sSup>
            </m:oMath>
            <w:r>
              <w:t xml:space="preserve"> </w:t>
            </w:r>
            <w:r>
              <w:t xml:space="preserve">Cantidad (</w:t>
            </w:r>
            <m:oMath>
              <m:r>
                <m:t>δ</m:t>
              </m:r>
              <m:r>
                <m:rPr>
                  <m:sty m:val="p"/>
                </m:rPr>
                <m:t>=</m:t>
              </m:r>
              <m:r>
                <m:t>0.15</m:t>
              </m:r>
            </m:oMath>
            <w:r>
              <w:t xml:space="preserve">)</w:t>
            </w:r>
          </w:p>
        </w:tc>
        <w:tc>
          <w:tcPr/>
          <w:p>
            <w:pPr>
              <w:pStyle w:val="Compact"/>
              <w:jc w:val="center"/>
            </w:pPr>
            <w:r>
              <w:rPr>
                <w:b/>
                <w:bCs/>
              </w:rPr>
              <w:t xml:space="preserve">712</w:t>
            </w:r>
          </w:p>
        </w:tc>
        <w:tc>
          <w:tcPr/>
          <w:p>
            <w:pPr>
              <w:pStyle w:val="Compact"/>
              <w:jc w:val="center"/>
            </w:pPr>
            <w:r>
              <w:rPr>
                <w:b/>
                <w:bCs/>
              </w:rPr>
              <w:t xml:space="preserve">480</w:t>
            </w:r>
          </w:p>
        </w:tc>
        <w:tc>
          <w:tcPr/>
          <w:p>
            <w:pPr>
              <w:pStyle w:val="Compact"/>
              <w:jc w:val="center"/>
            </w:pPr>
            <w:r>
              <w:t xml:space="preserve">0</w:t>
            </w:r>
          </w:p>
        </w:tc>
        <w:tc>
          <w:tcPr/>
          <w:p>
            <w:pPr>
              <w:pStyle w:val="Compact"/>
              <w:jc w:val="center"/>
            </w:pPr>
            <w:r>
              <w:rPr>
                <w:b/>
                <w:bCs/>
              </w:rPr>
              <w:t xml:space="preserve">955</w:t>
            </w:r>
          </w:p>
        </w:tc>
        <w:tc>
          <w:tcPr/>
          <w:p>
            <w:pPr>
              <w:pStyle w:val="Compact"/>
              <w:jc w:val="center"/>
            </w:pPr>
            <w:r>
              <w:t xml:space="preserve">0</w:t>
            </w:r>
          </w:p>
        </w:tc>
        <w:tc>
          <w:tcPr/>
          <w:p>
            <w:pPr>
              <w:pStyle w:val="Compact"/>
              <w:jc w:val="center"/>
            </w:pPr>
            <w:r>
              <w:rPr>
                <w:b/>
                <w:bCs/>
              </w:rPr>
              <w:t xml:space="preserve">328</w:t>
            </w:r>
          </w:p>
        </w:tc>
        <w:tc>
          <w:tcPr/>
          <w:p>
            <w:pPr>
              <w:pStyle w:val="Compact"/>
              <w:jc w:val="left"/>
            </w:pPr>
            <w:r>
              <w:t xml:space="preserve">Perturbación global</w:t>
            </w:r>
          </w:p>
        </w:tc>
      </w:tr>
    </w:tbl>
    <w:p>
      <w:pPr>
        <w:pStyle w:val="CaptionedFigure"/>
      </w:pPr>
      <w:r>
        <w:drawing>
          <wp:inline>
            <wp:extent cx="4800600" cy="2979022"/>
            <wp:effectExtent b="0" l="0" r="0" t="0"/>
            <wp:docPr descr="Operadores de vecindad: toggle (exploración), cantidad (explotación) y mixta (balance)" title="" id="53" name="Picture"/>
            <a:graphic>
              <a:graphicData uri="http://schemas.openxmlformats.org/drawingml/2006/picture">
                <pic:pic>
                  <pic:nvPicPr>
                    <pic:cNvPr descr="figuras/fig_neighborhood_operators.png" id="54" name="Picture"/>
                    <pic:cNvPicPr>
                      <a:picLocks noChangeArrowheads="1" noChangeAspect="1"/>
                    </pic:cNvPicPr>
                  </pic:nvPicPr>
                  <pic:blipFill>
                    <a:blip r:embed="rId52"/>
                    <a:stretch>
                      <a:fillRect/>
                    </a:stretch>
                  </pic:blipFill>
                  <pic:spPr bwMode="auto">
                    <a:xfrm>
                      <a:off x="0" y="0"/>
                      <a:ext cx="4800600" cy="2979022"/>
                    </a:xfrm>
                    <a:prstGeom prst="rect">
                      <a:avLst/>
                    </a:prstGeom>
                    <a:noFill/>
                    <a:ln w="9525">
                      <a:noFill/>
                      <a:headEnd/>
                      <a:tailEnd/>
                    </a:ln>
                  </pic:spPr>
                </pic:pic>
              </a:graphicData>
            </a:graphic>
          </wp:inline>
        </w:drawing>
      </w:r>
    </w:p>
    <w:p>
      <w:pPr>
        <w:pStyle w:val="ImageCaption"/>
      </w:pPr>
      <w:r>
        <w:t xml:space="preserve">Operadores de vecindad: toggle (exploración), cantidad (explotación) y mixta (balance)</w:t>
      </w:r>
    </w:p>
    <w:p>
      <w:pPr>
        <w:pStyle w:val="BodyText"/>
      </w:pPr>
      <w:r>
        <w:rPr>
          <w:b/>
          <w:bCs/>
          <w:i/>
          <w:iCs/>
        </w:rPr>
        <w:t xml:space="preserve">Figura 5c.</w:t>
      </w:r>
      <w:r>
        <w:rPr>
          <w:i/>
          <w:iCs/>
        </w:rPr>
        <w:t xml:space="preserve"> </w:t>
      </w:r>
      <w:r>
        <w:rPr>
          <w:i/>
          <w:iCs/>
        </w:rPr>
        <w:t xml:space="preserve">Representación visual de los tres operadores de vecindad. El operador toggle (</w:t>
      </w:r>
      <m:oMath>
        <m:sSub>
          <m:e>
            <m:r>
              <m:t>N</m:t>
            </m:r>
          </m:e>
          <m:sub>
            <m:r>
              <m:t>t</m:t>
            </m:r>
            <m:r>
              <m:t>o</m:t>
            </m:r>
            <m:r>
              <m:t>g</m:t>
            </m:r>
            <m:r>
              <m:t>g</m:t>
            </m:r>
            <m:r>
              <m:t>l</m:t>
            </m:r>
            <m:r>
              <m:t>e</m:t>
            </m:r>
          </m:sub>
        </m:sSub>
      </m:oMath>
      <w:r>
        <w:rPr>
          <w:i/>
          <w:iCs/>
        </w:rPr>
        <w:t xml:space="preserve">) modifica la estructura de periodos activos invirtiendo bits del vector de setup. El operador de cantidad (</w:t>
      </w:r>
      <m:oMath>
        <m:sSub>
          <m:e>
            <m:r>
              <m:t>N</m:t>
            </m:r>
          </m:e>
          <m:sub>
            <m:r>
              <m:t>q</m:t>
            </m:r>
            <m:r>
              <m:t>u</m:t>
            </m:r>
            <m:r>
              <m:t>a</m:t>
            </m:r>
            <m:r>
              <m:t>n</m:t>
            </m:r>
            <m:r>
              <m:t>t</m:t>
            </m:r>
            <m:r>
              <m:t>i</m:t>
            </m:r>
            <m:r>
              <m:t>t</m:t>
            </m:r>
            <m:r>
              <m:t>y</m:t>
            </m:r>
          </m:sub>
        </m:sSub>
      </m:oMath>
      <w:r>
        <w:rPr>
          <w:i/>
          <w:iCs/>
        </w:rPr>
        <w:t xml:space="preserve">) perturba las cantidades de producción con ruido gaussiano. El operador mixto (</w:t>
      </w:r>
      <m:oMath>
        <m:sSub>
          <m:e>
            <m:r>
              <m:t>N</m:t>
            </m:r>
          </m:e>
          <m:sub>
            <m:r>
              <m:t>m</m:t>
            </m:r>
            <m:r>
              <m:t>i</m:t>
            </m:r>
            <m:r>
              <m:t>x</m:t>
            </m:r>
            <m:r>
              <m:t>t</m:t>
            </m:r>
            <m:r>
              <m:t>a</m:t>
            </m:r>
          </m:sub>
        </m:sSub>
      </m:oMath>
      <w:r>
        <w:rPr>
          <w:i/>
          <w:iCs/>
        </w:rPr>
        <w:t xml:space="preserve">) selecciona probabilísticamente entre ambos, logrando un balance entre exploración y explotación.</w:t>
      </w:r>
    </w:p>
    <w:bookmarkEnd w:id="55"/>
    <w:bookmarkStart w:id="58" w:name="operadores-genéticos"/>
    <w:p>
      <w:pPr>
        <w:pStyle w:val="Heading3"/>
      </w:pPr>
      <w:r>
        <w:t xml:space="preserve">6.3. Operadores Genéticos</w:t>
      </w:r>
    </w:p>
    <w:p>
      <w:pPr>
        <w:pStyle w:val="FirstParagraph"/>
      </w:pPr>
      <w:r>
        <w:t xml:space="preserve">Los</w:t>
      </w:r>
      <w:r>
        <w:t xml:space="preserve"> </w:t>
      </w:r>
      <w:r>
        <w:rPr>
          <w:b/>
          <w:bCs/>
        </w:rPr>
        <w:t xml:space="preserve">operadores genéticos</w:t>
      </w:r>
      <w:r>
        <w:t xml:space="preserve"> </w:t>
      </w:r>
      <w:r>
        <w:t xml:space="preserve">son los mecanismos de variación utilizados por los algoritmos basados en población (GA, §6.7 y GA-SA, §6.10) para generar nuevas soluciones a partir de las existentes.</w:t>
      </w:r>
    </w:p>
    <w:bookmarkStart w:id="56" w:name="cruce-de-dos-puntos"/>
    <w:p>
      <w:pPr>
        <w:pStyle w:val="Heading4"/>
      </w:pPr>
      <w:r>
        <w:t xml:space="preserve">6.3.1. Cruce de Dos Puntos</w:t>
      </w:r>
    </w:p>
    <w:p>
      <w:pPr>
        <w:pStyle w:val="FirstParagraph"/>
      </w:pPr>
      <w:r>
        <w:t xml:space="preserve">El cruce de dos puntos genera dos hijos intercambiando un segmento central entre dos padres. Se seleccionan aleatoriamente dos puntos de corte</w:t>
      </w:r>
      <w:r>
        <w:t xml:space="preserve"> </w:t>
      </w:r>
      <m:oMath>
        <m:sSub>
          <m:e>
            <m:r>
              <m:t>p</m:t>
            </m:r>
          </m:e>
          <m:sub>
            <m:r>
              <m:t>1</m:t>
            </m:r>
          </m:sub>
        </m:sSub>
        <m:r>
          <m:rPr>
            <m:sty m:val="p"/>
          </m:rPr>
          <m:t>&lt;</m:t>
        </m:r>
        <m:sSub>
          <m:e>
            <m:r>
              <m:t>p</m:t>
            </m:r>
          </m:e>
          <m:sub>
            <m:r>
              <m:t>2</m:t>
            </m:r>
          </m:sub>
        </m:sSub>
      </m:oMath>
      <w:r>
        <w:t xml:space="preserve"> </w:t>
      </w:r>
      <w:r>
        <w:t xml:space="preserve">en el rango</w:t>
      </w:r>
      <w:r>
        <w:t xml:space="preserve"> </w:t>
      </w:r>
      <m:oMath>
        <m:r>
          <m:rPr>
            <m:sty m:val="p"/>
          </m:rPr>
          <m:t>[</m:t>
        </m:r>
        <m:r>
          <m:t>1</m:t>
        </m:r>
        <m:r>
          <m:rPr>
            <m:sty m:val="p"/>
          </m:rPr>
          <m:t>,</m:t>
        </m:r>
        <m:sSub>
          <m:e>
            <m:r>
              <m:t>n</m:t>
            </m:r>
          </m:e>
          <m:sub>
            <m:r>
              <m:t>t</m:t>
            </m:r>
          </m:sub>
        </m:sSub>
        <m:r>
          <m:rPr>
            <m:sty m:val="p"/>
          </m:rPr>
          <m:t>−</m:t>
        </m:r>
        <m:r>
          <m:t>1</m:t>
        </m:r>
        <m:r>
          <m:rPr>
            <m:sty m:val="p"/>
          </m:rPr>
          <m:t>]</m:t>
        </m:r>
      </m:oMath>
      <w:r>
        <w:t xml:space="preserve">, y se intercambian simultáneamente los segmentos correspondientes de</w:t>
      </w:r>
      <w:r>
        <w:t xml:space="preserve"> </w:t>
      </w:r>
      <m:oMath>
        <m:r>
          <m:rPr>
            <m:sty m:val="b"/>
          </m:rPr>
          <m:t>y</m:t>
        </m:r>
      </m:oMath>
      <w:r>
        <w:t xml:space="preserve"> </w:t>
      </w:r>
      <w:r>
        <w:t xml:space="preserve">y</w:t>
      </w:r>
      <w:r>
        <w:t xml:space="preserve"> </w:t>
      </w:r>
      <m:oMath>
        <m:r>
          <m:rPr>
            <m:sty m:val="b"/>
          </m:rPr>
          <m:t>q</m:t>
        </m:r>
      </m:oMath>
      <w:r>
        <w:t xml:space="preserve">:</w:t>
      </w:r>
    </w:p>
    <w:p>
      <w:pPr>
        <w:pStyle w:val="BodyText"/>
      </w:pPr>
    </w:p>
    <w:p>
      <w:pPr>
        <w:pStyle w:val="BodyText"/>
      </w:pPr>
      <w:r>
        <w:t xml:space="preserve">El mismo patrón de intercambio se aplica al vector</w:t>
      </w:r>
      <w:r>
        <w:t xml:space="preserve"> </w:t>
      </w:r>
      <m:oMath>
        <m:r>
          <m:rPr>
            <m:sty m:val="b"/>
          </m:rPr>
          <m:t>q</m:t>
        </m:r>
      </m:oMath>
      <w:r>
        <w:t xml:space="preserve">. Tras el cruce, se aplica el mecanismo de reparación (§6.4) para garantizar factibilidad.</w:t>
      </w:r>
    </w:p>
    <w:p>
      <w:pPr>
        <w:pStyle w:val="BodyText"/>
      </w:pPr>
      <w:r>
        <w:rPr>
          <w:b/>
          <w:bCs/>
          <w:i/>
          <w:iCs/>
        </w:rPr>
        <w:t xml:space="preserve">Tabla 5c.</w:t>
      </w:r>
      <w:r>
        <w:rPr>
          <w:i/>
          <w:iCs/>
        </w:rPr>
        <w:t xml:space="preserve"> </w:t>
      </w:r>
      <w:r>
        <w:rPr>
          <w:i/>
          <w:iCs/>
        </w:rPr>
        <w:t xml:space="preserve">Ejemplo de cruce de dos puntos con</w:t>
      </w:r>
      <w:r>
        <w:rPr>
          <w:i/>
          <w:iCs/>
        </w:rPr>
        <w:t xml:space="preserve"> </w:t>
      </w:r>
      <m:oMath>
        <m:sSub>
          <m:e>
            <m:r>
              <m:t>p</m:t>
            </m:r>
          </m:e>
          <m:sub>
            <m:r>
              <m:t>1</m:t>
            </m:r>
          </m:sub>
        </m:sSub>
        <m:r>
          <m:rPr>
            <m:sty m:val="p"/>
          </m:rPr>
          <m:t>=</m:t>
        </m:r>
        <m:r>
          <m:t>2</m:t>
        </m:r>
      </m:oMath>
      <w:r>
        <w:rPr>
          <w:i/>
          <w:iCs/>
        </w:rPr>
        <w:t xml:space="preserve">,</w:t>
      </w:r>
      <w:r>
        <w:rPr>
          <w:i/>
          <w:iCs/>
        </w:rPr>
        <w:t xml:space="preserve"> </w:t>
      </w:r>
      <m:oMath>
        <m:sSub>
          <m:e>
            <m:r>
              <m:t>p</m:t>
            </m:r>
          </m:e>
          <m:sub>
            <m:r>
              <m:t>2</m:t>
            </m:r>
          </m:sub>
        </m:sSub>
        <m:r>
          <m:rPr>
            <m:sty m:val="p"/>
          </m:rPr>
          <m:t>=</m:t>
        </m:r>
        <m:r>
          <m:t>4</m:t>
        </m:r>
      </m:oMath>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jc w:val="center"/>
            </w:pPr>
            <m:oMath>
              <m:r>
                <m:t>t</m:t>
              </m:r>
              <m:r>
                <m:rPr>
                  <m:sty m:val="p"/>
                </m:rPr>
                <m:t>=</m:t>
              </m:r>
              <m:r>
                <m:t>1</m:t>
              </m:r>
            </m:oMath>
          </w:p>
        </w:tc>
        <w:tc>
          <w:tcPr/>
          <w:p>
            <w:pPr>
              <w:pStyle w:val="Compact"/>
              <w:jc w:val="center"/>
            </w:pPr>
            <m:oMath>
              <m:r>
                <m:t>t</m:t>
              </m:r>
              <m:r>
                <m:rPr>
                  <m:sty m:val="p"/>
                </m:rPr>
                <m:t>=</m:t>
              </m:r>
              <m:r>
                <m:t>2</m:t>
              </m:r>
            </m:oMath>
          </w:p>
        </w:tc>
        <w:tc>
          <w:tcPr/>
          <w:p>
            <w:pPr>
              <w:pStyle w:val="Compact"/>
              <w:jc w:val="center"/>
            </w:pPr>
            <m:oMath>
              <m:r>
                <m:t>t</m:t>
              </m:r>
              <m:r>
                <m:rPr>
                  <m:sty m:val="p"/>
                </m:rPr>
                <m:t>=</m:t>
              </m:r>
              <m:r>
                <m:t>3</m:t>
              </m:r>
            </m:oMath>
          </w:p>
        </w:tc>
        <w:tc>
          <w:tcPr/>
          <w:p>
            <w:pPr>
              <w:pStyle w:val="Compact"/>
              <w:jc w:val="center"/>
            </w:pPr>
            <m:oMath>
              <m:r>
                <m:t>t</m:t>
              </m:r>
              <m:r>
                <m:rPr>
                  <m:sty m:val="p"/>
                </m:rPr>
                <m:t>=</m:t>
              </m:r>
              <m:r>
                <m:t>4</m:t>
              </m:r>
            </m:oMath>
          </w:p>
        </w:tc>
        <w:tc>
          <w:tcPr/>
          <w:p>
            <w:pPr>
              <w:pStyle w:val="Compact"/>
              <w:jc w:val="center"/>
            </w:pPr>
            <m:oMath>
              <m:r>
                <m:t>t</m:t>
              </m:r>
              <m:r>
                <m:rPr>
                  <m:sty m:val="p"/>
                </m:rPr>
                <m:t>=</m:t>
              </m:r>
              <m:r>
                <m:t>5</m:t>
              </m:r>
            </m:oMath>
          </w:p>
        </w:tc>
        <w:tc>
          <w:tcPr/>
          <w:p>
            <w:pPr>
              <w:pStyle w:val="Compact"/>
              <w:jc w:val="center"/>
            </w:pPr>
            <m:oMath>
              <m:r>
                <m:t>t</m:t>
              </m:r>
              <m:r>
                <m:rPr>
                  <m:sty m:val="p"/>
                </m:rPr>
                <m:t>=</m:t>
              </m:r>
              <m:r>
                <m:t>6</m:t>
              </m:r>
            </m:oMath>
          </w:p>
        </w:tc>
      </w:tr>
      <w:tr>
        <w:tc>
          <w:tcPr/>
          <w:p>
            <w:pPr>
              <w:pStyle w:val="Compact"/>
              <w:jc w:val="left"/>
            </w:pPr>
            <w:r>
              <w:rPr>
                <w:b/>
                <w:bCs/>
              </w:rPr>
              <w:t xml:space="preserve">Padre 1</w:t>
            </w:r>
            <w:r>
              <w:t xml:space="preserve"> </w:t>
            </w:r>
            <m:oMath>
              <m:r>
                <m:rPr>
                  <m:sty m:val="b"/>
                </m:rPr>
                <m:t>y</m:t>
              </m:r>
            </m:oMath>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rPr>
                <w:b/>
                <w:bCs/>
              </w:rPr>
              <w:t xml:space="preserve">Padre 1</w:t>
            </w:r>
            <w:r>
              <w:t xml:space="preserve"> </w:t>
            </w:r>
            <m:oMath>
              <m:r>
                <m:rPr>
                  <m:sty m:val="b"/>
                </m:rPr>
                <m:t>q</m:t>
              </m:r>
            </m:oMath>
          </w:p>
        </w:tc>
        <w:tc>
          <w:tcPr/>
          <w:p>
            <w:pPr>
              <w:pStyle w:val="Compact"/>
              <w:jc w:val="center"/>
            </w:pPr>
            <w:r>
              <w:t xml:space="preserve">750</w:t>
            </w:r>
          </w:p>
        </w:tc>
        <w:tc>
          <w:tcPr/>
          <w:p>
            <w:pPr>
              <w:pStyle w:val="Compact"/>
              <w:jc w:val="center"/>
            </w:pPr>
            <w:r>
              <w:t xml:space="preserve">420</w:t>
            </w:r>
          </w:p>
        </w:tc>
        <w:tc>
          <w:tcPr/>
          <w:p>
            <w:pPr>
              <w:pStyle w:val="Compact"/>
              <w:jc w:val="center"/>
            </w:pPr>
            <w:r>
              <w:t xml:space="preserve">0</w:t>
            </w:r>
          </w:p>
        </w:tc>
        <w:tc>
          <w:tcPr/>
          <w:p>
            <w:pPr>
              <w:pStyle w:val="Compact"/>
              <w:jc w:val="center"/>
            </w:pPr>
            <w:r>
              <w:t xml:space="preserve">1000</w:t>
            </w:r>
          </w:p>
        </w:tc>
        <w:tc>
          <w:tcPr/>
          <w:p>
            <w:pPr>
              <w:pStyle w:val="Compact"/>
              <w:jc w:val="center"/>
            </w:pPr>
            <w:r>
              <w:t xml:space="preserve">0</w:t>
            </w:r>
          </w:p>
        </w:tc>
        <w:tc>
          <w:tcPr/>
          <w:p>
            <w:pPr>
              <w:pStyle w:val="Compact"/>
              <w:jc w:val="center"/>
            </w:pPr>
            <w:r>
              <w:t xml:space="preserve">300</w:t>
            </w:r>
          </w:p>
        </w:tc>
      </w:tr>
      <w:tr>
        <w:tc>
          <w:tcPr/>
          <w:p>
            <w:pPr>
              <w:pStyle w:val="Compact"/>
              <w:jc w:val="left"/>
            </w:pPr>
            <w:r>
              <w:rPr>
                <w:b/>
                <w:bCs/>
              </w:rPr>
              <w:t xml:space="preserve">Padre 2</w:t>
            </w:r>
            <w:r>
              <w:t xml:space="preserve"> </w:t>
            </w:r>
            <m:oMath>
              <m:r>
                <m:rPr>
                  <m:sty m:val="b"/>
                </m:rPr>
                <m:t>y</m:t>
              </m:r>
            </m:oMath>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left"/>
            </w:pPr>
            <w:r>
              <w:rPr>
                <w:b/>
                <w:bCs/>
              </w:rPr>
              <w:t xml:space="preserve">Padre 2</w:t>
            </w:r>
            <w:r>
              <w:t xml:space="preserve"> </w:t>
            </w:r>
            <m:oMath>
              <m:r>
                <m:rPr>
                  <m:sty m:val="b"/>
                </m:rPr>
                <m:t>q</m:t>
              </m:r>
            </m:oMath>
          </w:p>
        </w:tc>
        <w:tc>
          <w:tcPr/>
          <w:p>
            <w:pPr>
              <w:pStyle w:val="Compact"/>
              <w:jc w:val="center"/>
            </w:pPr>
            <w:r>
              <w:t xml:space="preserve">0</w:t>
            </w:r>
          </w:p>
        </w:tc>
        <w:tc>
          <w:tcPr/>
          <w:p>
            <w:pPr>
              <w:pStyle w:val="Compact"/>
              <w:jc w:val="center"/>
            </w:pPr>
            <w:r>
              <w:t xml:space="preserve">600</w:t>
            </w:r>
          </w:p>
        </w:tc>
        <w:tc>
          <w:tcPr/>
          <w:p>
            <w:pPr>
              <w:pStyle w:val="Compact"/>
              <w:jc w:val="center"/>
            </w:pPr>
            <w:r>
              <w:t xml:space="preserve">350</w:t>
            </w:r>
          </w:p>
        </w:tc>
        <w:tc>
          <w:tcPr/>
          <w:p>
            <w:pPr>
              <w:pStyle w:val="Compact"/>
              <w:jc w:val="center"/>
            </w:pPr>
            <w:r>
              <w:t xml:space="preserve">0</w:t>
            </w:r>
          </w:p>
        </w:tc>
        <w:tc>
          <w:tcPr/>
          <w:p>
            <w:pPr>
              <w:pStyle w:val="Compact"/>
              <w:jc w:val="center"/>
            </w:pPr>
            <w:r>
              <w:t xml:space="preserve">800</w:t>
            </w:r>
          </w:p>
        </w:tc>
        <w:tc>
          <w:tcPr/>
          <w:p>
            <w:pPr>
              <w:pStyle w:val="Compact"/>
              <w:jc w:val="center"/>
            </w:pPr>
            <w:r>
              <w:t xml:space="preserve">500</w:t>
            </w:r>
          </w:p>
        </w:tc>
      </w:tr>
      <w:tr>
        <w:tc>
          <w:tcPr/>
          <w:p>
            <w:pPr>
              <w:pStyle w:val="Compact"/>
              <w:jc w:val="left"/>
            </w:pPr>
            <w:r>
              <w:rPr>
                <w:b/>
                <w:bCs/>
              </w:rPr>
              <w:t xml:space="preserve">Hijo 1</w:t>
            </w:r>
            <w:r>
              <w:t xml:space="preserve"> </w:t>
            </w:r>
            <m:oMath>
              <m:r>
                <m:rPr>
                  <m:sty m:val="b"/>
                </m:rPr>
                <m:t>y</m:t>
              </m:r>
            </m:oMath>
          </w:p>
        </w:tc>
        <w:tc>
          <w:tcPr/>
          <w:p>
            <w:pPr>
              <w:pStyle w:val="Compact"/>
              <w:jc w:val="center"/>
            </w:pPr>
            <w:r>
              <w:t xml:space="preserve">1</w:t>
            </w:r>
          </w:p>
        </w:tc>
        <w:tc>
          <w:tcPr/>
          <w:p>
            <w:pPr>
              <w:pStyle w:val="Compact"/>
              <w:jc w:val="center"/>
            </w:pPr>
            <w:r>
              <w:t xml:space="preserve">1</w:t>
            </w:r>
          </w:p>
        </w:tc>
        <w:tc>
          <w:tcPr/>
          <w:p>
            <w:pPr>
              <w:pStyle w:val="Compact"/>
              <w:jc w:val="center"/>
            </w:pPr>
            <w:r>
              <w:rPr>
                <w:b/>
                <w:bCs/>
              </w:rPr>
              <w:t xml:space="preserve">1</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1</w:t>
            </w:r>
          </w:p>
        </w:tc>
      </w:tr>
      <w:tr>
        <w:tc>
          <w:tcPr/>
          <w:p>
            <w:pPr>
              <w:pStyle w:val="Compact"/>
              <w:jc w:val="left"/>
            </w:pPr>
            <w:r>
              <w:rPr>
                <w:b/>
                <w:bCs/>
              </w:rPr>
              <w:t xml:space="preserve">Hijo 1</w:t>
            </w:r>
            <w:r>
              <w:t xml:space="preserve"> </w:t>
            </w:r>
            <m:oMath>
              <m:r>
                <m:rPr>
                  <m:sty m:val="b"/>
                </m:rPr>
                <m:t>q</m:t>
              </m:r>
            </m:oMath>
          </w:p>
        </w:tc>
        <w:tc>
          <w:tcPr/>
          <w:p>
            <w:pPr>
              <w:pStyle w:val="Compact"/>
              <w:jc w:val="center"/>
            </w:pPr>
            <w:r>
              <w:t xml:space="preserve">750</w:t>
            </w:r>
          </w:p>
        </w:tc>
        <w:tc>
          <w:tcPr/>
          <w:p>
            <w:pPr>
              <w:pStyle w:val="Compact"/>
              <w:jc w:val="center"/>
            </w:pPr>
            <w:r>
              <w:t xml:space="preserve">420</w:t>
            </w:r>
          </w:p>
        </w:tc>
        <w:tc>
          <w:tcPr/>
          <w:p>
            <w:pPr>
              <w:pStyle w:val="Compact"/>
              <w:jc w:val="center"/>
            </w:pPr>
            <w:r>
              <w:rPr>
                <w:b/>
                <w:bCs/>
              </w:rPr>
              <w:t xml:space="preserve">350</w:t>
            </w:r>
          </w:p>
        </w:tc>
        <w:tc>
          <w:tcPr/>
          <w:p>
            <w:pPr>
              <w:pStyle w:val="Compact"/>
              <w:jc w:val="center"/>
            </w:pPr>
            <w:r>
              <w:rPr>
                <w:b/>
                <w:bCs/>
              </w:rPr>
              <w:t xml:space="preserve">0</w:t>
            </w:r>
          </w:p>
        </w:tc>
        <w:tc>
          <w:tcPr/>
          <w:p>
            <w:pPr>
              <w:pStyle w:val="Compact"/>
              <w:jc w:val="center"/>
            </w:pPr>
            <w:r>
              <w:t xml:space="preserve">0</w:t>
            </w:r>
          </w:p>
        </w:tc>
        <w:tc>
          <w:tcPr/>
          <w:p>
            <w:pPr>
              <w:pStyle w:val="Compact"/>
              <w:jc w:val="center"/>
            </w:pPr>
            <w:r>
              <w:t xml:space="preserve">300</w:t>
            </w:r>
          </w:p>
        </w:tc>
      </w:tr>
      <w:tr>
        <w:tc>
          <w:tcPr/>
          <w:p>
            <w:pPr>
              <w:pStyle w:val="Compact"/>
              <w:jc w:val="left"/>
            </w:pPr>
            <w:r>
              <w:rPr>
                <w:b/>
                <w:bCs/>
              </w:rPr>
              <w:t xml:space="preserve">Hijo 2</w:t>
            </w:r>
            <w:r>
              <w:t xml:space="preserve"> </w:t>
            </w:r>
            <m:oMath>
              <m:r>
                <m:rPr>
                  <m:sty m:val="b"/>
                </m:rPr>
                <m:t>y</m:t>
              </m:r>
            </m:oMath>
          </w:p>
        </w:tc>
        <w:tc>
          <w:tcPr/>
          <w:p>
            <w:pPr>
              <w:pStyle w:val="Compact"/>
              <w:jc w:val="center"/>
            </w:pPr>
            <w:r>
              <w:t xml:space="preserve">0</w:t>
            </w:r>
          </w:p>
        </w:tc>
        <w:tc>
          <w:tcPr/>
          <w:p>
            <w:pPr>
              <w:pStyle w:val="Compact"/>
              <w:jc w:val="center"/>
            </w:pPr>
            <w:r>
              <w:t xml:space="preserve">1</w:t>
            </w:r>
          </w:p>
        </w:tc>
        <w:tc>
          <w:tcPr/>
          <w:p>
            <w:pPr>
              <w:pStyle w:val="Compact"/>
              <w:jc w:val="center"/>
            </w:pPr>
            <w:r>
              <w:rPr>
                <w:b/>
                <w:bCs/>
              </w:rPr>
              <w:t xml:space="preserve">0</w:t>
            </w:r>
          </w:p>
        </w:tc>
        <w:tc>
          <w:tcPr/>
          <w:p>
            <w:pPr>
              <w:pStyle w:val="Compact"/>
              <w:jc w:val="center"/>
            </w:pPr>
            <w:r>
              <w:rPr>
                <w:b/>
                <w:bCs/>
              </w:rPr>
              <w:t xml:space="preserve">1</w:t>
            </w:r>
          </w:p>
        </w:tc>
        <w:tc>
          <w:tcPr/>
          <w:p>
            <w:pPr>
              <w:pStyle w:val="Compact"/>
              <w:jc w:val="center"/>
            </w:pPr>
            <w:r>
              <w:t xml:space="preserve">1</w:t>
            </w:r>
          </w:p>
        </w:tc>
        <w:tc>
          <w:tcPr/>
          <w:p>
            <w:pPr>
              <w:pStyle w:val="Compact"/>
              <w:jc w:val="center"/>
            </w:pPr>
            <w:r>
              <w:t xml:space="preserve">1</w:t>
            </w:r>
          </w:p>
        </w:tc>
      </w:tr>
      <w:tr>
        <w:tc>
          <w:tcPr/>
          <w:p>
            <w:pPr>
              <w:pStyle w:val="Compact"/>
              <w:jc w:val="left"/>
            </w:pPr>
            <w:r>
              <w:rPr>
                <w:b/>
                <w:bCs/>
              </w:rPr>
              <w:t xml:space="preserve">Hijo 2</w:t>
            </w:r>
            <w:r>
              <w:t xml:space="preserve"> </w:t>
            </w:r>
            <m:oMath>
              <m:r>
                <m:rPr>
                  <m:sty m:val="b"/>
                </m:rPr>
                <m:t>q</m:t>
              </m:r>
            </m:oMath>
          </w:p>
        </w:tc>
        <w:tc>
          <w:tcPr/>
          <w:p>
            <w:pPr>
              <w:pStyle w:val="Compact"/>
              <w:jc w:val="center"/>
            </w:pPr>
            <w:r>
              <w:t xml:space="preserve">0</w:t>
            </w:r>
          </w:p>
        </w:tc>
        <w:tc>
          <w:tcPr/>
          <w:p>
            <w:pPr>
              <w:pStyle w:val="Compact"/>
              <w:jc w:val="center"/>
            </w:pPr>
            <w:r>
              <w:t xml:space="preserve">600</w:t>
            </w:r>
          </w:p>
        </w:tc>
        <w:tc>
          <w:tcPr/>
          <w:p>
            <w:pPr>
              <w:pStyle w:val="Compact"/>
              <w:jc w:val="center"/>
            </w:pPr>
            <w:r>
              <w:rPr>
                <w:b/>
                <w:bCs/>
              </w:rPr>
              <w:t xml:space="preserve">0</w:t>
            </w:r>
          </w:p>
        </w:tc>
        <w:tc>
          <w:tcPr/>
          <w:p>
            <w:pPr>
              <w:pStyle w:val="Compact"/>
              <w:jc w:val="center"/>
            </w:pPr>
            <w:r>
              <w:rPr>
                <w:b/>
                <w:bCs/>
              </w:rPr>
              <w:t xml:space="preserve">1000</w:t>
            </w:r>
          </w:p>
        </w:tc>
        <w:tc>
          <w:tcPr/>
          <w:p>
            <w:pPr>
              <w:pStyle w:val="Compact"/>
              <w:jc w:val="center"/>
            </w:pPr>
            <w:r>
              <w:t xml:space="preserve">800</w:t>
            </w:r>
          </w:p>
        </w:tc>
        <w:tc>
          <w:tcPr/>
          <w:p>
            <w:pPr>
              <w:pStyle w:val="Compact"/>
              <w:jc w:val="center"/>
            </w:pPr>
            <w:r>
              <w:t xml:space="preserve">500</w:t>
            </w:r>
          </w:p>
        </w:tc>
      </w:tr>
    </w:tbl>
    <w:bookmarkEnd w:id="56"/>
    <w:bookmarkStart w:id="57" w:name="mutación-mixta"/>
    <w:p>
      <w:pPr>
        <w:pStyle w:val="Heading4"/>
      </w:pPr>
      <w:r>
        <w:t xml:space="preserve">6.3.2. Mutación Mixta</w:t>
      </w:r>
    </w:p>
    <w:p>
      <w:pPr>
        <w:pStyle w:val="FirstParagraph"/>
      </w:pPr>
      <w:r>
        <w:t xml:space="preserve">La mutación opera gen por gen sobre el cromosoma, aplicando dos tipos de perturbación de manera independiente:</w:t>
      </w:r>
    </w:p>
    <w:p>
      <w:pPr>
        <w:numPr>
          <w:ilvl w:val="0"/>
          <w:numId w:val="1021"/>
        </w:numPr>
      </w:pPr>
      <w:r>
        <w:rPr>
          <w:b/>
          <w:bCs/>
        </w:rPr>
        <w:t xml:space="preserve">Toggle de setup:</w:t>
      </w:r>
      <w:r>
        <w:t xml:space="preserve"> </w:t>
      </w:r>
      <w:r>
        <w:t xml:space="preserve">Para cada gen</w:t>
      </w:r>
      <w:r>
        <w:t xml:space="preserve"> </w:t>
      </w:r>
      <m:oMath>
        <m:sSub>
          <m:e>
            <m:r>
              <m:t>y</m:t>
            </m:r>
          </m:e>
          <m:sub>
            <m:r>
              <m:t>t</m:t>
            </m:r>
          </m:sub>
        </m:sSub>
      </m:oMath>
      <w:r>
        <w:t xml:space="preserve">, se invierte con probabilidad</w:t>
      </w:r>
      <w:r>
        <w:t xml:space="preserve"> </w:t>
      </w:r>
      <m:oMath>
        <m:sSub>
          <m:e>
            <m:r>
              <m:t>p</m:t>
            </m:r>
          </m:e>
          <m:sub>
            <m:r>
              <m:t>t</m:t>
            </m:r>
            <m:r>
              <m:t>o</m:t>
            </m:r>
            <m:r>
              <m:t>g</m:t>
            </m:r>
            <m:r>
              <m:t>g</m:t>
            </m:r>
            <m:r>
              <m:t>l</m:t>
            </m:r>
            <m:r>
              <m:t>e</m:t>
            </m:r>
          </m:sub>
        </m:sSub>
      </m:oMath>
      <w:r>
        <w:t xml:space="preserve">:</w:t>
      </w:r>
    </w:p>
    <w:p>
      <w:pPr>
        <w:pStyle w:val="BodyText"/>
      </w:pPr>
      <m:oMathPara>
        <m:oMathParaPr>
          <m:jc m:val="center"/>
        </m:oMathParaPr>
        <m:oMath>
          <m:sSub>
            <m:e>
              <m:sSup>
                <m:e>
                  <m:r>
                    <m:t>y</m:t>
                  </m:r>
                </m:e>
                <m:sup>
                  <m:r>
                    <m:rPr>
                      <m:sty m:val="p"/>
                    </m:rPr>
                    <m:t>′</m:t>
                  </m:r>
                </m:sup>
              </m:sSup>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sSub>
                      <m:e>
                        <m:r>
                          <m:t>y</m:t>
                        </m:r>
                      </m:e>
                      <m:sub>
                        <m:r>
                          <m:t>t</m:t>
                        </m:r>
                      </m:sub>
                    </m:sSub>
                  </m:e>
                  <m:e>
                    <m:r>
                      <m:rPr>
                        <m:nor/>
                        <m:sty m:val="p"/>
                      </m:rPr>
                      <m:t>con probabilidad </m:t>
                    </m:r>
                    <m:sSub>
                      <m:e>
                        <m:r>
                          <m:t>p</m:t>
                        </m:r>
                      </m:e>
                      <m:sub>
                        <m:r>
                          <m:t>t</m:t>
                        </m:r>
                        <m:r>
                          <m:t>o</m:t>
                        </m:r>
                        <m:r>
                          <m:t>g</m:t>
                        </m:r>
                        <m:r>
                          <m:t>g</m:t>
                        </m:r>
                        <m:r>
                          <m:t>l</m:t>
                        </m:r>
                        <m:r>
                          <m:t>e</m:t>
                        </m:r>
                      </m:sub>
                    </m:sSub>
                  </m:e>
                </m:mr>
                <m:mr>
                  <m:e>
                    <m:sSub>
                      <m:e>
                        <m:r>
                          <m:t>y</m:t>
                        </m:r>
                      </m:e>
                      <m:sub>
                        <m:r>
                          <m:t>t</m:t>
                        </m:r>
                      </m:sub>
                    </m:sSub>
                  </m:e>
                  <m:e>
                    <m:r>
                      <m:rPr>
                        <m:nor/>
                        <m:sty m:val="p"/>
                      </m:rPr>
                      <m:t>con probabilidad </m:t>
                    </m:r>
                    <m:r>
                      <m:t>1</m:t>
                    </m:r>
                    <m:r>
                      <m:rPr>
                        <m:sty m:val="p"/>
                      </m:rPr>
                      <m:t>−</m:t>
                    </m:r>
                    <m:sSub>
                      <m:e>
                        <m:r>
                          <m:t>p</m:t>
                        </m:r>
                      </m:e>
                      <m:sub>
                        <m:r>
                          <m:t>t</m:t>
                        </m:r>
                        <m:r>
                          <m:t>o</m:t>
                        </m:r>
                        <m:r>
                          <m:t>g</m:t>
                        </m:r>
                        <m:r>
                          <m:t>g</m:t>
                        </m:r>
                        <m:r>
                          <m:t>l</m:t>
                        </m:r>
                        <m:r>
                          <m:t>e</m:t>
                        </m:r>
                      </m:sub>
                    </m:sSub>
                  </m:e>
                </m:mr>
              </m:m>
            </m:e>
          </m:d>
        </m:oMath>
      </m:oMathPara>
    </w:p>
    <w:p>
      <w:pPr>
        <w:numPr>
          <w:ilvl w:val="0"/>
          <w:numId w:val="1021"/>
        </w:numPr>
      </w:pPr>
      <w:r>
        <w:rPr>
          <w:b/>
          <w:bCs/>
        </w:rPr>
        <w:t xml:space="preserve">Perturbación de cantidad:</w:t>
      </w:r>
      <w:r>
        <w:t xml:space="preserve"> </w:t>
      </w:r>
      <w:r>
        <w:t xml:space="preserve">Para cada gen</w:t>
      </w:r>
      <w:r>
        <w:t xml:space="preserve"> </w:t>
      </w:r>
      <m:oMath>
        <m:sSub>
          <m:e>
            <m:r>
              <m:t>q</m:t>
            </m:r>
          </m:e>
          <m:sub>
            <m:r>
              <m:t>t</m:t>
            </m:r>
          </m:sub>
        </m:sSub>
      </m:oMath>
      <w:r>
        <w:t xml:space="preserve"> </w:t>
      </w:r>
      <w:r>
        <w:t xml:space="preserve">con</w:t>
      </w:r>
      <w:r>
        <w:t xml:space="preserve"> </w:t>
      </w:r>
      <m:oMath>
        <m:sSub>
          <m:e>
            <m:sSup>
              <m:e>
                <m:r>
                  <m:t>y</m:t>
                </m:r>
              </m:e>
              <m:sup>
                <m:r>
                  <m:rPr>
                    <m:sty m:val="p"/>
                  </m:rPr>
                  <m:t>′</m:t>
                </m:r>
              </m:sup>
            </m:sSup>
          </m:e>
          <m:sub>
            <m:r>
              <m:t>t</m:t>
            </m:r>
          </m:sub>
        </m:sSub>
        <m:r>
          <m:rPr>
            <m:sty m:val="p"/>
          </m:rPr>
          <m:t>=</m:t>
        </m:r>
        <m:r>
          <m:t>1</m:t>
        </m:r>
      </m:oMath>
      <w:r>
        <w:t xml:space="preserve">, se perturba con probabilidad</w:t>
      </w:r>
      <w:r>
        <w:t xml:space="preserve"> </w:t>
      </w:r>
      <m:oMath>
        <m:sSub>
          <m:e>
            <m:r>
              <m:t>p</m:t>
            </m:r>
          </m:e>
          <m:sub>
            <m:r>
              <m:t>q</m:t>
            </m:r>
            <m:r>
              <m:t>u</m:t>
            </m:r>
            <m:r>
              <m:t>a</m:t>
            </m:r>
            <m:r>
              <m:t>n</m:t>
            </m:r>
            <m:r>
              <m:t>t</m:t>
            </m:r>
            <m:r>
              <m:t>i</m:t>
            </m:r>
            <m:r>
              <m:t>t</m:t>
            </m:r>
            <m:r>
              <m:t>y</m:t>
            </m:r>
          </m:sub>
        </m:sSub>
      </m:oMath>
      <w:r>
        <w:t xml:space="preserve">:</w:t>
      </w:r>
    </w:p>
    <w:p>
      <w:pPr>
        <w:pStyle w:val="BodyText"/>
      </w:pPr>
      <m:oMathPara>
        <m:oMathParaPr>
          <m:jc m:val="center"/>
        </m:oMathParaPr>
        <m:oMath>
          <m:sSub>
            <m:e>
              <m:sSup>
                <m:e>
                  <m:r>
                    <m:t>q</m:t>
                  </m:r>
                </m:e>
                <m:sup>
                  <m:r>
                    <m:rPr>
                      <m:sty m:val="p"/>
                    </m:rPr>
                    <m:t>′</m:t>
                  </m:r>
                </m:sup>
              </m:sSup>
            </m:e>
            <m:sub>
              <m:r>
                <m:t>t</m:t>
              </m:r>
            </m:sub>
          </m:sSub>
          <m:r>
            <m:rPr>
              <m:sty m:val="p"/>
            </m:rPr>
            <m:t>=</m:t>
          </m:r>
          <m:r>
            <m:rPr>
              <m:nor/>
              <m:sty m:val="p"/>
            </m:rPr>
            <m:t>clamp</m:t>
          </m:r>
          <m:r>
            <m:rPr>
              <m:sty m:val="p"/>
            </m:rPr>
            <m:t>(</m:t>
          </m:r>
          <m:sSub>
            <m:e>
              <m:r>
                <m:t>q</m:t>
              </m:r>
            </m:e>
            <m:sub>
              <m:r>
                <m:t>t</m:t>
              </m:r>
            </m:sub>
          </m:sSub>
          <m:r>
            <m:rPr>
              <m:sty m:val="p"/>
            </m:rPr>
            <m:t>+</m:t>
          </m:r>
          <m:r>
            <m:rPr>
              <m:scr m:val="script"/>
              <m:sty m:val="p"/>
            </m:rPr>
            <m:t>N</m:t>
          </m:r>
          <m:r>
            <m:rPr>
              <m:sty m:val="p"/>
            </m:rPr>
            <m:t>(</m:t>
          </m:r>
          <m:r>
            <m:t>0</m:t>
          </m:r>
          <m:r>
            <m:rPr>
              <m:sty m:val="p"/>
            </m:rPr>
            <m:t>,</m:t>
          </m:r>
          <m:r>
            <m:t>δ</m:t>
          </m:r>
          <m:r>
            <m:rPr>
              <m:sty m:val="p"/>
            </m:rPr>
            <m:t>⋅</m:t>
          </m:r>
          <m:sSup>
            <m:e>
              <m:r>
                <m:t>Q</m:t>
              </m:r>
            </m:e>
            <m:sup>
              <m:r>
                <m:t>m</m:t>
              </m:r>
              <m:r>
                <m:t>a</m:t>
              </m:r>
              <m:r>
                <m:t>x</m:t>
              </m:r>
            </m:sup>
          </m:sSup>
          <m:r>
            <m:rPr>
              <m:sty m:val="p"/>
            </m:rPr>
            <m:t>)</m:t>
          </m:r>
          <m:r>
            <m:rPr>
              <m:sty m:val="p"/>
            </m:rPr>
            <m:t>,</m:t>
          </m:r>
          <m:sSup>
            <m:e>
              <m:r>
                <m:t>Q</m:t>
              </m:r>
            </m:e>
            <m:sup>
              <m:r>
                <m:t>m</m:t>
              </m:r>
              <m:r>
                <m:t>i</m:t>
              </m:r>
              <m:r>
                <m:t>n</m:t>
              </m:r>
            </m:sup>
          </m:sSup>
          <m:r>
            <m:rPr>
              <m:sty m:val="p"/>
            </m:rPr>
            <m:t>,</m:t>
          </m:r>
          <m:sSup>
            <m:e>
              <m:r>
                <m:t>Q</m:t>
              </m:r>
            </m:e>
            <m:sup>
              <m:r>
                <m:t>m</m:t>
              </m:r>
              <m:r>
                <m:t>a</m:t>
              </m:r>
              <m:r>
                <m:t>x</m:t>
              </m:r>
            </m:sup>
          </m:sSup>
          <m:r>
            <m:rPr>
              <m:sty m:val="p"/>
            </m:rPr>
            <m:t>)</m:t>
          </m:r>
        </m:oMath>
      </m:oMathPara>
    </w:p>
    <w:p>
      <w:pPr>
        <w:pStyle w:val="FirstParagraph"/>
      </w:pPr>
      <w:r>
        <w:t xml:space="preserve">Los valores típicos calibrados son</w:t>
      </w:r>
      <w:r>
        <w:t xml:space="preserve"> </w:t>
      </w:r>
      <m:oMath>
        <m:sSub>
          <m:e>
            <m:r>
              <m:t>p</m:t>
            </m:r>
          </m:e>
          <m:sub>
            <m:r>
              <m:t>t</m:t>
            </m:r>
            <m:r>
              <m:t>o</m:t>
            </m:r>
            <m:r>
              <m:t>g</m:t>
            </m:r>
            <m:r>
              <m:t>g</m:t>
            </m:r>
            <m:r>
              <m:t>l</m:t>
            </m:r>
            <m:r>
              <m:t>e</m:t>
            </m:r>
          </m:sub>
        </m:sSub>
        <m:r>
          <m:rPr>
            <m:sty m:val="p"/>
          </m:rPr>
          <m:t>≈</m:t>
        </m:r>
        <m:r>
          <m:t>0.05</m:t>
        </m:r>
      </m:oMath>
      <w:r>
        <w:t xml:space="preserve">–</w:t>
      </w:r>
      <m:oMath>
        <m:r>
          <m:t>0.10</m:t>
        </m:r>
      </m:oMath>
      <w:r>
        <w:t xml:space="preserve"> </w:t>
      </w:r>
      <w:r>
        <w:t xml:space="preserve">y</w:t>
      </w:r>
      <w:r>
        <w:t xml:space="preserve"> </w:t>
      </w:r>
      <m:oMath>
        <m:r>
          <m:t>δ</m:t>
        </m:r>
        <m:r>
          <m:rPr>
            <m:sty m:val="p"/>
          </m:rPr>
          <m:t>≈</m:t>
        </m:r>
        <m:r>
          <m:t>0.07</m:t>
        </m:r>
      </m:oMath>
      <w:r>
        <w:t xml:space="preserve">–</w:t>
      </w:r>
      <m:oMath>
        <m:r>
          <m:t>0.15</m:t>
        </m:r>
      </m:oMath>
      <w:r>
        <w:t xml:space="preserve"> </w:t>
      </w:r>
      <w:r>
        <w:t xml:space="preserve">(Tabla 5d, §6.11).</w:t>
      </w:r>
    </w:p>
    <w:bookmarkEnd w:id="57"/>
    <w:bookmarkEnd w:id="58"/>
    <w:bookmarkStart w:id="59" w:name="mecanismo-de-reparación"/>
    <w:p>
      <w:pPr>
        <w:pStyle w:val="Heading3"/>
      </w:pPr>
      <w:r>
        <w:t xml:space="preserve">6.4. Mecanismo de Reparación</w:t>
      </w:r>
    </w:p>
    <w:p>
      <w:pPr>
        <w:pStyle w:val="FirstParagraph"/>
      </w:pPr>
      <w:r>
        <w:t xml:space="preserve">Tras la aplicación de cualquier operador (vecindad, cruce o mutación), el cromosoma resultante puede violar las restricciones de consistencia entre</w:t>
      </w:r>
      <w:r>
        <w:t xml:space="preserve"> </w:t>
      </w:r>
      <m:oMath>
        <m:r>
          <m:rPr>
            <m:sty m:val="b"/>
          </m:rPr>
          <m:t>y</m:t>
        </m:r>
      </m:oMath>
      <w:r>
        <w:t xml:space="preserve"> </w:t>
      </w:r>
      <w:r>
        <w:t xml:space="preserve">y</w:t>
      </w:r>
      <w:r>
        <w:t xml:space="preserve"> </w:t>
      </w:r>
      <m:oMath>
        <m:r>
          <m:rPr>
            <m:sty m:val="b"/>
          </m:rPr>
          <m:t>q</m:t>
        </m:r>
      </m:oMath>
      <w:r>
        <w:t xml:space="preserve">. El</w:t>
      </w:r>
      <w:r>
        <w:t xml:space="preserve"> </w:t>
      </w:r>
      <w:r>
        <w:rPr>
          <w:b/>
          <w:bCs/>
        </w:rPr>
        <w:t xml:space="preserve">mecanismo de reparación</w:t>
      </w:r>
      <w:r>
        <w:t xml:space="preserve"> </w:t>
      </w:r>
      <w:r>
        <w:t xml:space="preserve">(</w:t>
      </w:r>
      <w:r>
        <w:rPr>
          <w:rStyle w:val="VerbatimChar"/>
        </w:rPr>
        <w:t xml:space="preserve">repair_lot_sizing</w:t>
      </w:r>
      <w:r>
        <w:t xml:space="preserve">) aplica las siguientes reglas en orden, garantizando factibilidad:</w:t>
      </w:r>
    </w:p>
    <w:p>
      <w:pPr>
        <w:pStyle w:val="Compact"/>
        <w:numPr>
          <w:ilvl w:val="0"/>
          <w:numId w:val="1022"/>
        </w:numPr>
      </w:pPr>
      <w:r>
        <w:rPr>
          <w:b/>
          <w:bCs/>
        </w:rPr>
        <w:t xml:space="preserve">Activación implícita:</w:t>
      </w:r>
      <w:r>
        <w:t xml:space="preserve"> </w:t>
      </w:r>
      <w:r>
        <w:t xml:space="preserve">Si</w:t>
      </w:r>
      <w:r>
        <w:t xml:space="preserve"> </w:t>
      </w:r>
      <m:oMath>
        <m:sSub>
          <m:e>
            <m:r>
              <m:t>q</m:t>
            </m:r>
          </m:e>
          <m:sub>
            <m:r>
              <m:t>t</m:t>
            </m:r>
          </m:sub>
        </m:sSub>
        <m:r>
          <m:rPr>
            <m:sty m:val="p"/>
          </m:rPr>
          <m:t>&gt;</m:t>
        </m:r>
        <m:r>
          <m:t>0</m:t>
        </m:r>
      </m:oMath>
      <w:r>
        <w:t xml:space="preserve"> </w:t>
      </w:r>
      <w:r>
        <w:t xml:space="preserve">y</w:t>
      </w:r>
      <w:r>
        <w:t xml:space="preserve"> </w:t>
      </w:r>
      <m:oMath>
        <m:sSub>
          <m:e>
            <m:r>
              <m:t>y</m:t>
            </m:r>
          </m:e>
          <m:sub>
            <m:r>
              <m:t>t</m:t>
            </m:r>
          </m:sub>
        </m:sSub>
        <m:r>
          <m:rPr>
            <m:sty m:val="p"/>
          </m:rPr>
          <m:t>=</m:t>
        </m:r>
        <m:r>
          <m:t>0</m:t>
        </m:r>
      </m:oMath>
      <w:r>
        <w:t xml:space="preserve">, se activa el setup:</w:t>
      </w:r>
      <w:r>
        <w:t xml:space="preserve"> </w:t>
      </w:r>
      <m:oMath>
        <m:sSub>
          <m:e>
            <m:r>
              <m:t>y</m:t>
            </m:r>
          </m:e>
          <m:sub>
            <m:r>
              <m:t>t</m:t>
            </m:r>
          </m:sub>
        </m:sSub>
        <m:r>
          <m:rPr>
            <m:sty m:val="p"/>
          </m:rPr>
          <m:t>←</m:t>
        </m:r>
        <m:r>
          <m:t>1</m:t>
        </m:r>
      </m:oMath>
      <w:r>
        <w:t xml:space="preserve">.</w:t>
      </w:r>
    </w:p>
    <w:p>
      <w:pPr>
        <w:pStyle w:val="Compact"/>
        <w:numPr>
          <w:ilvl w:val="0"/>
          <w:numId w:val="1022"/>
        </w:numPr>
      </w:pPr>
      <w:r>
        <w:rPr>
          <w:b/>
          <w:bCs/>
        </w:rPr>
        <w:t xml:space="preserve">Desactivación coherente:</w:t>
      </w:r>
      <w:r>
        <w:t xml:space="preserve"> </w:t>
      </w:r>
      <w:r>
        <w:t xml:space="preserve">Si</w:t>
      </w:r>
      <w:r>
        <w:t xml:space="preserve"> </w:t>
      </w:r>
      <m:oMath>
        <m:sSub>
          <m:e>
            <m:r>
              <m:t>y</m:t>
            </m:r>
          </m:e>
          <m:sub>
            <m:r>
              <m:t>t</m:t>
            </m:r>
          </m:sub>
        </m:sSub>
        <m:r>
          <m:rPr>
            <m:sty m:val="p"/>
          </m:rPr>
          <m:t>=</m:t>
        </m:r>
        <m:r>
          <m:t>0</m:t>
        </m:r>
      </m:oMath>
      <w:r>
        <w:t xml:space="preserve">, se fuerza:</w:t>
      </w:r>
      <w:r>
        <w:t xml:space="preserve"> </w:t>
      </w:r>
      <m:oMath>
        <m:sSub>
          <m:e>
            <m:r>
              <m:t>q</m:t>
            </m:r>
          </m:e>
          <m:sub>
            <m:r>
              <m:t>t</m:t>
            </m:r>
          </m:sub>
        </m:sSub>
        <m:r>
          <m:rPr>
            <m:sty m:val="p"/>
          </m:rPr>
          <m:t>←</m:t>
        </m:r>
        <m:r>
          <m:t>0</m:t>
        </m:r>
      </m:oMath>
      <w:r>
        <w:t xml:space="preserve">.</w:t>
      </w:r>
    </w:p>
    <w:p>
      <w:pPr>
        <w:pStyle w:val="Compact"/>
        <w:numPr>
          <w:ilvl w:val="0"/>
          <w:numId w:val="1022"/>
        </w:numPr>
      </w:pPr>
      <w:r>
        <w:rPr>
          <w:b/>
          <w:bCs/>
        </w:rPr>
        <w:t xml:space="preserve">Acotamiento de capacidad:</w:t>
      </w:r>
      <w:r>
        <w:t xml:space="preserve"> </w:t>
      </w:r>
      <w:r>
        <w:t xml:space="preserve">Si</w:t>
      </w:r>
      <w:r>
        <w:t xml:space="preserve"> </w:t>
      </w:r>
      <m:oMath>
        <m:sSub>
          <m:e>
            <m:r>
              <m:t>y</m:t>
            </m:r>
          </m:e>
          <m:sub>
            <m:r>
              <m:t>t</m:t>
            </m:r>
          </m:sub>
        </m:sSub>
        <m:r>
          <m:rPr>
            <m:sty m:val="p"/>
          </m:rPr>
          <m:t>=</m:t>
        </m:r>
        <m:r>
          <m:t>1</m:t>
        </m:r>
      </m:oMath>
      <w:r>
        <w:t xml:space="preserve">, se ajusta:</w:t>
      </w:r>
      <w:r>
        <w:t xml:space="preserve"> </w:t>
      </w:r>
      <m:oMath>
        <m:sSub>
          <m:e>
            <m:r>
              <m:t>q</m:t>
            </m:r>
          </m:e>
          <m:sub>
            <m:r>
              <m:t>t</m:t>
            </m:r>
          </m:sub>
        </m:sSub>
        <m:r>
          <m:rPr>
            <m:sty m:val="p"/>
          </m:rPr>
          <m:t>←</m:t>
        </m:r>
        <m:r>
          <m:rPr>
            <m:nor/>
            <m:sty m:val="p"/>
          </m:rPr>
          <m:t>clamp</m:t>
        </m:r>
        <m:r>
          <m:rPr>
            <m:sty m:val="p"/>
          </m:rPr>
          <m:t>(</m:t>
        </m:r>
        <m:sSub>
          <m:e>
            <m:r>
              <m:t>q</m:t>
            </m:r>
          </m:e>
          <m:sub>
            <m:r>
              <m:t>t</m:t>
            </m:r>
          </m:sub>
        </m:sSub>
        <m:r>
          <m:rPr>
            <m:sty m:val="p"/>
          </m:rPr>
          <m:t>,</m:t>
        </m:r>
        <m:sSup>
          <m:e>
            <m:r>
              <m:t>Q</m:t>
            </m:r>
          </m:e>
          <m:sup>
            <m:r>
              <m:t>m</m:t>
            </m:r>
            <m:r>
              <m:t>i</m:t>
            </m:r>
            <m:r>
              <m:t>n</m:t>
            </m:r>
          </m:sup>
        </m:sSup>
        <m:r>
          <m:rPr>
            <m:sty m:val="p"/>
          </m:rPr>
          <m:t>,</m:t>
        </m:r>
        <m:sSup>
          <m:e>
            <m:r>
              <m:t>Q</m:t>
            </m:r>
          </m:e>
          <m:sup>
            <m:r>
              <m:t>m</m:t>
            </m:r>
            <m:r>
              <m:t>a</m:t>
            </m:r>
            <m:r>
              <m:t>x</m:t>
            </m:r>
          </m:sup>
        </m:sSup>
        <m:r>
          <m:rPr>
            <m:sty m:val="p"/>
          </m:rPr>
          <m:t>)</m:t>
        </m:r>
      </m:oMath>
      <w:r>
        <w:t xml:space="preserve">.</w:t>
      </w:r>
    </w:p>
    <w:p>
      <w:pPr>
        <w:pStyle w:val="FirstParagraph"/>
      </w:pPr>
      <w:r>
        <w:t xml:space="preserve">Este mecanismo garantiza que</w:t>
      </w:r>
      <w:r>
        <w:t xml:space="preserve"> </w:t>
      </w:r>
      <w:r>
        <w:rPr>
          <w:b/>
          <w:bCs/>
        </w:rPr>
        <w:t xml:space="preserve">todo cromosoma generado durante la búsqueda es factible</w:t>
      </w:r>
      <w:r>
        <w:t xml:space="preserve"> </w:t>
      </w:r>
      <w:r>
        <w:t xml:space="preserve">respecto a las restricciones de primera etapa (Restricciones 3 y 4 del modelo, §5.3), eliminando la necesidad de penalizaciones por infactibilidad. La factibilidad de segunda etapa (balance de materiales, perecibilidad) se garantiza por construcción del decodificador greedy (§6.6).</w:t>
      </w:r>
    </w:p>
    <w:bookmarkEnd w:id="59"/>
    <w:bookmarkStart w:id="63" w:name="X3a5e1d22a6cb3d83963610cd86680cba652bc98"/>
    <w:p>
      <w:pPr>
        <w:pStyle w:val="Heading3"/>
      </w:pPr>
      <w:r>
        <w:t xml:space="preserve">6.5. Balance Exploración–Explotación del Espacio de Soluciones</w:t>
      </w:r>
    </w:p>
    <w:p>
      <w:pPr>
        <w:pStyle w:val="FirstParagraph"/>
      </w:pPr>
      <w:r>
        <w:t xml:space="preserve">La eficacia de una metaheurística depende crucialmente del</w:t>
      </w:r>
      <w:r>
        <w:t xml:space="preserve"> </w:t>
      </w:r>
      <w:r>
        <w:rPr>
          <w:b/>
          <w:bCs/>
        </w:rPr>
        <w:t xml:space="preserve">balance entre exploración</w:t>
      </w:r>
      <w:r>
        <w:t xml:space="preserve"> </w:t>
      </w:r>
      <w:r>
        <w:t xml:space="preserve">(diversificación: visitar regiones nuevas del espacio de búsqueda) y</w:t>
      </w:r>
      <w:r>
        <w:t xml:space="preserve"> </w:t>
      </w:r>
      <w:r>
        <w:rPr>
          <w:b/>
          <w:bCs/>
        </w:rPr>
        <w:t xml:space="preserve">explotación</w:t>
      </w:r>
      <w:r>
        <w:t xml:space="preserve"> </w:t>
      </w:r>
      <w:r>
        <w:t xml:space="preserve">(intensificación: refinar soluciones prometedoras en la vecindad de un óptimo local). La Tabla 5d resume cómo cada mecanismo y algoritmo contribuye a este balance.</w:t>
      </w:r>
    </w:p>
    <w:p>
      <w:pPr>
        <w:pStyle w:val="BodyText"/>
      </w:pPr>
      <w:r>
        <w:rPr>
          <w:b/>
          <w:bCs/>
          <w:i/>
          <w:iCs/>
        </w:rPr>
        <w:t xml:space="preserve">Tabla 5d.</w:t>
      </w:r>
      <w:r>
        <w:rPr>
          <w:i/>
          <w:iCs/>
        </w:rPr>
        <w:t xml:space="preserve"> </w:t>
      </w:r>
      <w:r>
        <w:rPr>
          <w:i/>
          <w:iCs/>
        </w:rPr>
        <w:t xml:space="preserve">Clasificación de mecanismos según su contribución a exploración vs. explotación</w:t>
      </w:r>
    </w:p>
    <w:tbl>
      <w:tblPr>
        <w:tblStyle w:val="Table"/>
        <w:tblW w:type="pct" w:w="5000"/>
        <w:tblLayout w:type="fixed"/>
        <w:tblLook w:firstRow="1" w:lastRow="0" w:firstColumn="0" w:lastColumn="0" w:noHBand="0" w:noVBand="0" w:val="0020"/>
      </w:tblPr>
      <w:tblGrid>
        <w:gridCol w:w="1382"/>
        <w:gridCol w:w="754"/>
        <w:gridCol w:w="1508"/>
        <w:gridCol w:w="4274"/>
      </w:tblGrid>
      <w:tr>
        <w:trPr>
          <w:tblHeader w:val="on"/>
        </w:trPr>
        <w:tc>
          <w:tcPr/>
          <w:p>
            <w:pPr>
              <w:pStyle w:val="Compact"/>
              <w:jc w:val="left"/>
            </w:pPr>
            <w:r>
              <w:t xml:space="preserve">Mecanismo</w:t>
            </w:r>
          </w:p>
        </w:tc>
        <w:tc>
          <w:tcPr/>
          <w:p>
            <w:pPr>
              <w:pStyle w:val="Compact"/>
              <w:jc w:val="center"/>
            </w:pPr>
            <w:r>
              <w:t xml:space="preserve">Tipo</w:t>
            </w:r>
          </w:p>
        </w:tc>
        <w:tc>
          <w:tcPr/>
          <w:p>
            <w:pPr>
              <w:pStyle w:val="Compact"/>
              <w:jc w:val="center"/>
            </w:pPr>
            <w:r>
              <w:t xml:space="preserve">Algoritmos</w:t>
            </w:r>
          </w:p>
        </w:tc>
        <w:tc>
          <w:tcPr/>
          <w:p>
            <w:pPr>
              <w:pStyle w:val="Compact"/>
              <w:jc w:val="left"/>
            </w:pPr>
            <w:r>
              <w:t xml:space="preserve">Efecto en el espacio de búsqueda</w:t>
            </w:r>
          </w:p>
        </w:tc>
      </w:tr>
      <w:tr>
        <w:tc>
          <w:tcPr/>
          <w:p>
            <w:pPr>
              <w:pStyle w:val="Compact"/>
              <w:jc w:val="left"/>
            </w:pPr>
            <w:r>
              <w:t xml:space="preserve">Toggle de setup (</w:t>
            </w:r>
            <m:oMath>
              <m:sSub>
                <m:e>
                  <m:r>
                    <m:t>N</m:t>
                  </m:r>
                </m:e>
                <m:sub>
                  <m:r>
                    <m:t>t</m:t>
                  </m:r>
                  <m:r>
                    <m:t>o</m:t>
                  </m:r>
                  <m:r>
                    <m:t>g</m:t>
                  </m:r>
                  <m:r>
                    <m:t>g</m:t>
                  </m:r>
                  <m:r>
                    <m:t>l</m:t>
                  </m:r>
                  <m:r>
                    <m:t>e</m:t>
                  </m:r>
                </m:sub>
              </m:sSub>
            </m:oMath>
            <w:r>
              <w:t xml:space="preserve">)</w:t>
            </w:r>
          </w:p>
        </w:tc>
        <w:tc>
          <w:tcPr/>
          <w:p>
            <w:pPr>
              <w:pStyle w:val="Compact"/>
              <w:jc w:val="center"/>
            </w:pPr>
            <w:r>
              <w:t xml:space="preserve">Exploración</w:t>
            </w:r>
          </w:p>
        </w:tc>
        <w:tc>
          <w:tcPr/>
          <w:p>
            <w:pPr>
              <w:pStyle w:val="Compact"/>
              <w:jc w:val="center"/>
            </w:pPr>
            <w:r>
              <w:t xml:space="preserve">SA, GA-SA</w:t>
            </w:r>
          </w:p>
        </w:tc>
        <w:tc>
          <w:tcPr/>
          <w:p>
            <w:pPr>
              <w:pStyle w:val="Compact"/>
              <w:jc w:val="left"/>
            </w:pPr>
            <w:r>
              <w:t xml:space="preserve">Modifica estructura de periodos activos; saltos largos</w:t>
            </w:r>
          </w:p>
        </w:tc>
      </w:tr>
      <w:tr>
        <w:tc>
          <w:tcPr/>
          <w:p>
            <w:pPr>
              <w:pStyle w:val="Compact"/>
              <w:jc w:val="left"/>
            </w:pPr>
            <w:r>
              <w:t xml:space="preserve">Perturbación de cantidad (</w:t>
            </w:r>
            <m:oMath>
              <m:sSub>
                <m:e>
                  <m:r>
                    <m:t>N</m:t>
                  </m:r>
                </m:e>
                <m:sub>
                  <m:r>
                    <m:t>q</m:t>
                  </m:r>
                  <m:r>
                    <m:t>u</m:t>
                  </m:r>
                  <m:r>
                    <m:t>a</m:t>
                  </m:r>
                  <m:r>
                    <m:t>n</m:t>
                  </m:r>
                  <m:r>
                    <m:t>t</m:t>
                  </m:r>
                  <m:r>
                    <m:t>i</m:t>
                  </m:r>
                  <m:r>
                    <m:t>t</m:t>
                  </m:r>
                  <m:r>
                    <m:t>y</m:t>
                  </m:r>
                </m:sub>
              </m:sSub>
            </m:oMath>
            <w:r>
              <w:t xml:space="preserve">)</w:t>
            </w:r>
          </w:p>
        </w:tc>
        <w:tc>
          <w:tcPr/>
          <w:p>
            <w:pPr>
              <w:pStyle w:val="Compact"/>
              <w:jc w:val="center"/>
            </w:pPr>
            <w:r>
              <w:t xml:space="preserve">Explotación</w:t>
            </w:r>
          </w:p>
        </w:tc>
        <w:tc>
          <w:tcPr/>
          <w:p>
            <w:pPr>
              <w:pStyle w:val="Compact"/>
              <w:jc w:val="center"/>
            </w:pPr>
            <w:r>
              <w:t xml:space="preserve">SA, GA-SA</w:t>
            </w:r>
          </w:p>
        </w:tc>
        <w:tc>
          <w:tcPr/>
          <w:p>
            <w:pPr>
              <w:pStyle w:val="Compact"/>
              <w:jc w:val="left"/>
            </w:pPr>
            <w:r>
              <w:t xml:space="preserve">Ajusta finamente cantidades; movimientos cortos</w:t>
            </w:r>
          </w:p>
        </w:tc>
      </w:tr>
      <w:tr>
        <w:tc>
          <w:tcPr/>
          <w:p>
            <w:pPr>
              <w:pStyle w:val="Compact"/>
              <w:jc w:val="left"/>
            </w:pPr>
            <w:r>
              <w:t xml:space="preserve">Cruce de dos puntos</w:t>
            </w:r>
          </w:p>
        </w:tc>
        <w:tc>
          <w:tcPr/>
          <w:p>
            <w:pPr>
              <w:pStyle w:val="Compact"/>
              <w:jc w:val="center"/>
            </w:pPr>
            <w:r>
              <w:t xml:space="preserve">Exploración</w:t>
            </w:r>
          </w:p>
        </w:tc>
        <w:tc>
          <w:tcPr/>
          <w:p>
            <w:pPr>
              <w:pStyle w:val="Compact"/>
              <w:jc w:val="center"/>
            </w:pPr>
            <w:r>
              <w:t xml:space="preserve">GA, GA-SA</w:t>
            </w:r>
          </w:p>
        </w:tc>
        <w:tc>
          <w:tcPr/>
          <w:p>
            <w:pPr>
              <w:pStyle w:val="Compact"/>
              <w:jc w:val="left"/>
            </w:pPr>
            <w:r>
              <w:t xml:space="preserve">Recombina segmentos de soluciones diversas</w:t>
            </w:r>
          </w:p>
        </w:tc>
      </w:tr>
      <w:tr>
        <w:tc>
          <w:tcPr/>
          <w:p>
            <w:pPr>
              <w:pStyle w:val="Compact"/>
              <w:jc w:val="left"/>
            </w:pPr>
            <w:r>
              <w:t xml:space="preserve">Mutación mixta (toggle + gaussiana)</w:t>
            </w:r>
          </w:p>
        </w:tc>
        <w:tc>
          <w:tcPr/>
          <w:p>
            <w:pPr>
              <w:pStyle w:val="Compact"/>
              <w:jc w:val="center"/>
            </w:pPr>
            <w:r>
              <w:t xml:space="preserve">Exploración</w:t>
            </w:r>
          </w:p>
        </w:tc>
        <w:tc>
          <w:tcPr/>
          <w:p>
            <w:pPr>
              <w:pStyle w:val="Compact"/>
              <w:jc w:val="center"/>
            </w:pPr>
            <w:r>
              <w:t xml:space="preserve">GA, GA-SA</w:t>
            </w:r>
          </w:p>
        </w:tc>
        <w:tc>
          <w:tcPr/>
          <w:p>
            <w:pPr>
              <w:pStyle w:val="Compact"/>
              <w:jc w:val="left"/>
            </w:pPr>
            <w:r>
              <w:t xml:space="preserve">Introduce variabilidad aleatoria gen por gen</w:t>
            </w:r>
          </w:p>
        </w:tc>
      </w:tr>
      <w:tr>
        <w:tc>
          <w:tcPr/>
          <w:p>
            <w:pPr>
              <w:pStyle w:val="Compact"/>
              <w:jc w:val="left"/>
            </w:pPr>
            <w:r>
              <w:t xml:space="preserve">Selección por torneo</w:t>
            </w:r>
          </w:p>
        </w:tc>
        <w:tc>
          <w:tcPr/>
          <w:p>
            <w:pPr>
              <w:pStyle w:val="Compact"/>
              <w:jc w:val="center"/>
            </w:pPr>
            <w:r>
              <w:t xml:space="preserve">Explotación</w:t>
            </w:r>
          </w:p>
        </w:tc>
        <w:tc>
          <w:tcPr/>
          <w:p>
            <w:pPr>
              <w:pStyle w:val="Compact"/>
              <w:jc w:val="center"/>
            </w:pPr>
            <w:r>
              <w:t xml:space="preserve">GA, GA-SA</w:t>
            </w:r>
          </w:p>
        </w:tc>
        <w:tc>
          <w:tcPr/>
          <w:p>
            <w:pPr>
              <w:pStyle w:val="Compact"/>
              <w:jc w:val="left"/>
            </w:pPr>
            <w:r>
              <w:t xml:space="preserve">Presiona hacia soluciones de alta calidad</w:t>
            </w:r>
          </w:p>
        </w:tc>
      </w:tr>
      <w:tr>
        <w:tc>
          <w:tcPr/>
          <w:p>
            <w:pPr>
              <w:pStyle w:val="Compact"/>
              <w:jc w:val="left"/>
            </w:pPr>
            <w:r>
              <w:t xml:space="preserve">Elitismo (top-</w:t>
            </w:r>
            <m:oMath>
              <m:r>
                <m:t>e</m:t>
              </m:r>
            </m:oMath>
            <w:r>
              <w:t xml:space="preserve">)</w:t>
            </w:r>
          </w:p>
        </w:tc>
        <w:tc>
          <w:tcPr/>
          <w:p>
            <w:pPr>
              <w:pStyle w:val="Compact"/>
              <w:jc w:val="center"/>
            </w:pPr>
            <w:r>
              <w:t xml:space="preserve">Explotación</w:t>
            </w:r>
          </w:p>
        </w:tc>
        <w:tc>
          <w:tcPr/>
          <w:p>
            <w:pPr>
              <w:pStyle w:val="Compact"/>
              <w:jc w:val="center"/>
            </w:pPr>
            <w:r>
              <w:t xml:space="preserve">GA, GA-SA</w:t>
            </w:r>
          </w:p>
        </w:tc>
        <w:tc>
          <w:tcPr/>
          <w:p>
            <w:pPr>
              <w:pStyle w:val="Compact"/>
              <w:jc w:val="left"/>
            </w:pPr>
            <w:r>
              <w:t xml:space="preserve">Preserva las mejores soluciones entre generaciones</w:t>
            </w:r>
          </w:p>
        </w:tc>
      </w:tr>
      <w:tr>
        <w:tc>
          <w:tcPr/>
          <w:p>
            <w:pPr>
              <w:pStyle w:val="Compact"/>
              <w:jc w:val="left"/>
            </w:pPr>
            <w:r>
              <w:t xml:space="preserve">Criterio de Metropolis</w:t>
            </w:r>
          </w:p>
        </w:tc>
        <w:tc>
          <w:tcPr/>
          <w:p>
            <w:pPr>
              <w:pStyle w:val="Compact"/>
              <w:jc w:val="center"/>
            </w:pPr>
            <w:r>
              <w:t xml:space="preserve">Balance</w:t>
            </w:r>
          </w:p>
        </w:tc>
        <w:tc>
          <w:tcPr/>
          <w:p>
            <w:pPr>
              <w:pStyle w:val="Compact"/>
              <w:jc w:val="center"/>
            </w:pPr>
            <w:r>
              <w:t xml:space="preserve">SA, GA-SA</w:t>
            </w:r>
          </w:p>
        </w:tc>
        <w:tc>
          <w:tcPr/>
          <w:p>
            <w:pPr>
              <w:pStyle w:val="Compact"/>
              <w:jc w:val="left"/>
            </w:pPr>
            <w:r>
              <w:t xml:space="preserve">Acepta peores soluciones con</w:t>
            </w:r>
            <w:r>
              <w:t xml:space="preserve"> </w:t>
            </w:r>
            <m:oMath>
              <m:r>
                <m:t>P</m:t>
              </m:r>
              <m:r>
                <m:rPr>
                  <m:sty m:val="p"/>
                </m:rPr>
                <m:t>=</m:t>
              </m:r>
              <m:sSup>
                <m:e>
                  <m:r>
                    <m:t>e</m:t>
                  </m:r>
                </m:e>
                <m:sup>
                  <m:r>
                    <m:rPr>
                      <m:sty m:val="p"/>
                    </m:rPr>
                    <m:t>Δ</m:t>
                  </m:r>
                  <m:r>
                    <m:rPr>
                      <m:sty m:val="p"/>
                    </m:rPr>
                    <m:t>/</m:t>
                  </m:r>
                  <m:r>
                    <m:t>T</m:t>
                  </m:r>
                </m:sup>
              </m:sSup>
            </m:oMath>
          </w:p>
        </w:tc>
      </w:tr>
      <w:tr>
        <w:tc>
          <w:tcPr/>
          <w:p>
            <w:pPr>
              <w:pStyle w:val="Compact"/>
              <w:jc w:val="left"/>
            </w:pPr>
            <w:r>
              <w:t xml:space="preserve">Enfriamiento geométrico</w:t>
            </w:r>
          </w:p>
        </w:tc>
        <w:tc>
          <w:tcPr/>
          <w:p>
            <w:pPr>
              <w:pStyle w:val="Compact"/>
              <w:jc w:val="center"/>
            </w:pPr>
            <w:r>
              <w:t xml:space="preserve">Exploración→Explotación</w:t>
            </w:r>
          </w:p>
        </w:tc>
        <w:tc>
          <w:tcPr/>
          <w:p>
            <w:pPr>
              <w:pStyle w:val="Compact"/>
              <w:jc w:val="center"/>
            </w:pPr>
            <w:r>
              <w:t xml:space="preserve">SA</w:t>
            </w:r>
          </w:p>
        </w:tc>
        <w:tc>
          <w:tcPr/>
          <w:p>
            <w:pPr>
              <w:pStyle w:val="Compact"/>
              <w:jc w:val="left"/>
            </w:pPr>
            <w:r>
              <w:t xml:space="preserve">Transición gradual de exploración a explotación</w:t>
            </w:r>
          </w:p>
        </w:tc>
      </w:tr>
      <w:tr>
        <w:tc>
          <w:tcPr/>
          <w:p>
            <w:pPr>
              <w:pStyle w:val="Compact"/>
              <w:jc w:val="left"/>
            </w:pPr>
            <w:r>
              <w:t xml:space="preserve">Reheating adaptativo</w:t>
            </w:r>
          </w:p>
        </w:tc>
        <w:tc>
          <w:tcPr/>
          <w:p>
            <w:pPr>
              <w:pStyle w:val="Compact"/>
              <w:jc w:val="center"/>
            </w:pPr>
            <w:r>
              <w:t xml:space="preserve">Exploración</w:t>
            </w:r>
          </w:p>
        </w:tc>
        <w:tc>
          <w:tcPr/>
          <w:p>
            <w:pPr>
              <w:pStyle w:val="Compact"/>
              <w:jc w:val="center"/>
            </w:pPr>
            <w:r>
              <w:t xml:space="preserve">SA</w:t>
            </w:r>
          </w:p>
        </w:tc>
        <w:tc>
          <w:tcPr/>
          <w:p>
            <w:pPr>
              <w:pStyle w:val="Compact"/>
              <w:jc w:val="left"/>
            </w:pPr>
            <w:r>
              <w:t xml:space="preserve">Reactiva exploración ante estancamiento</w:t>
            </w:r>
          </w:p>
        </w:tc>
      </w:tr>
      <w:tr>
        <w:tc>
          <w:tcPr/>
          <w:p>
            <w:pPr>
              <w:pStyle w:val="Compact"/>
              <w:jc w:val="left"/>
            </w:pPr>
            <w:r>
              <w:t xml:space="preserve">Mutación diferencial (</w:t>
            </w:r>
            <m:oMath>
              <m:r>
                <m:t>F</m:t>
              </m:r>
              <m:r>
                <m:rPr>
                  <m:sty m:val="p"/>
                </m:rPr>
                <m:t>⋅</m:t>
              </m:r>
              <m:r>
                <m:rPr>
                  <m:sty m:val="p"/>
                </m:rPr>
                <m:t>(</m:t>
              </m:r>
              <m:sSub>
                <m:e>
                  <m:r>
                    <m:t>x</m:t>
                  </m:r>
                </m:e>
                <m:sub>
                  <m:r>
                    <m:t>r</m:t>
                  </m:r>
                  <m:r>
                    <m:t>1</m:t>
                  </m:r>
                </m:sub>
              </m:sSub>
              <m:r>
                <m:rPr>
                  <m:sty m:val="p"/>
                </m:rPr>
                <m:t>−</m:t>
              </m:r>
              <m:sSub>
                <m:e>
                  <m:r>
                    <m:t>x</m:t>
                  </m:r>
                </m:e>
                <m:sub>
                  <m:r>
                    <m:t>r</m:t>
                  </m:r>
                  <m:r>
                    <m:t>2</m:t>
                  </m:r>
                </m:sub>
              </m:sSub>
              <m:r>
                <m:rPr>
                  <m:sty m:val="p"/>
                </m:rPr>
                <m:t>)</m:t>
              </m:r>
            </m:oMath>
            <w:r>
              <w:t xml:space="preserve">)</w:t>
            </w:r>
          </w:p>
        </w:tc>
        <w:tc>
          <w:tcPr/>
          <w:p>
            <w:pPr>
              <w:pStyle w:val="Compact"/>
              <w:jc w:val="center"/>
            </w:pPr>
            <w:r>
              <w:t xml:space="preserve">Exploración dirigida</w:t>
            </w:r>
          </w:p>
        </w:tc>
        <w:tc>
          <w:tcPr/>
          <w:p>
            <w:pPr>
              <w:pStyle w:val="Compact"/>
              <w:jc w:val="center"/>
            </w:pPr>
            <w:r>
              <w:t xml:space="preserve">DE</w:t>
            </w:r>
          </w:p>
        </w:tc>
        <w:tc>
          <w:tcPr/>
          <w:p>
            <w:pPr>
              <w:pStyle w:val="Compact"/>
              <w:jc w:val="left"/>
            </w:pPr>
            <w:r>
              <w:t xml:space="preserve">Utiliza diferencias poblacionales como dirección de búsqueda</w:t>
            </w:r>
          </w:p>
        </w:tc>
      </w:tr>
      <w:tr>
        <w:tc>
          <w:tcPr/>
          <w:p>
            <w:pPr>
              <w:pStyle w:val="Compact"/>
              <w:jc w:val="left"/>
            </w:pPr>
            <w:r>
              <w:t xml:space="preserve">Selección greedy (trial vs. target)</w:t>
            </w:r>
          </w:p>
        </w:tc>
        <w:tc>
          <w:tcPr/>
          <w:p>
            <w:pPr>
              <w:pStyle w:val="Compact"/>
              <w:jc w:val="center"/>
            </w:pPr>
            <w:r>
              <w:t xml:space="preserve">Explotación</w:t>
            </w:r>
          </w:p>
        </w:tc>
        <w:tc>
          <w:tcPr/>
          <w:p>
            <w:pPr>
              <w:pStyle w:val="Compact"/>
              <w:jc w:val="center"/>
            </w:pPr>
            <w:r>
              <w:t xml:space="preserve">DE</w:t>
            </w:r>
          </w:p>
        </w:tc>
        <w:tc>
          <w:tcPr/>
          <w:p>
            <w:pPr>
              <w:pStyle w:val="Compact"/>
              <w:jc w:val="left"/>
            </w:pPr>
            <w:r>
              <w:t xml:space="preserve">Solo acepta mejoras; presión selectiva fuerte</w:t>
            </w:r>
          </w:p>
        </w:tc>
      </w:tr>
      <w:tr>
        <w:tc>
          <w:tcPr/>
          <w:p>
            <w:pPr>
              <w:pStyle w:val="Compact"/>
              <w:jc w:val="left"/>
            </w:pPr>
            <w:r>
              <w:t xml:space="preserve">Búsqueda local SA periódica</w:t>
            </w:r>
          </w:p>
        </w:tc>
        <w:tc>
          <w:tcPr/>
          <w:p>
            <w:pPr>
              <w:pStyle w:val="Compact"/>
              <w:jc w:val="center"/>
            </w:pPr>
            <w:r>
              <w:t xml:space="preserve">Explotación</w:t>
            </w:r>
          </w:p>
        </w:tc>
        <w:tc>
          <w:tcPr/>
          <w:p>
            <w:pPr>
              <w:pStyle w:val="Compact"/>
              <w:jc w:val="center"/>
            </w:pPr>
            <w:r>
              <w:t xml:space="preserve">GA-SA</w:t>
            </w:r>
          </w:p>
        </w:tc>
        <w:tc>
          <w:tcPr/>
          <w:p>
            <w:pPr>
              <w:pStyle w:val="Compact"/>
              <w:jc w:val="left"/>
            </w:pPr>
            <w:r>
              <w:t xml:space="preserve">Refina los mejores individuos de la población</w:t>
            </w:r>
          </w:p>
        </w:tc>
      </w:tr>
    </w:tbl>
    <w:p>
      <w:pPr>
        <w:pStyle w:val="BodyText"/>
      </w:pPr>
      <w:r>
        <w:t xml:space="preserve">La</w:t>
      </w:r>
      <w:r>
        <w:t xml:space="preserve"> </w:t>
      </w:r>
      <w:r>
        <w:rPr>
          <w:b/>
          <w:bCs/>
        </w:rPr>
        <w:t xml:space="preserve">combinación de estos mecanismos</w:t>
      </w:r>
      <w:r>
        <w:t xml:space="preserve"> </w:t>
      </w:r>
      <w:r>
        <w:t xml:space="preserve">es lo que confiere a cada algoritmo su perfil de búsqueda característico:</w:t>
      </w:r>
    </w:p>
    <w:p>
      <w:pPr>
        <w:pStyle w:val="Compact"/>
        <w:numPr>
          <w:ilvl w:val="0"/>
          <w:numId w:val="1023"/>
        </w:numPr>
      </w:pPr>
      <w:r>
        <w:rPr>
          <w:b/>
          <w:bCs/>
        </w:rPr>
        <w:t xml:space="preserve">GA (§6.7):</w:t>
      </w:r>
      <w:r>
        <w:t xml:space="preserve"> </w:t>
      </w:r>
      <w:r>
        <w:t xml:space="preserve">Exploración predominante mediante población diversa y operadores genéticos (cruce + mutación), con explotación limitada por elitismo y presión de torneo.</w:t>
      </w:r>
    </w:p>
    <w:p>
      <w:pPr>
        <w:pStyle w:val="Compact"/>
        <w:numPr>
          <w:ilvl w:val="0"/>
          <w:numId w:val="1023"/>
        </w:numPr>
      </w:pPr>
      <w:r>
        <w:rPr>
          <w:b/>
          <w:bCs/>
        </w:rPr>
        <w:t xml:space="preserve">SA (§6.8):</w:t>
      </w:r>
      <w:r>
        <w:t xml:space="preserve"> </w:t>
      </w:r>
      <w:r>
        <w:t xml:space="preserve">Trayectoria individual que transita de exploración (alta temperatura) a explotación (baja temperatura), con reheating para escapar de óptimos locales.</w:t>
      </w:r>
    </w:p>
    <w:p>
      <w:pPr>
        <w:pStyle w:val="Compact"/>
        <w:numPr>
          <w:ilvl w:val="0"/>
          <w:numId w:val="1023"/>
        </w:numPr>
      </w:pPr>
      <w:r>
        <w:rPr>
          <w:b/>
          <w:bCs/>
        </w:rPr>
        <w:t xml:space="preserve">DE (§6.9):</w:t>
      </w:r>
      <w:r>
        <w:t xml:space="preserve"> </w:t>
      </w:r>
      <w:r>
        <w:t xml:space="preserve">Exploración dirigida mediante vectores de diferencia, combinada con explotación fuerte por selección greedy (el trial solo sobrevive si supera al target).</w:t>
      </w:r>
    </w:p>
    <w:p>
      <w:pPr>
        <w:pStyle w:val="Compact"/>
        <w:numPr>
          <w:ilvl w:val="0"/>
          <w:numId w:val="1023"/>
        </w:numPr>
      </w:pPr>
      <w:r>
        <w:rPr>
          <w:b/>
          <w:bCs/>
        </w:rPr>
        <w:t xml:space="preserve">GA-SA (§6.10):</w:t>
      </w:r>
      <w:r>
        <w:t xml:space="preserve"> </w:t>
      </w:r>
      <w:r>
        <w:t xml:space="preserve">Balance óptimo — la exploración global del GA se complementa con la explotación local del SA aplicado periódicamente a los mejores individuos (Figura 19 confirma que GA-SA mantiene mayor diversidad que GA puro).</w:t>
      </w:r>
    </w:p>
    <w:p>
      <w:pPr>
        <w:pStyle w:val="CaptionedFigure"/>
      </w:pPr>
      <w:r>
        <w:drawing>
          <wp:inline>
            <wp:extent cx="4800600" cy="2418772"/>
            <wp:effectExtent b="0" l="0" r="0" t="0"/>
            <wp:docPr descr="Espectro de exploración vs explotación para los cuatro algoritmos" title="" id="61" name="Picture"/>
            <a:graphic>
              <a:graphicData uri="http://schemas.openxmlformats.org/drawingml/2006/picture">
                <pic:pic>
                  <pic:nvPicPr>
                    <pic:cNvPr descr="figuras/fig_exploration_exploitation.png" id="62" name="Picture"/>
                    <pic:cNvPicPr>
                      <a:picLocks noChangeArrowheads="1" noChangeAspect="1"/>
                    </pic:cNvPicPr>
                  </pic:nvPicPr>
                  <pic:blipFill>
                    <a:blip r:embed="rId60"/>
                    <a:stretch>
                      <a:fillRect/>
                    </a:stretch>
                  </pic:blipFill>
                  <pic:spPr bwMode="auto">
                    <a:xfrm>
                      <a:off x="0" y="0"/>
                      <a:ext cx="4800600" cy="2418772"/>
                    </a:xfrm>
                    <a:prstGeom prst="rect">
                      <a:avLst/>
                    </a:prstGeom>
                    <a:noFill/>
                    <a:ln w="9525">
                      <a:noFill/>
                      <a:headEnd/>
                      <a:tailEnd/>
                    </a:ln>
                  </pic:spPr>
                </pic:pic>
              </a:graphicData>
            </a:graphic>
          </wp:inline>
        </w:drawing>
      </w:r>
    </w:p>
    <w:p>
      <w:pPr>
        <w:pStyle w:val="ImageCaption"/>
      </w:pPr>
      <w:r>
        <w:t xml:space="preserve">Espectro de exploración vs explotación para los cuatro algoritmos</w:t>
      </w:r>
    </w:p>
    <w:p>
      <w:pPr>
        <w:pStyle w:val="BodyText"/>
      </w:pPr>
      <w:r>
        <w:rPr>
          <w:b/>
          <w:bCs/>
          <w:i/>
          <w:iCs/>
        </w:rPr>
        <w:t xml:space="preserve">Figura 5d.</w:t>
      </w:r>
      <w:r>
        <w:rPr>
          <w:i/>
          <w:iCs/>
        </w:rPr>
        <w:t xml:space="preserve"> </w:t>
      </w:r>
      <w:r>
        <w:rPr>
          <w:i/>
          <w:iCs/>
        </w:rPr>
        <w:t xml:space="preserve">Posicionamiento de los cuatro algoritmos en el espectro exploración–explotación. SA se ubica hacia la exploración (alta temperatura inicial) con transición gradual a explotación (enfriamiento). GA prioriza diversificación mediante población y operadores genéticos. DE combina exploración dirigida con selección greedy. GA-SA logra el balance óptimo al complementar la exploración global del GA con la explotación local del SA.</w:t>
      </w:r>
    </w:p>
    <w:bookmarkEnd w:id="63"/>
    <w:bookmarkStart w:id="64" w:name="decodificador-greedy"/>
    <w:p>
      <w:pPr>
        <w:pStyle w:val="Heading3"/>
      </w:pPr>
      <w:r>
        <w:t xml:space="preserve">6.6. Decodificador Greedy</w:t>
      </w:r>
    </w:p>
    <w:p>
      <w:pPr>
        <w:pStyle w:val="FirstParagraph"/>
      </w:pPr>
      <w:r>
        <w:t xml:space="preserve">Dado un par</w:t>
      </w:r>
      <w:r>
        <w:t xml:space="preserve"> </w:t>
      </w:r>
      <m:oMath>
        <m:r>
          <m:rPr>
            <m:sty m:val="p"/>
          </m:rPr>
          <m:t>(</m:t>
        </m:r>
        <m:r>
          <m:rPr>
            <m:sty m:val="b"/>
          </m:rPr>
          <m:t>y</m:t>
        </m:r>
        <m:r>
          <m:rPr>
            <m:sty m:val="p"/>
          </m:rPr>
          <m:t>,</m:t>
        </m:r>
        <m:r>
          <m:rPr>
            <m:sty m:val="b"/>
          </m:rPr>
          <m:t>q</m:t>
        </m:r>
        <m:r>
          <m:rPr>
            <m:sty m:val="p"/>
          </m:rPr>
          <m:t>)</m:t>
        </m:r>
      </m:oMath>
      <w:r>
        <w:t xml:space="preserve">, el decodificador calcula las variables de segunda etapa</w:t>
      </w:r>
      <w:r>
        <w:t xml:space="preserve"> </w:t>
      </w:r>
      <m:oMath>
        <m:r>
          <m:rPr>
            <m:sty m:val="p"/>
          </m:rPr>
          <m:t>(</m:t>
        </m:r>
        <m:r>
          <m:rPr>
            <m:sty m:val="b"/>
          </m:rPr>
          <m:t>v</m:t>
        </m:r>
        <m:r>
          <m:rPr>
            <m:sty m:val="p"/>
          </m:rPr>
          <m:t>,</m:t>
        </m:r>
        <m:r>
          <m:rPr>
            <m:sty m:val="b"/>
          </m:rPr>
          <m:t>I</m:t>
        </m:r>
        <m:r>
          <m:rPr>
            <m:sty m:val="p"/>
          </m:rPr>
          <m:t>,</m:t>
        </m:r>
        <m:r>
          <m:rPr>
            <m:sty m:val="b"/>
          </m:rPr>
          <m:t>u</m:t>
        </m:r>
        <m:r>
          <m:rPr>
            <m:sty m:val="p"/>
          </m:rPr>
          <m:t>)</m:t>
        </m:r>
      </m:oMath>
      <w:r>
        <w:t xml:space="preserve"> </w:t>
      </w:r>
      <w:r>
        <w:t xml:space="preserve">para cada escenario</w:t>
      </w:r>
      <w:r>
        <w:t xml:space="preserve"> </w:t>
      </w:r>
      <m:oMath>
        <m:r>
          <m:t>ω</m:t>
        </m:r>
      </m:oMath>
      <w:r>
        <w:t xml:space="preserve"> </w:t>
      </w:r>
      <w:r>
        <w:t xml:space="preserve">mediante una asignación greedy:</w:t>
      </w:r>
    </w:p>
    <w:p>
      <w:pPr>
        <w:pStyle w:val="Compact"/>
        <w:numPr>
          <w:ilvl w:val="0"/>
          <w:numId w:val="1024"/>
        </w:numPr>
      </w:pPr>
      <w:r>
        <w:rPr>
          <w:b/>
          <w:bCs/>
        </w:rPr>
        <w:t xml:space="preserve">Producción por forma de corte:</w:t>
      </w:r>
      <w:r>
        <w:t xml:space="preserve"> </w:t>
      </w:r>
      <w:r>
        <w:t xml:space="preserve">Se asigna la masa anatómica disponible (</w:t>
      </w:r>
      <m:oMath>
        <m:sSub>
          <m:e>
            <m:r>
              <m:t>α</m:t>
            </m:r>
          </m:e>
          <m:sub>
            <m:r>
              <m:t>p</m:t>
            </m:r>
          </m:sub>
        </m:sSub>
        <m:r>
          <m:rPr>
            <m:sty m:val="p"/>
          </m:rPr>
          <m:t>⋅</m:t>
        </m:r>
        <m:r>
          <m:t>W</m:t>
        </m:r>
        <m:r>
          <m:rPr>
            <m:sty m:val="p"/>
          </m:rPr>
          <m:t>⋅</m:t>
        </m:r>
        <m:sSub>
          <m:e>
            <m:r>
              <m:t>q</m:t>
            </m:r>
          </m:e>
          <m:sub>
            <m:r>
              <m:t>t</m:t>
            </m:r>
          </m:sub>
        </m:sSub>
      </m:oMath>
      <w:r>
        <w:t xml:space="preserve">) a las formas de corte por orden descendente de precio, respetando la disponibilidad por pieza anatómica.</w:t>
      </w:r>
    </w:p>
    <w:p>
      <w:pPr>
        <w:pStyle w:val="Compact"/>
        <w:numPr>
          <w:ilvl w:val="0"/>
          <w:numId w:val="1024"/>
        </w:numPr>
      </w:pPr>
      <w:r>
        <w:rPr>
          <w:b/>
          <w:bCs/>
        </w:rPr>
        <w:t xml:space="preserve">Ventas FIFO:</w:t>
      </w:r>
      <w:r>
        <w:t xml:space="preserve"> </w:t>
      </w:r>
      <w:r>
        <w:t xml:space="preserve">Para cada forma de corte en cada escenario, las ventas se asignan consumiendo inventario en orden FIFO (el más antiguo se vende primero), respetando la restricción de demanda.</w:t>
      </w:r>
    </w:p>
    <w:p>
      <w:pPr>
        <w:pStyle w:val="Compact"/>
        <w:numPr>
          <w:ilvl w:val="0"/>
          <w:numId w:val="1024"/>
        </w:numPr>
      </w:pPr>
      <w:r>
        <w:rPr>
          <w:b/>
          <w:bCs/>
        </w:rPr>
        <w:t xml:space="preserve">Inventario residual:</w:t>
      </w:r>
      <w:r>
        <w:t xml:space="preserve"> </w:t>
      </w:r>
      <w:r>
        <w:t xml:space="preserve">El inventario al final de cada periodo es la diferencia entre disponibilidad y ventas.</w:t>
      </w:r>
    </w:p>
    <w:p>
      <w:pPr>
        <w:pStyle w:val="FirstParagraph"/>
      </w:pPr>
      <w:r>
        <w:t xml:space="preserve">Este decodificador es determinista: dado</w:t>
      </w:r>
      <w:r>
        <w:t xml:space="preserve"> </w:t>
      </w:r>
      <m:oMath>
        <m:r>
          <m:rPr>
            <m:sty m:val="p"/>
          </m:rPr>
          <m:t>(</m:t>
        </m:r>
        <m:r>
          <m:rPr>
            <m:sty m:val="b"/>
          </m:rPr>
          <m:t>y</m:t>
        </m:r>
        <m:r>
          <m:rPr>
            <m:sty m:val="p"/>
          </m:rPr>
          <m:t>,</m:t>
        </m:r>
        <m:r>
          <m:rPr>
            <m:sty m:val="b"/>
          </m:rPr>
          <m:t>q</m:t>
        </m:r>
        <m:r>
          <m:rPr>
            <m:sty m:val="p"/>
          </m:rPr>
          <m:t>)</m:t>
        </m:r>
      </m:oMath>
      <w:r>
        <w:t xml:space="preserve"> </w:t>
      </w:r>
      <w:r>
        <w:t xml:space="preserve">y una instancia, siempre produce el mismo resultado.</w:t>
      </w:r>
    </w:p>
    <w:bookmarkEnd w:id="64"/>
    <w:bookmarkStart w:id="65" w:name="algoritmo-genético-ga"/>
    <w:p>
      <w:pPr>
        <w:pStyle w:val="Heading3"/>
      </w:pPr>
      <w:r>
        <w:t xml:space="preserve">6.7. Algoritmo Genético (GA)</w:t>
      </w:r>
    </w:p>
    <w:p>
      <w:pPr>
        <w:pStyle w:val="FirstParagraph"/>
      </w:pPr>
      <w:r>
        <w:t xml:space="preserve">El GA opera sobre una población de</w:t>
      </w:r>
      <w:r>
        <w:t xml:space="preserve"> </w:t>
      </w:r>
      <m:oMath>
        <m:r>
          <m:t>N</m:t>
        </m:r>
      </m:oMath>
      <w:r>
        <w:t xml:space="preserve"> </w:t>
      </w:r>
      <w:r>
        <w:t xml:space="preserve">individuos, cada uno codificado como</w:t>
      </w:r>
      <w:r>
        <w:t xml:space="preserve"> </w:t>
      </w:r>
      <m:oMath>
        <m:r>
          <m:rPr>
            <m:sty m:val="p"/>
          </m:rPr>
          <m:t>(</m:t>
        </m:r>
        <m:r>
          <m:rPr>
            <m:sty m:val="b"/>
          </m:rPr>
          <m:t>y</m:t>
        </m:r>
        <m:r>
          <m:rPr>
            <m:sty m:val="p"/>
          </m:rPr>
          <m:t>,</m:t>
        </m:r>
        <m:r>
          <m:rPr>
            <m:sty m:val="b"/>
          </m:rPr>
          <m:t>q</m:t>
        </m:r>
        <m:r>
          <m:rPr>
            <m:sty m:val="p"/>
          </m:rPr>
          <m:t>)</m:t>
        </m:r>
      </m:oMath>
      <w:r>
        <w:t xml:space="preserve">. Los operadores están adaptados a variables mixtas (binarias + enteras):</w:t>
      </w:r>
    </w:p>
    <w:p>
      <w:pPr>
        <w:pStyle w:val="Compact"/>
        <w:numPr>
          <w:ilvl w:val="0"/>
          <w:numId w:val="1025"/>
        </w:numPr>
      </w:pPr>
      <w:r>
        <w:rPr>
          <w:b/>
          <w:bCs/>
        </w:rPr>
        <w:t xml:space="preserve">Selección:</w:t>
      </w:r>
      <w:r>
        <w:t xml:space="preserve"> </w:t>
      </w:r>
      <w:r>
        <w:t xml:space="preserve">Torneo de tamaño</w:t>
      </w:r>
      <w:r>
        <w:t xml:space="preserve"> </w:t>
      </w:r>
      <m:oMath>
        <m:r>
          <m:t>k</m:t>
        </m:r>
      </m:oMath>
      <w:r>
        <w:t xml:space="preserve"> </w:t>
      </w:r>
      <w:r>
        <w:t xml:space="preserve">— selecciona el mejor individuo entre</w:t>
      </w:r>
      <w:r>
        <w:t xml:space="preserve"> </w:t>
      </w:r>
      <m:oMath>
        <m:r>
          <m:t>k</m:t>
        </m:r>
      </m:oMath>
      <w:r>
        <w:t xml:space="preserve"> </w:t>
      </w:r>
      <w:r>
        <w:t xml:space="preserve">candidatos aleatorios.</w:t>
      </w:r>
    </w:p>
    <w:p>
      <w:pPr>
        <w:pStyle w:val="Compact"/>
        <w:numPr>
          <w:ilvl w:val="0"/>
          <w:numId w:val="1025"/>
        </w:numPr>
      </w:pPr>
      <w:r>
        <w:rPr>
          <w:b/>
          <w:bCs/>
        </w:rPr>
        <w:t xml:space="preserve">Cruce:</w:t>
      </w:r>
      <w:r>
        <w:t xml:space="preserve"> </w:t>
      </w:r>
      <w:r>
        <w:t xml:space="preserve">Cruce de dos puntos aplicado independientemente a</w:t>
      </w:r>
      <w:r>
        <w:t xml:space="preserve"> </w:t>
      </w:r>
      <m:oMath>
        <m:r>
          <m:rPr>
            <m:sty m:val="b"/>
          </m:rPr>
          <m:t>y</m:t>
        </m:r>
      </m:oMath>
      <w:r>
        <w:t xml:space="preserve"> </w:t>
      </w:r>
      <w:r>
        <w:t xml:space="preserve">y</w:t>
      </w:r>
      <w:r>
        <w:t xml:space="preserve"> </w:t>
      </w:r>
      <m:oMath>
        <m:r>
          <m:rPr>
            <m:sty m:val="b"/>
          </m:rPr>
          <m:t>q</m:t>
        </m:r>
      </m:oMath>
      <w:r>
        <w:t xml:space="preserve">, respetando los límites</w:t>
      </w:r>
      <w:r>
        <w:t xml:space="preserve"> </w:t>
      </w:r>
      <m:oMath>
        <m:r>
          <m:rPr>
            <m:sty m:val="p"/>
          </m:rPr>
          <m:t>[</m:t>
        </m:r>
        <m:sSup>
          <m:e>
            <m:r>
              <m:t>Q</m:t>
            </m:r>
          </m:e>
          <m:sup>
            <m:r>
              <m:t>m</m:t>
            </m:r>
            <m:r>
              <m:t>i</m:t>
            </m:r>
            <m:r>
              <m:t>n</m:t>
            </m:r>
          </m:sup>
        </m:sSup>
        <m:r>
          <m:rPr>
            <m:sty m:val="p"/>
          </m:rPr>
          <m:t>,</m:t>
        </m:r>
        <m:sSup>
          <m:e>
            <m:r>
              <m:t>Q</m:t>
            </m:r>
          </m:e>
          <m:sup>
            <m:r>
              <m:t>m</m:t>
            </m:r>
            <m:r>
              <m:t>a</m:t>
            </m:r>
            <m:r>
              <m:t>x</m:t>
            </m:r>
          </m:sup>
        </m:sSup>
        <m:r>
          <m:rPr>
            <m:sty m:val="p"/>
          </m:rPr>
          <m:t>]</m:t>
        </m:r>
      </m:oMath>
      <w:r>
        <w:t xml:space="preserve">.</w:t>
      </w:r>
    </w:p>
    <w:p>
      <w:pPr>
        <w:pStyle w:val="Compact"/>
        <w:numPr>
          <w:ilvl w:val="0"/>
          <w:numId w:val="1025"/>
        </w:numPr>
      </w:pPr>
      <w:r>
        <w:rPr>
          <w:b/>
          <w:bCs/>
        </w:rPr>
        <w:t xml:space="preserve">Mutación:</w:t>
      </w:r>
      <w:r>
        <w:t xml:space="preserve"> </w:t>
      </w:r>
      <w:r>
        <w:t xml:space="preserve">Bit-flip para</w:t>
      </w:r>
      <w:r>
        <w:t xml:space="preserve"> </w:t>
      </w:r>
      <m:oMath>
        <m:r>
          <m:rPr>
            <m:sty m:val="b"/>
          </m:rPr>
          <m:t>y</m:t>
        </m:r>
      </m:oMath>
      <w:r>
        <w:t xml:space="preserve"> </w:t>
      </w:r>
      <w:r>
        <w:t xml:space="preserve">(con probabilidad</w:t>
      </w:r>
      <w:r>
        <w:t xml:space="preserve"> </w:t>
      </w:r>
      <m:oMath>
        <m:sSub>
          <m:e>
            <m:r>
              <m:t>p</m:t>
            </m:r>
          </m:e>
          <m:sub>
            <m:r>
              <m:t>t</m:t>
            </m:r>
            <m:r>
              <m:t>o</m:t>
            </m:r>
            <m:r>
              <m:t>g</m:t>
            </m:r>
            <m:r>
              <m:t>g</m:t>
            </m:r>
            <m:r>
              <m:t>l</m:t>
            </m:r>
            <m:r>
              <m:t>e</m:t>
            </m:r>
          </m:sub>
        </m:sSub>
      </m:oMath>
      <w:r>
        <w:t xml:space="preserve">) y perturbación gaussiana acotada para</w:t>
      </w:r>
      <w:r>
        <w:t xml:space="preserve"> </w:t>
      </w:r>
      <m:oMath>
        <m:r>
          <m:rPr>
            <m:sty m:val="b"/>
          </m:rPr>
          <m:t>q</m:t>
        </m:r>
      </m:oMath>
      <w:r>
        <w:t xml:space="preserve"> </w:t>
      </w:r>
      <w:r>
        <w:t xml:space="preserve">(</w:t>
      </w:r>
      <m:oMath>
        <m:r>
          <m:t>δ</m:t>
        </m:r>
        <m:r>
          <m:rPr>
            <m:sty m:val="p"/>
          </m:rPr>
          <m:t>=</m:t>
        </m:r>
        <m:r>
          <m:t>15</m:t>
        </m:r>
        <m:r>
          <m:rPr>
            <m:sty m:val="p"/>
          </m:rPr>
          <m:t>%</m:t>
        </m:r>
      </m:oMath>
      <w:r>
        <w:t xml:space="preserve"> </w:t>
      </w:r>
      <w:r>
        <w:t xml:space="preserve">del rango).</w:t>
      </w:r>
    </w:p>
    <w:p>
      <w:pPr>
        <w:pStyle w:val="Compact"/>
        <w:numPr>
          <w:ilvl w:val="0"/>
          <w:numId w:val="1025"/>
        </w:numPr>
      </w:pPr>
      <w:r>
        <w:rPr>
          <w:b/>
          <w:bCs/>
        </w:rPr>
        <w:t xml:space="preserve">Elitismo:</w:t>
      </w:r>
      <w:r>
        <w:t xml:space="preserve"> </w:t>
      </w:r>
      <w:r>
        <w:t xml:space="preserve">Los</w:t>
      </w:r>
      <w:r>
        <w:t xml:space="preserve"> </w:t>
      </w:r>
      <m:oMath>
        <m:r>
          <m:t>e</m:t>
        </m:r>
      </m:oMath>
      <w:r>
        <w:t xml:space="preserve"> </w:t>
      </w:r>
      <w:r>
        <w:t xml:space="preserve">mejores individuos pasan directamente a la siguiente generación.</w:t>
      </w:r>
    </w:p>
    <w:p>
      <w:pPr>
        <w:pStyle w:val="Compact"/>
        <w:numPr>
          <w:ilvl w:val="0"/>
          <w:numId w:val="1025"/>
        </w:numPr>
      </w:pPr>
      <w:r>
        <w:rPr>
          <w:b/>
          <w:bCs/>
        </w:rPr>
        <w:t xml:space="preserve">Criterio de parada:</w:t>
      </w:r>
      <w:r>
        <w:t xml:space="preserve"> </w:t>
      </w:r>
      <w:r>
        <w:t xml:space="preserve">Estancamiento (sin mejora durante</w:t>
      </w:r>
      <w:r>
        <w:t xml:space="preserve"> </w:t>
      </w:r>
      <m:oMath>
        <m:r>
          <m:t>s</m:t>
        </m:r>
      </m:oMath>
      <w:r>
        <w:t xml:space="preserve"> </w:t>
      </w:r>
      <w:r>
        <w:t xml:space="preserve">generaciones consecutivas).</w:t>
      </w:r>
    </w:p>
    <w:p>
      <w:pPr>
        <w:pStyle w:val="SourceCode"/>
      </w:pPr>
      <w:r>
        <w:rPr>
          <w:rStyle w:val="VerbatimChar"/>
        </w:rPr>
        <w:t xml:space="preserve">%%{init: {'theme': 'neutral'}}%%</w:t>
      </w:r>
      <w:r>
        <w:br/>
      </w:r>
      <w:r>
        <w:rPr>
          <w:rStyle w:val="VerbatimChar"/>
        </w:rPr>
        <w:t xml:space="preserve">flowchart TD</w:t>
      </w:r>
      <w:r>
        <w:br/>
      </w:r>
      <w:r>
        <w:rPr>
          <w:rStyle w:val="VerbatimChar"/>
        </w:rPr>
        <w:t xml:space="preserve">    A["Inicializar población\nP₀ (N individuos)"] --&gt; B["Evaluar fitness\nf(y,q) = Z"]</w:t>
      </w:r>
      <w:r>
        <w:br/>
      </w:r>
      <w:r>
        <w:rPr>
          <w:rStyle w:val="VerbatimChar"/>
        </w:rPr>
        <w:t xml:space="preserve">    B --&gt; C{"gen ≤ G_max\ny sin estancamiento?"}</w:t>
      </w:r>
      <w:r>
        <w:br/>
      </w:r>
      <w:r>
        <w:rPr>
          <w:rStyle w:val="VerbatimChar"/>
        </w:rPr>
        <w:t xml:space="preserve">    C --&gt;|Sí| D["Elitismo: conservar top-e"]</w:t>
      </w:r>
      <w:r>
        <w:br/>
      </w:r>
      <w:r>
        <w:rPr>
          <w:rStyle w:val="VerbatimChar"/>
        </w:rPr>
        <w:t xml:space="preserve">    D --&gt; E["Selección por torneo (k)"]</w:t>
      </w:r>
      <w:r>
        <w:br/>
      </w:r>
      <w:r>
        <w:rPr>
          <w:rStyle w:val="VerbatimChar"/>
        </w:rPr>
        <w:t xml:space="preserve">    E --&gt; F["Cruce de dos puntos\n(prob = cx_rate)"]</w:t>
      </w:r>
      <w:r>
        <w:br/>
      </w:r>
      <w:r>
        <w:rPr>
          <w:rStyle w:val="VerbatimChar"/>
        </w:rPr>
        <w:t xml:space="preserve">    F --&gt; G["Mutación mixta\n(bit-flip + gaussiana)"]</w:t>
      </w:r>
      <w:r>
        <w:br/>
      </w:r>
      <w:r>
        <w:rPr>
          <w:rStyle w:val="VerbatimChar"/>
        </w:rPr>
        <w:t xml:space="preserve">    G --&gt; H["Reparar lot-sizing"]</w:t>
      </w:r>
      <w:r>
        <w:br/>
      </w:r>
      <w:r>
        <w:rPr>
          <w:rStyle w:val="VerbatimChar"/>
        </w:rPr>
        <w:t xml:space="preserve">    H --&gt; B</w:t>
      </w:r>
      <w:r>
        <w:br/>
      </w:r>
      <w:r>
        <w:rPr>
          <w:rStyle w:val="VerbatimChar"/>
        </w:rPr>
        <w:t xml:space="preserve">    C --&gt;|No| I["Retornar mejor solución"]</w:t>
      </w:r>
    </w:p>
    <w:p>
      <w:pPr>
        <w:pStyle w:val="FirstParagraph"/>
      </w:pPr>
      <w:r>
        <w:rPr>
          <w:b/>
          <w:bCs/>
          <w:i/>
          <w:iCs/>
        </w:rPr>
        <w:t xml:space="preserve">Figura 6.</w:t>
      </w:r>
      <w:r>
        <w:rPr>
          <w:i/>
          <w:iCs/>
        </w:rPr>
        <w:t xml:space="preserve"> </w:t>
      </w:r>
      <w:r>
        <w:rPr>
          <w:i/>
          <w:iCs/>
        </w:rPr>
        <w:t xml:space="preserve">Diagrama de flujo del Algoritmo Genético (GA) con operadores de cruce de dos puntos, mutación mixta y elitismo.</w:t>
      </w:r>
    </w:p>
    <w:bookmarkEnd w:id="65"/>
    <w:bookmarkStart w:id="66" w:name="recocido-simulado-sa"/>
    <w:p>
      <w:pPr>
        <w:pStyle w:val="Heading3"/>
      </w:pPr>
      <w:r>
        <w:t xml:space="preserve">6.8. Recocido Simulado (SA)</w:t>
      </w:r>
    </w:p>
    <w:p>
      <w:pPr>
        <w:pStyle w:val="FirstParagraph"/>
      </w:pPr>
      <w:r>
        <w:t xml:space="preserve">El SA utiliza un esquema de enfriamiento geométrico con</w:t>
      </w:r>
      <w:r>
        <w:t xml:space="preserve"> </w:t>
      </w:r>
      <w:r>
        <w:rPr>
          <w:i/>
          <w:iCs/>
        </w:rPr>
        <w:t xml:space="preserve">reheating</w:t>
      </w:r>
      <w:r>
        <w:t xml:space="preserve"> </w:t>
      </w:r>
      <w:r>
        <w:t xml:space="preserve">adaptativo:</w:t>
      </w:r>
    </w:p>
    <w:p>
      <w:pPr>
        <w:pStyle w:val="Compact"/>
        <w:numPr>
          <w:ilvl w:val="0"/>
          <w:numId w:val="1026"/>
        </w:numPr>
      </w:pPr>
      <w:r>
        <w:rPr>
          <w:b/>
          <w:bCs/>
        </w:rPr>
        <w:t xml:space="preserve">Temperatura inicial:</w:t>
      </w:r>
      <w:r>
        <w:t xml:space="preserve"> </w:t>
      </w:r>
      <w:r>
        <w:t xml:space="preserve">Auto-estimada mediante 20 pares de soluciones aleatorias, calibrada para aceptar ~80% de soluciones inicialmente (</w:t>
      </w:r>
      <m:oMath>
        <m:sSub>
          <m:e>
            <m:r>
              <m:t>T</m:t>
            </m:r>
          </m:e>
          <m:sub>
            <m:r>
              <m:t>0</m:t>
            </m:r>
          </m:sub>
        </m:sSub>
        <m:r>
          <m:rPr>
            <m:sty m:val="p"/>
          </m:rPr>
          <m:t>=</m:t>
        </m:r>
        <m:r>
          <m:rPr>
            <m:sty m:val="p"/>
          </m:rPr>
          <m:t>−</m:t>
        </m:r>
        <m:acc>
          <m:accPr>
            <m:chr m:val="‾"/>
          </m:accPr>
          <m:e>
            <m:r>
              <m:rPr>
                <m:sty m:val="p"/>
              </m:rPr>
              <m:t>Δ</m:t>
            </m:r>
          </m:e>
        </m:acc>
        <m:r>
          <m:rPr>
            <m:sty m:val="p"/>
          </m:rPr>
          <m:t>/</m:t>
        </m:r>
        <m:r>
          <m:rPr>
            <m:sty m:val="p"/>
          </m:rPr>
          <m:t>ln</m:t>
        </m:r>
        <m:r>
          <m:rPr>
            <m:sty m:val="p"/>
          </m:rPr>
          <m:t>(</m:t>
        </m:r>
        <m:r>
          <m:t>0.8</m:t>
        </m:r>
        <m:r>
          <m:rPr>
            <m:sty m:val="p"/>
          </m:rPr>
          <m:t>)</m:t>
        </m:r>
      </m:oMath>
      <w:r>
        <w:t xml:space="preserve">).</w:t>
      </w:r>
    </w:p>
    <w:p>
      <w:pPr>
        <w:pStyle w:val="Compact"/>
        <w:numPr>
          <w:ilvl w:val="0"/>
          <w:numId w:val="1026"/>
        </w:numPr>
      </w:pPr>
      <w:r>
        <w:rPr>
          <w:b/>
          <w:bCs/>
        </w:rPr>
        <w:t xml:space="preserve">Enfriamiento geométrico:</w:t>
      </w:r>
      <w:r>
        <w:t xml:space="preserve"> </w:t>
      </w:r>
      <m:oMath>
        <m:sSub>
          <m:e>
            <m:r>
              <m:t>T</m:t>
            </m:r>
          </m:e>
          <m:sub>
            <m:r>
              <m:t>k</m:t>
            </m:r>
            <m:r>
              <m:rPr>
                <m:sty m:val="p"/>
              </m:rPr>
              <m:t>+</m:t>
            </m:r>
            <m:r>
              <m:t>1</m:t>
            </m:r>
          </m:sub>
        </m:sSub>
        <m:r>
          <m:rPr>
            <m:sty m:val="p"/>
          </m:rPr>
          <m:t>=</m:t>
        </m:r>
        <m:r>
          <m:t>α</m:t>
        </m:r>
        <m:r>
          <m:rPr>
            <m:sty m:val="p"/>
          </m:rPr>
          <m:t>⋅</m:t>
        </m:r>
        <m:sSub>
          <m:e>
            <m:r>
              <m:t>T</m:t>
            </m:r>
          </m:e>
          <m:sub>
            <m:r>
              <m:t>k</m:t>
            </m:r>
          </m:sub>
        </m:sSub>
      </m:oMath>
      <w:r>
        <w:t xml:space="preserve"> </w:t>
      </w:r>
      <w:r>
        <w:t xml:space="preserve">con</w:t>
      </w:r>
      <w:r>
        <w:t xml:space="preserve"> </w:t>
      </w:r>
      <m:oMath>
        <m:r>
          <m:t>α</m:t>
        </m:r>
        <m:r>
          <m:rPr>
            <m:sty m:val="p"/>
          </m:rPr>
          <m:t>=</m:t>
        </m:r>
        <m:r>
          <m:t>0.78</m:t>
        </m:r>
      </m:oMath>
      <w:r>
        <w:t xml:space="preserve">.</w:t>
      </w:r>
    </w:p>
    <w:p>
      <w:pPr>
        <w:pStyle w:val="Compact"/>
        <w:numPr>
          <w:ilvl w:val="0"/>
          <w:numId w:val="1026"/>
        </w:numPr>
      </w:pPr>
      <w:r>
        <w:rPr>
          <w:b/>
          <w:bCs/>
        </w:rPr>
        <w:t xml:space="preserve">Vecindarios mixtos:</w:t>
      </w:r>
      <w:r>
        <w:t xml:space="preserve"> </w:t>
      </w:r>
      <w:r>
        <w:t xml:space="preserve">Con probabilidad</w:t>
      </w:r>
      <w:r>
        <w:t xml:space="preserve"> </w:t>
      </w:r>
      <m:oMath>
        <m:sSub>
          <m:e>
            <m:r>
              <m:t>p</m:t>
            </m:r>
          </m:e>
          <m:sub>
            <m:r>
              <m:t>t</m:t>
            </m:r>
            <m:r>
              <m:t>o</m:t>
            </m:r>
            <m:r>
              <m:t>g</m:t>
            </m:r>
            <m:r>
              <m:t>g</m:t>
            </m:r>
            <m:r>
              <m:t>l</m:t>
            </m:r>
            <m:r>
              <m:t>e</m:t>
            </m:r>
          </m:sub>
        </m:sSub>
      </m:oMath>
      <w:r>
        <w:t xml:space="preserve"> </w:t>
      </w:r>
      <w:r>
        <w:t xml:space="preserve">alterna un setup, con</w:t>
      </w:r>
      <w:r>
        <w:t xml:space="preserve"> </w:t>
      </w:r>
      <m:oMath>
        <m:sSub>
          <m:e>
            <m:r>
              <m:t>p</m:t>
            </m:r>
          </m:e>
          <m:sub>
            <m:r>
              <m:t>q</m:t>
            </m:r>
            <m:r>
              <m:t>u</m:t>
            </m:r>
            <m:r>
              <m:t>a</m:t>
            </m:r>
            <m:r>
              <m:t>n</m:t>
            </m:r>
            <m:r>
              <m:t>t</m:t>
            </m:r>
            <m:r>
              <m:t>i</m:t>
            </m:r>
            <m:r>
              <m:t>t</m:t>
            </m:r>
            <m:r>
              <m:t>y</m:t>
            </m:r>
          </m:sub>
        </m:sSub>
      </m:oMath>
      <w:r>
        <w:t xml:space="preserve"> </w:t>
      </w:r>
      <w:r>
        <w:t xml:space="preserve">perturba una cantidad, y con</w:t>
      </w:r>
      <w:r>
        <w:t xml:space="preserve"> </w:t>
      </w:r>
      <m:oMath>
        <m:r>
          <m:t>1</m:t>
        </m:r>
        <m:r>
          <m:rPr>
            <m:sty m:val="p"/>
          </m:rPr>
          <m:t>−</m:t>
        </m:r>
        <m:sSub>
          <m:e>
            <m:r>
              <m:t>p</m:t>
            </m:r>
          </m:e>
          <m:sub>
            <m:r>
              <m:t>t</m:t>
            </m:r>
            <m:r>
              <m:t>o</m:t>
            </m:r>
            <m:r>
              <m:t>g</m:t>
            </m:r>
            <m:r>
              <m:t>g</m:t>
            </m:r>
            <m:r>
              <m:t>l</m:t>
            </m:r>
            <m:r>
              <m:t>e</m:t>
            </m:r>
          </m:sub>
        </m:sSub>
        <m:r>
          <m:rPr>
            <m:sty m:val="p"/>
          </m:rPr>
          <m:t>−</m:t>
        </m:r>
        <m:sSub>
          <m:e>
            <m:r>
              <m:t>p</m:t>
            </m:r>
          </m:e>
          <m:sub>
            <m:r>
              <m:t>q</m:t>
            </m:r>
            <m:r>
              <m:t>u</m:t>
            </m:r>
            <m:r>
              <m:t>a</m:t>
            </m:r>
            <m:r>
              <m:t>n</m:t>
            </m:r>
            <m:r>
              <m:t>t</m:t>
            </m:r>
            <m:r>
              <m:t>i</m:t>
            </m:r>
            <m:r>
              <m:t>t</m:t>
            </m:r>
            <m:r>
              <m:t>y</m:t>
            </m:r>
          </m:sub>
        </m:sSub>
      </m:oMath>
      <w:r>
        <w:t xml:space="preserve"> </w:t>
      </w:r>
      <w:r>
        <w:t xml:space="preserve">aplica ambas perturbaciones.</w:t>
      </w:r>
    </w:p>
    <w:p>
      <w:pPr>
        <w:pStyle w:val="Compact"/>
        <w:numPr>
          <w:ilvl w:val="0"/>
          <w:numId w:val="1026"/>
        </w:numPr>
      </w:pPr>
      <w:r>
        <w:rPr>
          <w:b/>
          <w:bCs/>
        </w:rPr>
        <w:t xml:space="preserve">Criterio de Metropolis:</w:t>
      </w:r>
      <w:r>
        <w:t xml:space="preserve"> </w:t>
      </w:r>
      <w:r>
        <w:t xml:space="preserve">Acepta una solución peor</w:t>
      </w:r>
      <w:r>
        <w:t xml:space="preserve"> </w:t>
      </w:r>
      <m:oMath>
        <m:sSup>
          <m:e>
            <m:r>
              <m:t>s</m:t>
            </m:r>
          </m:e>
          <m:sup>
            <m:r>
              <m:rPr>
                <m:sty m:val="p"/>
              </m:rPr>
              <m:t>′</m:t>
            </m:r>
          </m:sup>
        </m:sSup>
      </m:oMath>
      <w:r>
        <w:t xml:space="preserve"> </w:t>
      </w:r>
      <w:r>
        <w:t xml:space="preserve">con probabilidad</w:t>
      </w:r>
      <w:r>
        <w:t xml:space="preserve"> </w:t>
      </w:r>
      <m:oMath>
        <m:r>
          <m:rPr>
            <m:sty m:val="p"/>
          </m:rPr>
          <m:t>exp</m:t>
        </m:r>
        <m:r>
          <m:rPr>
            <m:sty m:val="p"/>
          </m:rPr>
          <m:t>(</m:t>
        </m:r>
        <m:r>
          <m:rPr>
            <m:sty m:val="p"/>
          </m:rPr>
          <m:t>Δ</m:t>
        </m:r>
        <m:r>
          <m:rPr>
            <m:sty m:val="p"/>
          </m:rPr>
          <m:t>/</m:t>
        </m:r>
        <m:r>
          <m:t>T</m:t>
        </m:r>
        <m:r>
          <m:rPr>
            <m:sty m:val="p"/>
          </m:rPr>
          <m:t>)</m:t>
        </m:r>
      </m:oMath>
      <w:r>
        <w:t xml:space="preserve"> </w:t>
      </w:r>
      <w:r>
        <w:t xml:space="preserve">donde</w:t>
      </w:r>
      <w:r>
        <w:t xml:space="preserve"> </w:t>
      </w:r>
      <m:oMath>
        <m:r>
          <m:rPr>
            <m:sty m:val="p"/>
          </m:rPr>
          <m:t>Δ</m:t>
        </m:r>
        <m:r>
          <m:rPr>
            <m:sty m:val="p"/>
          </m:rPr>
          <m:t>=</m:t>
        </m:r>
        <m:r>
          <m:t>f</m:t>
        </m:r>
        <m:r>
          <m:rPr>
            <m:sty m:val="p"/>
          </m:rPr>
          <m:t>(</m:t>
        </m:r>
        <m:sSup>
          <m:e>
            <m:r>
              <m:t>s</m:t>
            </m:r>
          </m:e>
          <m:sup>
            <m:r>
              <m:rPr>
                <m:sty m:val="p"/>
              </m:rPr>
              <m:t>′</m:t>
            </m:r>
          </m:sup>
        </m:sSup>
        <m:r>
          <m:rPr>
            <m:sty m:val="p"/>
          </m:rPr>
          <m:t>)</m:t>
        </m:r>
        <m:r>
          <m:rPr>
            <m:sty m:val="p"/>
          </m:rPr>
          <m:t>−</m:t>
        </m:r>
        <m:r>
          <m:t>f</m:t>
        </m:r>
        <m:r>
          <m:rPr>
            <m:sty m:val="p"/>
          </m:rPr>
          <m:t>(</m:t>
        </m:r>
        <m:r>
          <m:t>s</m:t>
        </m:r>
        <m:r>
          <m:rPr>
            <m:sty m:val="p"/>
          </m:rPr>
          <m:t>)</m:t>
        </m:r>
      </m:oMath>
      <w:r>
        <w:t xml:space="preserve">.</w:t>
      </w:r>
    </w:p>
    <w:p>
      <w:pPr>
        <w:pStyle w:val="Compact"/>
        <w:numPr>
          <w:ilvl w:val="0"/>
          <w:numId w:val="1026"/>
        </w:numPr>
      </w:pPr>
      <w:r>
        <w:rPr>
          <w:b/>
          <w:bCs/>
        </w:rPr>
        <w:t xml:space="preserve">Reheating:</w:t>
      </w:r>
      <w:r>
        <w:t xml:space="preserve"> </w:t>
      </w:r>
      <w:r>
        <w:t xml:space="preserve">Cuando se estanca por</w:t>
      </w:r>
      <w:r>
        <w:t xml:space="preserve"> </w:t>
      </w:r>
      <m:oMath>
        <m:r>
          <m:t>r</m:t>
        </m:r>
      </m:oMath>
      <w:r>
        <w:t xml:space="preserve"> </w:t>
      </w:r>
      <w:r>
        <w:t xml:space="preserve">iteraciones sin mejora, la temperatura se multiplica por un factor</w:t>
      </w:r>
      <w:r>
        <w:t xml:space="preserve"> </w:t>
      </w:r>
      <m:oMath>
        <m:r>
          <m:rPr>
            <m:sty m:val="p"/>
          </m:rPr>
          <m:t>&gt;</m:t>
        </m:r>
        <m:r>
          <m:t>1</m:t>
        </m:r>
      </m:oMath>
      <w:r>
        <w:t xml:space="preserve"> </w:t>
      </w:r>
      <w:r>
        <w:t xml:space="preserve">para reactivar la exploración.</w:t>
      </w:r>
    </w:p>
    <w:p>
      <w:pPr>
        <w:pStyle w:val="SourceCode"/>
      </w:pPr>
      <w:r>
        <w:rPr>
          <w:rStyle w:val="VerbatimChar"/>
        </w:rPr>
        <w:t xml:space="preserve">%%{init: {'theme': 'neutral'}}%%</w:t>
      </w:r>
      <w:r>
        <w:br/>
      </w:r>
      <w:r>
        <w:rPr>
          <w:rStyle w:val="VerbatimChar"/>
        </w:rPr>
        <w:t xml:space="preserve">flowchart TD</w:t>
      </w:r>
      <w:r>
        <w:br/>
      </w:r>
      <w:r>
        <w:rPr>
          <w:rStyle w:val="VerbatimChar"/>
        </w:rPr>
        <w:t xml:space="preserve">    A["Solución inicial aleatoria\ny, q"] --&gt; B["Estimar T₀"]</w:t>
      </w:r>
      <w:r>
        <w:br/>
      </w:r>
      <w:r>
        <w:rPr>
          <w:rStyle w:val="VerbatimChar"/>
        </w:rPr>
        <w:t xml:space="preserve">    B --&gt; C{"T &gt; T_final?"}</w:t>
      </w:r>
      <w:r>
        <w:br/>
      </w:r>
      <w:r>
        <w:rPr>
          <w:rStyle w:val="VerbatimChar"/>
        </w:rPr>
        <w:t xml:space="preserve">    C --&gt;|Sí| D["Generar vecino\n(toggle/cantidad/ambos)"]</w:t>
      </w:r>
      <w:r>
        <w:br/>
      </w:r>
      <w:r>
        <w:rPr>
          <w:rStyle w:val="VerbatimChar"/>
        </w:rPr>
        <w:t xml:space="preserve">    D --&gt; E{"Metropolis:\nΔ &gt; 0 o rand &lt; e^(Δ/T)?"}</w:t>
      </w:r>
      <w:r>
        <w:br/>
      </w:r>
      <w:r>
        <w:rPr>
          <w:rStyle w:val="VerbatimChar"/>
        </w:rPr>
        <w:t xml:space="preserve">    E --&gt;|Aceptar| F["Actualizar solución actual"]</w:t>
      </w:r>
      <w:r>
        <w:br/>
      </w:r>
      <w:r>
        <w:rPr>
          <w:rStyle w:val="VerbatimChar"/>
        </w:rPr>
        <w:t xml:space="preserve">    E --&gt;|Rechazar| G["Mantener actual"]</w:t>
      </w:r>
      <w:r>
        <w:br/>
      </w:r>
      <w:r>
        <w:rPr>
          <w:rStyle w:val="VerbatimChar"/>
        </w:rPr>
        <w:t xml:space="preserve">    F --&gt; H{"¿Mejor global?"}</w:t>
      </w:r>
      <w:r>
        <w:br/>
      </w:r>
      <w:r>
        <w:rPr>
          <w:rStyle w:val="VerbatimChar"/>
        </w:rPr>
        <w:t xml:space="preserve">    G --&gt; H</w:t>
      </w:r>
      <w:r>
        <w:br/>
      </w:r>
      <w:r>
        <w:rPr>
          <w:rStyle w:val="VerbatimChar"/>
        </w:rPr>
        <w:t xml:space="preserve">    H --&gt;|Sí| I["Actualizar best"]</w:t>
      </w:r>
      <w:r>
        <w:br/>
      </w:r>
      <w:r>
        <w:rPr>
          <w:rStyle w:val="VerbatimChar"/>
        </w:rPr>
        <w:t xml:space="preserve">    H --&gt;|No| J{"Estancado ≥ r?"}</w:t>
      </w:r>
      <w:r>
        <w:br/>
      </w:r>
      <w:r>
        <w:rPr>
          <w:rStyle w:val="VerbatimChar"/>
        </w:rPr>
        <w:t xml:space="preserve">    J --&gt;|Sí| K["Reheat: T *= factor"]</w:t>
      </w:r>
      <w:r>
        <w:br/>
      </w:r>
      <w:r>
        <w:rPr>
          <w:rStyle w:val="VerbatimChar"/>
        </w:rPr>
        <w:t xml:space="preserve">    J --&gt;|No| C</w:t>
      </w:r>
      <w:r>
        <w:br/>
      </w:r>
      <w:r>
        <w:rPr>
          <w:rStyle w:val="VerbatimChar"/>
        </w:rPr>
        <w:t xml:space="preserve">    K --&gt; C</w:t>
      </w:r>
      <w:r>
        <w:br/>
      </w:r>
      <w:r>
        <w:rPr>
          <w:rStyle w:val="VerbatimChar"/>
        </w:rPr>
        <w:t xml:space="preserve">    C --&gt;|No| L["Retornar best"]</w:t>
      </w:r>
    </w:p>
    <w:p>
      <w:pPr>
        <w:pStyle w:val="FirstParagraph"/>
      </w:pPr>
      <w:r>
        <w:rPr>
          <w:b/>
          <w:bCs/>
          <w:i/>
          <w:iCs/>
        </w:rPr>
        <w:t xml:space="preserve">Figura 7.</w:t>
      </w:r>
      <w:r>
        <w:rPr>
          <w:i/>
          <w:iCs/>
        </w:rPr>
        <w:t xml:space="preserve"> </w:t>
      </w:r>
      <w:r>
        <w:rPr>
          <w:i/>
          <w:iCs/>
        </w:rPr>
        <w:t xml:space="preserve">Diagrama de flujo del Recocido Simulado (SA) con enfriamiento geométrico, vecindarios mixtos y reheating adaptativo.</w:t>
      </w:r>
    </w:p>
    <w:bookmarkEnd w:id="66"/>
    <w:bookmarkStart w:id="67" w:name="evolución-diferencial-de"/>
    <w:p>
      <w:pPr>
        <w:pStyle w:val="Heading3"/>
      </w:pPr>
      <w:r>
        <w:t xml:space="preserve">6.9. Evolución Diferencial (DE)</w:t>
      </w:r>
    </w:p>
    <w:p>
      <w:pPr>
        <w:pStyle w:val="FirstParagraph"/>
      </w:pPr>
      <w:r>
        <w:t xml:space="preserve">El DE opera sobre una población de vectores continuos en</w:t>
      </w:r>
      <w:r>
        <w:t xml:space="preserve"> </w:t>
      </w:r>
      <m:oMath>
        <m:r>
          <m:rPr>
            <m:sty m:val="p"/>
          </m:rPr>
          <m:t>[</m:t>
        </m:r>
        <m:r>
          <m:t>0</m:t>
        </m:r>
        <m:r>
          <m:rPr>
            <m:sty m:val="p"/>
          </m:rPr>
          <m:t>,</m:t>
        </m:r>
        <m:r>
          <m:t>1</m:t>
        </m:r>
        <m:sSup>
          <m:e>
            <m:r>
              <m:rPr>
                <m:sty m:val="p"/>
              </m:rPr>
              <m:t>]</m:t>
            </m:r>
          </m:e>
          <m:sup>
            <m:r>
              <m:t>2</m:t>
            </m:r>
            <m:sSub>
              <m:e>
                <m:r>
                  <m:t>n</m:t>
                </m:r>
              </m:e>
              <m:sub>
                <m:r>
                  <m:t>t</m:t>
                </m:r>
              </m:sub>
            </m:sSub>
          </m:sup>
        </m:sSup>
      </m:oMath>
      <w:r>
        <w:t xml:space="preserve"> </w:t>
      </w:r>
      <w:r>
        <w:t xml:space="preserve">que se discretizan para evaluar:</w:t>
      </w:r>
    </w:p>
    <w:p>
      <w:pPr>
        <w:pStyle w:val="Compact"/>
        <w:numPr>
          <w:ilvl w:val="0"/>
          <w:numId w:val="1027"/>
        </w:numPr>
      </w:pPr>
      <w:r>
        <w:rPr>
          <w:b/>
          <w:bCs/>
        </w:rPr>
        <w:t xml:space="preserve">Codificación continua:</w:t>
      </w:r>
      <w:r>
        <w:t xml:space="preserve"> </w:t>
      </w:r>
      <w:r>
        <w:t xml:space="preserve">Cada individuo es un vector</w:t>
      </w:r>
      <w:r>
        <w:t xml:space="preserve"> </w:t>
      </w:r>
      <m:oMath>
        <m:r>
          <m:rPr>
            <m:sty m:val="b"/>
          </m:rPr>
          <m:t>x</m:t>
        </m:r>
        <m:r>
          <m:rPr>
            <m:sty m:val="p"/>
          </m:rPr>
          <m:t>∈</m:t>
        </m:r>
        <m:r>
          <m:rPr>
            <m:sty m:val="p"/>
          </m:rPr>
          <m:t>[</m:t>
        </m:r>
        <m:r>
          <m:t>0</m:t>
        </m:r>
        <m:r>
          <m:rPr>
            <m:sty m:val="p"/>
          </m:rPr>
          <m:t>,</m:t>
        </m:r>
        <m:r>
          <m:t>1</m:t>
        </m:r>
        <m:sSup>
          <m:e>
            <m:r>
              <m:rPr>
                <m:sty m:val="p"/>
              </m:rPr>
              <m:t>]</m:t>
            </m:r>
          </m:e>
          <m:sup>
            <m:r>
              <m:t>2</m:t>
            </m:r>
            <m:sSub>
              <m:e>
                <m:r>
                  <m:t>n</m:t>
                </m:r>
              </m:e>
              <m:sub>
                <m:r>
                  <m:t>t</m:t>
                </m:r>
              </m:sub>
            </m:sSub>
          </m:sup>
        </m:sSup>
      </m:oMath>
      <w:r>
        <w:t xml:space="preserve"> </w:t>
      </w:r>
      <w:r>
        <w:t xml:space="preserve">donde las primeras</w:t>
      </w:r>
      <w:r>
        <w:t xml:space="preserve"> </w:t>
      </w:r>
      <m:oMath>
        <m:sSub>
          <m:e>
            <m:r>
              <m:t>n</m:t>
            </m:r>
          </m:e>
          <m:sub>
            <m:r>
              <m:t>t</m:t>
            </m:r>
          </m:sub>
        </m:sSub>
      </m:oMath>
      <w:r>
        <w:t xml:space="preserve"> </w:t>
      </w:r>
      <w:r>
        <w:t xml:space="preserve">componentes codifican</w:t>
      </w:r>
      <w:r>
        <w:t xml:space="preserve"> </w:t>
      </w:r>
      <m:oMath>
        <m:r>
          <m:rPr>
            <m:sty m:val="b"/>
          </m:rPr>
          <m:t>y</m:t>
        </m:r>
      </m:oMath>
      <w:r>
        <w:t xml:space="preserve"> </w:t>
      </w:r>
      <w:r>
        <w:t xml:space="preserve">(umbral 0.5) y las siguientes</w:t>
      </w:r>
      <w:r>
        <w:t xml:space="preserve"> </w:t>
      </w:r>
      <m:oMath>
        <m:sSub>
          <m:e>
            <m:r>
              <m:t>n</m:t>
            </m:r>
          </m:e>
          <m:sub>
            <m:r>
              <m:t>t</m:t>
            </m:r>
          </m:sub>
        </m:sSub>
      </m:oMath>
      <w:r>
        <w:t xml:space="preserve"> </w:t>
      </w:r>
      <w:r>
        <w:t xml:space="preserve">codifican</w:t>
      </w:r>
      <w:r>
        <w:t xml:space="preserve"> </w:t>
      </w:r>
      <m:oMath>
        <m:r>
          <m:rPr>
            <m:sty m:val="b"/>
          </m:rPr>
          <m:t>q</m:t>
        </m:r>
      </m:oMath>
      <w:r>
        <w:t xml:space="preserve"> </w:t>
      </w:r>
      <w:r>
        <w:t xml:space="preserve">(normalizado en</w:t>
      </w:r>
      <w:r>
        <w:t xml:space="preserve"> </w:t>
      </w:r>
      <m:oMath>
        <m:r>
          <m:rPr>
            <m:sty m:val="p"/>
          </m:rPr>
          <m:t>[</m:t>
        </m:r>
        <m:sSup>
          <m:e>
            <m:r>
              <m:t>Q</m:t>
            </m:r>
          </m:e>
          <m:sup>
            <m:r>
              <m:t>m</m:t>
            </m:r>
            <m:r>
              <m:t>i</m:t>
            </m:r>
            <m:r>
              <m:t>n</m:t>
            </m:r>
          </m:sup>
        </m:sSup>
        <m:r>
          <m:rPr>
            <m:sty m:val="p"/>
          </m:rPr>
          <m:t>,</m:t>
        </m:r>
        <m:sSup>
          <m:e>
            <m:r>
              <m:t>Q</m:t>
            </m:r>
          </m:e>
          <m:sup>
            <m:r>
              <m:t>m</m:t>
            </m:r>
            <m:r>
              <m:t>a</m:t>
            </m:r>
            <m:r>
              <m:t>x</m:t>
            </m:r>
          </m:sup>
        </m:sSup>
        <m:r>
          <m:rPr>
            <m:sty m:val="p"/>
          </m:rPr>
          <m:t>]</m:t>
        </m:r>
      </m:oMath>
      <w:r>
        <w:t xml:space="preserve">).</w:t>
      </w:r>
    </w:p>
    <w:p>
      <w:pPr>
        <w:pStyle w:val="Compact"/>
        <w:numPr>
          <w:ilvl w:val="0"/>
          <w:numId w:val="1027"/>
        </w:numPr>
      </w:pPr>
      <w:r>
        <w:rPr>
          <w:b/>
          <w:bCs/>
        </w:rPr>
        <w:t xml:space="preserve">Mutación DE:</w:t>
      </w:r>
      <w:r>
        <w:t xml:space="preserve"> </w:t>
      </w:r>
      <w:r>
        <w:t xml:space="preserve">Vector mutante</w:t>
      </w:r>
      <w:r>
        <w:t xml:space="preserve"> </w:t>
      </w:r>
      <m:oMath>
        <m:r>
          <m:rPr>
            <m:sty m:val="b"/>
          </m:rPr>
          <m:t>v</m:t>
        </m:r>
        <m:r>
          <m:rPr>
            <m:sty m:val="p"/>
          </m:rPr>
          <m:t>=</m:t>
        </m:r>
        <m:sSub>
          <m:e>
            <m:r>
              <m:rPr>
                <m:sty m:val="b"/>
              </m:rPr>
              <m:t>x</m:t>
            </m:r>
          </m:e>
          <m:sub>
            <m:r>
              <m:t>b</m:t>
            </m:r>
            <m:r>
              <m:t>e</m:t>
            </m:r>
            <m:r>
              <m:t>s</m:t>
            </m:r>
            <m:r>
              <m:t>t</m:t>
            </m:r>
          </m:sub>
        </m:sSub>
        <m:r>
          <m:rPr>
            <m:sty m:val="p"/>
          </m:rPr>
          <m:t>+</m:t>
        </m:r>
        <m:r>
          <m:t>F</m:t>
        </m:r>
        <m:r>
          <m:rPr>
            <m:sty m:val="p"/>
          </m:rPr>
          <m:t>⋅</m:t>
        </m:r>
        <m:r>
          <m:rPr>
            <m:sty m:val="p"/>
          </m:rPr>
          <m:t>(</m:t>
        </m:r>
        <m:sSub>
          <m:e>
            <m:r>
              <m:rPr>
                <m:sty m:val="b"/>
              </m:rPr>
              <m:t>x</m:t>
            </m:r>
          </m:e>
          <m:sub>
            <m:r>
              <m:t>r</m:t>
            </m:r>
            <m:r>
              <m:t>1</m:t>
            </m:r>
          </m:sub>
        </m:sSub>
        <m:r>
          <m:rPr>
            <m:sty m:val="p"/>
          </m:rPr>
          <m:t>−</m:t>
        </m:r>
        <m:sSub>
          <m:e>
            <m:r>
              <m:rPr>
                <m:sty m:val="b"/>
              </m:rPr>
              <m:t>x</m:t>
            </m:r>
          </m:e>
          <m:sub>
            <m:r>
              <m:t>r</m:t>
            </m:r>
            <m:r>
              <m:t>2</m:t>
            </m:r>
          </m:sub>
        </m:sSub>
        <m:r>
          <m:rPr>
            <m:sty m:val="p"/>
          </m:rPr>
          <m:t>)</m:t>
        </m:r>
      </m:oMath>
      <w:r>
        <w:t xml:space="preserve"> </w:t>
      </w:r>
      <w:r>
        <w:t xml:space="preserve">(estrategia best/1/bin).</w:t>
      </w:r>
    </w:p>
    <w:p>
      <w:pPr>
        <w:pStyle w:val="Compact"/>
        <w:numPr>
          <w:ilvl w:val="0"/>
          <w:numId w:val="1027"/>
        </w:numPr>
      </w:pPr>
      <w:r>
        <w:rPr>
          <w:b/>
          <w:bCs/>
        </w:rPr>
        <w:t xml:space="preserve">Cruce binomial:</w:t>
      </w:r>
      <w:r>
        <w:t xml:space="preserve"> </w:t>
      </w:r>
      <w:r>
        <w:t xml:space="preserve">Cada componente del vector trial se toma del mutante con probabilidad</w:t>
      </w:r>
      <w:r>
        <w:t xml:space="preserve"> </w:t>
      </w:r>
      <m:oMath>
        <m:r>
          <m:t>C</m:t>
        </m:r>
        <m:r>
          <m:t>R</m:t>
        </m:r>
      </m:oMath>
      <w:r>
        <w:t xml:space="preserve"> </w:t>
      </w:r>
      <w:r>
        <w:t xml:space="preserve">o del target con</w:t>
      </w:r>
      <w:r>
        <w:t xml:space="preserve"> </w:t>
      </w:r>
      <m:oMath>
        <m:r>
          <m:t>1</m:t>
        </m:r>
        <m:r>
          <m:rPr>
            <m:sty m:val="p"/>
          </m:rPr>
          <m:t>−</m:t>
        </m:r>
        <m:r>
          <m:t>C</m:t>
        </m:r>
        <m:r>
          <m:t>R</m:t>
        </m:r>
      </m:oMath>
      <w:r>
        <w:t xml:space="preserve">.</w:t>
      </w:r>
    </w:p>
    <w:p>
      <w:pPr>
        <w:pStyle w:val="Compact"/>
        <w:numPr>
          <w:ilvl w:val="0"/>
          <w:numId w:val="1027"/>
        </w:numPr>
      </w:pPr>
      <w:r>
        <w:rPr>
          <w:b/>
          <w:bCs/>
        </w:rPr>
        <w:t xml:space="preserve">Selección greedy:</w:t>
      </w:r>
      <w:r>
        <w:t xml:space="preserve"> </w:t>
      </w:r>
      <w:r>
        <w:t xml:space="preserve">El trial reemplaza al target solo si tiene mejor fitness.</w:t>
      </w:r>
    </w:p>
    <w:p>
      <w:pPr>
        <w:pStyle w:val="SourceCode"/>
      </w:pPr>
      <w:r>
        <w:rPr>
          <w:rStyle w:val="VerbatimChar"/>
        </w:rPr>
        <w:t xml:space="preserve">%%{init: {'theme': 'neutral'}}%%</w:t>
      </w:r>
      <w:r>
        <w:br/>
      </w:r>
      <w:r>
        <w:rPr>
          <w:rStyle w:val="VerbatimChar"/>
        </w:rPr>
        <w:t xml:space="preserve">flowchart TD</w:t>
      </w:r>
      <w:r>
        <w:br/>
      </w:r>
      <w:r>
        <w:rPr>
          <w:rStyle w:val="VerbatimChar"/>
        </w:rPr>
        <w:t xml:space="preserve">    A["Inicializar población\ncontinua [0,1]^2n_t"] --&gt; B["Discretizar y evaluar"]</w:t>
      </w:r>
      <w:r>
        <w:br/>
      </w:r>
      <w:r>
        <w:rPr>
          <w:rStyle w:val="VerbatimChar"/>
        </w:rPr>
        <w:t xml:space="preserve">    B --&gt; C{"gen ≤ G_max?"}</w:t>
      </w:r>
      <w:r>
        <w:br/>
      </w:r>
      <w:r>
        <w:rPr>
          <w:rStyle w:val="VerbatimChar"/>
        </w:rPr>
        <w:t xml:space="preserve">    C --&gt;|Sí| D["Para cada individuo i:"]</w:t>
      </w:r>
      <w:r>
        <w:br/>
      </w:r>
      <w:r>
        <w:rPr>
          <w:rStyle w:val="VerbatimChar"/>
        </w:rPr>
        <w:t xml:space="preserve">    D --&gt; E["Mutación DE/best/1/bin\nv = x_best + F*(x_r1 - x_r2)"]</w:t>
      </w:r>
      <w:r>
        <w:br/>
      </w:r>
      <w:r>
        <w:rPr>
          <w:rStyle w:val="VerbatimChar"/>
        </w:rPr>
        <w:t xml:space="preserve">    E --&gt; F["Cruce binomial\n(prob = CR)"]</w:t>
      </w:r>
      <w:r>
        <w:br/>
      </w:r>
      <w:r>
        <w:rPr>
          <w:rStyle w:val="VerbatimChar"/>
        </w:rPr>
        <w:t xml:space="preserve">    F --&gt; G["Discretizar trial\n→ (y, q)"]</w:t>
      </w:r>
      <w:r>
        <w:br/>
      </w:r>
      <w:r>
        <w:rPr>
          <w:rStyle w:val="VerbatimChar"/>
        </w:rPr>
        <w:t xml:space="preserve">    G --&gt; H{"f(trial) &gt; f(target)?"}</w:t>
      </w:r>
      <w:r>
        <w:br/>
      </w:r>
      <w:r>
        <w:rPr>
          <w:rStyle w:val="VerbatimChar"/>
        </w:rPr>
        <w:t xml:space="preserve">    H --&gt;|Sí| I["Reemplazar target"]</w:t>
      </w:r>
      <w:r>
        <w:br/>
      </w:r>
      <w:r>
        <w:rPr>
          <w:rStyle w:val="VerbatimChar"/>
        </w:rPr>
        <w:t xml:space="preserve">    H --&gt;|No| J["Mantener target"]</w:t>
      </w:r>
      <w:r>
        <w:br/>
      </w:r>
      <w:r>
        <w:rPr>
          <w:rStyle w:val="VerbatimChar"/>
        </w:rPr>
        <w:t xml:space="preserve">    I --&gt; C</w:t>
      </w:r>
      <w:r>
        <w:br/>
      </w:r>
      <w:r>
        <w:rPr>
          <w:rStyle w:val="VerbatimChar"/>
        </w:rPr>
        <w:t xml:space="preserve">    J --&gt; C</w:t>
      </w:r>
      <w:r>
        <w:br/>
      </w:r>
      <w:r>
        <w:rPr>
          <w:rStyle w:val="VerbatimChar"/>
        </w:rPr>
        <w:t xml:space="preserve">    C --&gt;|No| K["Retornar mejor"]</w:t>
      </w:r>
    </w:p>
    <w:p>
      <w:pPr>
        <w:pStyle w:val="FirstParagraph"/>
      </w:pPr>
      <w:r>
        <w:rPr>
          <w:b/>
          <w:bCs/>
          <w:i/>
          <w:iCs/>
        </w:rPr>
        <w:t xml:space="preserve">Figura 8.</w:t>
      </w:r>
      <w:r>
        <w:rPr>
          <w:i/>
          <w:iCs/>
        </w:rPr>
        <w:t xml:space="preserve"> </w:t>
      </w:r>
      <w:r>
        <w:rPr>
          <w:i/>
          <w:iCs/>
        </w:rPr>
        <w:t xml:space="preserve">Diagrama de flujo de la Evolución Diferencial (DE) con estrategia DE/best/1/bin y codificación continua discretizada.</w:t>
      </w:r>
    </w:p>
    <w:bookmarkEnd w:id="67"/>
    <w:bookmarkStart w:id="68" w:name="algoritmo-híbrido-ga-sa"/>
    <w:p>
      <w:pPr>
        <w:pStyle w:val="Heading3"/>
      </w:pPr>
      <w:r>
        <w:t xml:space="preserve">6.10. Algoritmo Híbrido GA-SA</w:t>
      </w:r>
    </w:p>
    <w:p>
      <w:pPr>
        <w:pStyle w:val="FirstParagraph"/>
      </w:pPr>
      <w:r>
        <w:t xml:space="preserve">El GA-SA es un</w:t>
      </w:r>
      <w:r>
        <w:t xml:space="preserve"> </w:t>
      </w:r>
      <w:r>
        <w:rPr>
          <w:b/>
          <w:bCs/>
        </w:rPr>
        <w:t xml:space="preserve">algoritmo memético</w:t>
      </w:r>
      <w:r>
        <w:t xml:space="preserve"> </w:t>
      </w:r>
      <w:r>
        <w:t xml:space="preserve">que combina la exploración global del GA con la explotación local del SA</w:t>
      </w:r>
      <w:r>
        <w:t xml:space="preserve"> </w:t>
      </w:r>
      <w:r>
        <w:t xml:space="preserve">[15]</w:t>
      </w:r>
      <w:r>
        <w:t xml:space="preserve">:</w:t>
      </w:r>
    </w:p>
    <w:p>
      <w:pPr>
        <w:pStyle w:val="Compact"/>
        <w:numPr>
          <w:ilvl w:val="0"/>
          <w:numId w:val="1028"/>
        </w:numPr>
      </w:pPr>
      <w:r>
        <w:rPr>
          <w:b/>
          <w:bCs/>
        </w:rPr>
        <w:t xml:space="preserve">Fase GA (global):</w:t>
      </w:r>
      <w:r>
        <w:t xml:space="preserve"> </w:t>
      </w:r>
      <w:r>
        <w:t xml:space="preserve">Idéntica al GA estándar (selección, cruce, mutación, elitismo).</w:t>
      </w:r>
    </w:p>
    <w:p>
      <w:pPr>
        <w:pStyle w:val="Compact"/>
        <w:numPr>
          <w:ilvl w:val="0"/>
          <w:numId w:val="1028"/>
        </w:numPr>
      </w:pPr>
      <w:r>
        <w:rPr>
          <w:b/>
          <w:bCs/>
        </w:rPr>
        <w:t xml:space="preserve">Fase SA (local):</w:t>
      </w:r>
      <w:r>
        <w:t xml:space="preserve"> </w:t>
      </w:r>
      <w:r>
        <w:t xml:space="preserve">Cada</w:t>
      </w:r>
      <w:r>
        <w:t xml:space="preserve"> </w:t>
      </w:r>
      <m:oMath>
        <m:sSub>
          <m:e>
            <m:r>
              <m:t>f</m:t>
            </m:r>
          </m:e>
          <m:sub>
            <m:r>
              <m:t>L</m:t>
            </m:r>
            <m:r>
              <m:t>S</m:t>
            </m:r>
          </m:sub>
        </m:sSub>
      </m:oMath>
      <w:r>
        <w:t xml:space="preserve"> </w:t>
      </w:r>
      <w:r>
        <w:t xml:space="preserve">generaciones, se aplica un SA corto (pocas iteraciones, temperatura baja) a los</w:t>
      </w:r>
      <w:r>
        <w:t xml:space="preserve"> </w:t>
      </w:r>
      <m:oMath>
        <m:r>
          <m:t>k</m:t>
        </m:r>
      </m:oMath>
      <w:r>
        <w:t xml:space="preserve"> </w:t>
      </w:r>
      <w:r>
        <w:t xml:space="preserve">mejores individuos de la población, mejorando localmente las mejores soluciones encontradas.</w:t>
      </w:r>
    </w:p>
    <w:p>
      <w:pPr>
        <w:pStyle w:val="SourceCode"/>
      </w:pPr>
      <w:r>
        <w:rPr>
          <w:rStyle w:val="VerbatimChar"/>
        </w:rPr>
        <w:t xml:space="preserve">%%{init: {'theme': 'neutral'}}%%</w:t>
      </w:r>
      <w:r>
        <w:br/>
      </w:r>
      <w:r>
        <w:rPr>
          <w:rStyle w:val="VerbatimChar"/>
        </w:rPr>
        <w:t xml:space="preserve">flowchart TD</w:t>
      </w:r>
      <w:r>
        <w:br/>
      </w:r>
      <w:r>
        <w:rPr>
          <w:rStyle w:val="VerbatimChar"/>
        </w:rPr>
        <w:t xml:space="preserve">    A["Inicializar población P₀"] --&gt; B["Evaluar fitness"]</w:t>
      </w:r>
      <w:r>
        <w:br/>
      </w:r>
      <w:r>
        <w:rPr>
          <w:rStyle w:val="VerbatimChar"/>
        </w:rPr>
        <w:t xml:space="preserve">    B --&gt; C{"gen ≤ G_max?"}</w:t>
      </w:r>
      <w:r>
        <w:br/>
      </w:r>
      <w:r>
        <w:rPr>
          <w:rStyle w:val="VerbatimChar"/>
        </w:rPr>
        <w:t xml:space="preserve">    C --&gt;|Sí| D["--- Fase GA ---\nElitismo + Selección\n+ Cruce + Mutación"]</w:t>
      </w:r>
      <w:r>
        <w:br/>
      </w:r>
      <w:r>
        <w:rPr>
          <w:rStyle w:val="VerbatimChar"/>
        </w:rPr>
        <w:t xml:space="preserve">    D --&gt; E{"gen mod f_LS = 0?"}</w:t>
      </w:r>
      <w:r>
        <w:br/>
      </w:r>
      <w:r>
        <w:rPr>
          <w:rStyle w:val="VerbatimChar"/>
        </w:rPr>
        <w:t xml:space="preserve">    E --&gt;|Sí| F["--- Fase SA ---\nSA local sobre top-k\n(T_local, iters_local)"]</w:t>
      </w:r>
      <w:r>
        <w:br/>
      </w:r>
      <w:r>
        <w:rPr>
          <w:rStyle w:val="VerbatimChar"/>
        </w:rPr>
        <w:t xml:space="preserve">    E --&gt;|No| G["Evaluar población"]</w:t>
      </w:r>
      <w:r>
        <w:br/>
      </w:r>
      <w:r>
        <w:rPr>
          <w:rStyle w:val="VerbatimChar"/>
        </w:rPr>
        <w:t xml:space="preserve">    F --&gt; G</w:t>
      </w:r>
      <w:r>
        <w:br/>
      </w:r>
      <w:r>
        <w:rPr>
          <w:rStyle w:val="VerbatimChar"/>
        </w:rPr>
        <w:t xml:space="preserve">    G --&gt; C</w:t>
      </w:r>
      <w:r>
        <w:br/>
      </w:r>
      <w:r>
        <w:rPr>
          <w:rStyle w:val="VerbatimChar"/>
        </w:rPr>
        <w:t xml:space="preserve">    C --&gt;|No| H["Retornar mejor solución"]</w:t>
      </w:r>
    </w:p>
    <w:p>
      <w:pPr>
        <w:pStyle w:val="FirstParagraph"/>
      </w:pPr>
      <w:r>
        <w:rPr>
          <w:b/>
          <w:bCs/>
          <w:i/>
          <w:iCs/>
        </w:rPr>
        <w:t xml:space="preserve">Figura 9.</w:t>
      </w:r>
      <w:r>
        <w:rPr>
          <w:i/>
          <w:iCs/>
        </w:rPr>
        <w:t xml:space="preserve"> </w:t>
      </w:r>
      <w:r>
        <w:rPr>
          <w:i/>
          <w:iCs/>
        </w:rPr>
        <w:t xml:space="preserve">Diagrama de flujo del algoritmo híbrido GA-SA. La búsqueda local SA se activa periódicamente sobre los mejores individuos de la población.</w:t>
      </w:r>
    </w:p>
    <w:bookmarkEnd w:id="68"/>
    <w:bookmarkStart w:id="72" w:name="calibración-de-hiperparámetros-optunatpe"/>
    <w:p>
      <w:pPr>
        <w:pStyle w:val="Heading3"/>
      </w:pPr>
      <w:r>
        <w:t xml:space="preserve">6.11. Calibración de Hiperparámetros (Optuna/TPE)</w:t>
      </w:r>
    </w:p>
    <w:p>
      <w:pPr>
        <w:pStyle w:val="FirstParagraph"/>
      </w:pPr>
      <w:r>
        <w:t xml:space="preserve">Los hiperparámetros de cada metaheurística se calibraron mediante</w:t>
      </w:r>
      <w:r>
        <w:t xml:space="preserve"> </w:t>
      </w:r>
      <w:r>
        <w:rPr>
          <w:b/>
          <w:bCs/>
        </w:rPr>
        <w:t xml:space="preserve">Optuna</w:t>
      </w:r>
      <w:r>
        <w:t xml:space="preserve"> </w:t>
      </w:r>
      <w:r>
        <w:t xml:space="preserve">con el sampler</w:t>
      </w:r>
      <w:r>
        <w:t xml:space="preserve"> </w:t>
      </w:r>
      <w:r>
        <w:rPr>
          <w:b/>
          <w:bCs/>
        </w:rPr>
        <w:t xml:space="preserve">Tree-structured Parzen Estimator (TPE)</w:t>
      </w:r>
      <w:r>
        <w:t xml:space="preserve">, evaluando sobre</w:t>
      </w:r>
      <w:r>
        <w:t xml:space="preserve"> </w:t>
      </w:r>
      <w:r>
        <w:rPr>
          <w:b/>
          <w:bCs/>
        </w:rPr>
        <w:t xml:space="preserve">5 instancias de calibración</w:t>
      </w:r>
      <w:r>
        <w:t xml:space="preserve"> </w:t>
      </w:r>
      <w:r>
        <w:t xml:space="preserve">(</w:t>
      </w:r>
      <w:r>
        <w:rPr>
          <w:rStyle w:val="VerbatimChar"/>
        </w:rPr>
        <w:t xml:space="preserve">small_seed100</w:t>
      </w:r>
      <w:r>
        <w:t xml:space="preserve">,</w:t>
      </w:r>
      <w:r>
        <w:t xml:space="preserve"> </w:t>
      </w:r>
      <w:r>
        <w:rPr>
          <w:rStyle w:val="VerbatimChar"/>
        </w:rPr>
        <w:t xml:space="preserve">small_seed101</w:t>
      </w:r>
      <w:r>
        <w:t xml:space="preserve">,</w:t>
      </w:r>
      <w:r>
        <w:t xml:space="preserve"> </w:t>
      </w:r>
      <w:r>
        <w:rPr>
          <w:rStyle w:val="VerbatimChar"/>
        </w:rPr>
        <w:t xml:space="preserve">small_seed102</w:t>
      </w:r>
      <w:r>
        <w:t xml:space="preserve">,</w:t>
      </w:r>
      <w:r>
        <w:t xml:space="preserve"> </w:t>
      </w:r>
      <w:r>
        <w:rPr>
          <w:rStyle w:val="VerbatimChar"/>
        </w:rPr>
        <w:t xml:space="preserve">medium_seed200</w:t>
      </w:r>
      <w:r>
        <w:t xml:space="preserve">,</w:t>
      </w:r>
      <w:r>
        <w:t xml:space="preserve"> </w:t>
      </w:r>
      <w:r>
        <w:rPr>
          <w:rStyle w:val="VerbatimChar"/>
        </w:rPr>
        <w:t xml:space="preserve">medium_seed201</w:t>
      </w:r>
      <w:r>
        <w:t xml:space="preserve">). Se ejecutaron</w:t>
      </w:r>
      <w:r>
        <w:t xml:space="preserve"> </w:t>
      </w:r>
      <w:r>
        <w:rPr>
          <w:b/>
          <w:bCs/>
        </w:rPr>
        <w:t xml:space="preserve">30 trials por algoritmo</w:t>
      </w:r>
      <w:r>
        <w:t xml:space="preserve"> </w:t>
      </w:r>
      <w:r>
        <w:t xml:space="preserve">(timeout de 900 s por trial), con objetivo de maximizar</w:t>
      </w:r>
      <w:r>
        <w:t xml:space="preserve"> </w:t>
      </w:r>
      <m:oMath>
        <m:r>
          <m:t>Z</m:t>
        </m:r>
      </m:oMath>
      <w:r>
        <w:t xml:space="preserve"> </w:t>
      </w:r>
      <w:r>
        <w:t xml:space="preserve">promedio.</w:t>
      </w:r>
    </w:p>
    <w:p>
      <w:pPr>
        <w:pStyle w:val="BodyText"/>
      </w:pPr>
      <w:r>
        <w:rPr>
          <w:b/>
          <w:bCs/>
          <w:i/>
          <w:iCs/>
        </w:rPr>
        <w:t xml:space="preserve">Tabla 5e.</w:t>
      </w:r>
      <w:r>
        <w:rPr>
          <w:i/>
          <w:iCs/>
        </w:rPr>
        <w:t xml:space="preserve"> </w:t>
      </w:r>
      <w:r>
        <w:rPr>
          <w:i/>
          <w:iCs/>
        </w:rPr>
        <w:t xml:space="preserve">Hiperparámetros calibrados por algoritmo (resultado de Optuna/TPE)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Parámetro</w:t>
            </w:r>
          </w:p>
        </w:tc>
        <w:tc>
          <w:tcPr/>
          <w:p>
            <w:pPr>
              <w:pStyle w:val="Compact"/>
              <w:jc w:val="center"/>
            </w:pPr>
            <w:r>
              <w:t xml:space="preserve">GA</w:t>
            </w:r>
          </w:p>
        </w:tc>
        <w:tc>
          <w:tcPr/>
          <w:p>
            <w:pPr>
              <w:pStyle w:val="Compact"/>
              <w:jc w:val="center"/>
            </w:pPr>
            <w:r>
              <w:t xml:space="preserve">SA</w:t>
            </w:r>
          </w:p>
        </w:tc>
        <w:tc>
          <w:tcPr/>
          <w:p>
            <w:pPr>
              <w:pStyle w:val="Compact"/>
              <w:jc w:val="center"/>
            </w:pPr>
            <w:r>
              <w:t xml:space="preserve">DE</w:t>
            </w:r>
          </w:p>
        </w:tc>
        <w:tc>
          <w:tcPr/>
          <w:p>
            <w:pPr>
              <w:pStyle w:val="Compact"/>
              <w:jc w:val="center"/>
            </w:pPr>
            <w:r>
              <w:t xml:space="preserve">GA-SA</w:t>
            </w:r>
          </w:p>
        </w:tc>
      </w:tr>
      <w:tr>
        <w:tc>
          <w:tcPr/>
          <w:p>
            <w:pPr>
              <w:pStyle w:val="Compact"/>
            </w:pPr>
            <w:r>
              <w:rPr>
                <w:rStyle w:val="VerbatimChar"/>
              </w:rPr>
              <w:t xml:space="preserve">pop_size</w:t>
            </w:r>
          </w:p>
        </w:tc>
        <w:tc>
          <w:tcPr/>
          <w:p>
            <w:pPr>
              <w:pStyle w:val="Compact"/>
              <w:jc w:val="center"/>
            </w:pPr>
            <w:r>
              <w:t xml:space="preserve">80</w:t>
            </w:r>
          </w:p>
        </w:tc>
        <w:tc>
          <w:tcPr/>
          <w:p>
            <w:pPr>
              <w:pStyle w:val="Compact"/>
              <w:jc w:val="center"/>
            </w:pPr>
            <w:r>
              <w:t xml:space="preserve">—</w:t>
            </w:r>
          </w:p>
        </w:tc>
        <w:tc>
          <w:tcPr/>
          <w:p>
            <w:pPr>
              <w:pStyle w:val="Compact"/>
              <w:jc w:val="center"/>
            </w:pPr>
            <w:r>
              <w:t xml:space="preserve">51</w:t>
            </w:r>
          </w:p>
        </w:tc>
        <w:tc>
          <w:tcPr/>
          <w:p>
            <w:pPr>
              <w:pStyle w:val="Compact"/>
              <w:jc w:val="center"/>
            </w:pPr>
            <w:r>
              <w:t xml:space="preserve">39</w:t>
            </w:r>
          </w:p>
        </w:tc>
      </w:tr>
      <w:tr>
        <w:tc>
          <w:tcPr/>
          <w:p>
            <w:pPr>
              <w:pStyle w:val="Compact"/>
            </w:pPr>
            <w:r>
              <w:rPr>
                <w:rStyle w:val="VerbatimChar"/>
              </w:rPr>
              <w:t xml:space="preserve">n_generations</w:t>
            </w:r>
            <w:r>
              <w:t xml:space="preserve"> </w:t>
            </w:r>
            <w:r>
              <w:t xml:space="preserve">/</w:t>
            </w:r>
            <w:r>
              <w:t xml:space="preserve"> </w:t>
            </w:r>
            <w:r>
              <w:rPr>
                <w:rStyle w:val="VerbatimChar"/>
              </w:rPr>
              <w:t xml:space="preserve">max</w:t>
            </w:r>
          </w:p>
        </w:tc>
        <w:tc>
          <w:tcPr/>
          <w:p>
            <w:pPr>
              <w:pStyle w:val="Compact"/>
              <w:jc w:val="center"/>
            </w:pPr>
            <w:r>
              <w:t xml:space="preserve">200</w:t>
            </w:r>
          </w:p>
        </w:tc>
        <w:tc>
          <w:tcPr/>
          <w:p>
            <w:pPr>
              <w:pStyle w:val="Compact"/>
              <w:jc w:val="center"/>
            </w:pPr>
            <w:r>
              <w:t xml:space="preserve">—</w:t>
            </w:r>
          </w:p>
        </w:tc>
        <w:tc>
          <w:tcPr/>
          <w:p>
            <w:pPr>
              <w:pStyle w:val="Compact"/>
              <w:jc w:val="center"/>
            </w:pPr>
            <w:r>
              <w:t xml:space="preserve">200</w:t>
            </w:r>
          </w:p>
        </w:tc>
        <w:tc>
          <w:tcPr/>
          <w:p>
            <w:pPr>
              <w:pStyle w:val="Compact"/>
              <w:jc w:val="center"/>
            </w:pPr>
            <w:r>
              <w:t xml:space="preserve">200</w:t>
            </w:r>
          </w:p>
        </w:tc>
      </w:tr>
      <w:tr>
        <w:tc>
          <w:tcPr/>
          <w:p>
            <w:pPr>
              <w:pStyle w:val="Compact"/>
            </w:pPr>
            <w:r>
              <w:rPr>
                <w:rStyle w:val="VerbatimChar"/>
              </w:rPr>
              <w:t xml:space="preserve">crossover_rate</w:t>
            </w:r>
          </w:p>
        </w:tc>
        <w:tc>
          <w:tcPr/>
          <w:p>
            <w:pPr>
              <w:pStyle w:val="Compact"/>
              <w:jc w:val="center"/>
            </w:pPr>
            <w:r>
              <w:t xml:space="preserve">0.744</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0.859</w:t>
            </w:r>
          </w:p>
        </w:tc>
      </w:tr>
      <w:tr>
        <w:tc>
          <w:tcPr/>
          <w:p>
            <w:pPr>
              <w:pStyle w:val="Compact"/>
            </w:pPr>
            <w:r>
              <w:rPr>
                <w:rStyle w:val="VerbatimChar"/>
              </w:rPr>
              <w:t xml:space="preserve">mutation_rate</w:t>
            </w:r>
          </w:p>
        </w:tc>
        <w:tc>
          <w:tcPr/>
          <w:p>
            <w:pPr>
              <w:pStyle w:val="Compact"/>
              <w:jc w:val="center"/>
            </w:pPr>
            <w:r>
              <w:t xml:space="preserve">0.089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0.051</w:t>
            </w:r>
          </w:p>
        </w:tc>
      </w:tr>
      <w:tr>
        <w:tc>
          <w:tcPr/>
          <w:p>
            <w:pPr>
              <w:pStyle w:val="Compact"/>
            </w:pPr>
            <w:r>
              <w:rPr>
                <w:rStyle w:val="VerbatimChar"/>
              </w:rPr>
              <w:t xml:space="preserve">elitism_count</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w:t>
            </w:r>
          </w:p>
        </w:tc>
      </w:tr>
      <w:tr>
        <w:tc>
          <w:tcPr/>
          <w:p>
            <w:pPr>
              <w:pStyle w:val="Compact"/>
            </w:pPr>
            <w:r>
              <w:rPr>
                <w:rStyle w:val="VerbatimChar"/>
              </w:rPr>
              <w:t xml:space="preserve">selection_size</w:t>
            </w:r>
          </w:p>
        </w:tc>
        <w:tc>
          <w:tcPr/>
          <w:p>
            <w:pPr>
              <w:pStyle w:val="Compact"/>
              <w:jc w:val="center"/>
            </w:pPr>
            <w:r>
              <w:t xml:space="preserve">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w:t>
            </w:r>
          </w:p>
        </w:tc>
      </w:tr>
      <w:tr>
        <w:tc>
          <w:tcPr/>
          <w:p>
            <w:pPr>
              <w:pStyle w:val="Compact"/>
            </w:pPr>
            <w:r>
              <w:rPr>
                <w:rStyle w:val="VerbatimChar"/>
              </w:rPr>
              <w:t xml:space="preserve">T_initial</w:t>
            </w:r>
          </w:p>
        </w:tc>
        <w:tc>
          <w:tcPr/>
          <w:p>
            <w:pPr>
              <w:pStyle w:val="Compact"/>
              <w:jc w:val="center"/>
            </w:pPr>
            <w:r>
              <w:t xml:space="preserve">—</w:t>
            </w:r>
          </w:p>
        </w:tc>
        <w:tc>
          <w:tcPr/>
          <w:p>
            <w:pPr>
              <w:pStyle w:val="Compact"/>
              <w:jc w:val="center"/>
            </w:pPr>
            <w:r>
              <w:t xml:space="preserve">203,952</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T_final</w:t>
            </w:r>
          </w:p>
        </w:tc>
        <w:tc>
          <w:tcPr/>
          <w:p>
            <w:pPr>
              <w:pStyle w:val="Compact"/>
              <w:jc w:val="center"/>
            </w:pPr>
            <w:r>
              <w:t xml:space="preserve">—</w:t>
            </w:r>
          </w:p>
        </w:tc>
        <w:tc>
          <w:tcPr/>
          <w:p>
            <w:pPr>
              <w:pStyle w:val="Compact"/>
              <w:jc w:val="center"/>
            </w:pPr>
            <w:r>
              <w:t xml:space="preserve">586</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cooling_rate</w:t>
            </w:r>
          </w:p>
        </w:tc>
        <w:tc>
          <w:tcPr/>
          <w:p>
            <w:pPr>
              <w:pStyle w:val="Compact"/>
              <w:jc w:val="center"/>
            </w:pPr>
            <w:r>
              <w:t xml:space="preserve">—</w:t>
            </w:r>
          </w:p>
        </w:tc>
        <w:tc>
          <w:tcPr/>
          <w:p>
            <w:pPr>
              <w:pStyle w:val="Compact"/>
              <w:jc w:val="center"/>
            </w:pPr>
            <w:r>
              <w:t xml:space="preserve">0.782</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delta</w:t>
            </w:r>
          </w:p>
        </w:tc>
        <w:tc>
          <w:tcPr/>
          <w:p>
            <w:pPr>
              <w:pStyle w:val="Compact"/>
              <w:jc w:val="center"/>
            </w:pPr>
            <w:r>
              <w:t xml:space="preserve">—</w:t>
            </w:r>
          </w:p>
        </w:tc>
        <w:tc>
          <w:tcPr/>
          <w:p>
            <w:pPr>
              <w:pStyle w:val="Compact"/>
              <w:jc w:val="center"/>
            </w:pPr>
            <w:r>
              <w:t xml:space="preserve">0.066</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max_iterations</w:t>
            </w:r>
          </w:p>
        </w:tc>
        <w:tc>
          <w:tcPr/>
          <w:p>
            <w:pPr>
              <w:pStyle w:val="Compact"/>
              <w:jc w:val="center"/>
            </w:pPr>
            <w:r>
              <w:t xml:space="preserve">—</w:t>
            </w:r>
          </w:p>
        </w:tc>
        <w:tc>
          <w:tcPr/>
          <w:p>
            <w:pPr>
              <w:pStyle w:val="Compact"/>
              <w:jc w:val="center"/>
            </w:pPr>
            <w:r>
              <w:t xml:space="preserve">27</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p_toggle</w:t>
            </w:r>
          </w:p>
        </w:tc>
        <w:tc>
          <w:tcPr/>
          <w:p>
            <w:pPr>
              <w:pStyle w:val="Compact"/>
              <w:jc w:val="center"/>
            </w:pPr>
            <w:r>
              <w:t xml:space="preserve">—</w:t>
            </w:r>
          </w:p>
        </w:tc>
        <w:tc>
          <w:tcPr/>
          <w:p>
            <w:pPr>
              <w:pStyle w:val="Compact"/>
              <w:jc w:val="center"/>
            </w:pPr>
            <w:r>
              <w:t xml:space="preserve">0.494</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p_quantity</w:t>
            </w:r>
          </w:p>
        </w:tc>
        <w:tc>
          <w:tcPr/>
          <w:p>
            <w:pPr>
              <w:pStyle w:val="Compact"/>
              <w:jc w:val="center"/>
            </w:pPr>
            <w:r>
              <w:t xml:space="preserve">—</w:t>
            </w:r>
          </w:p>
        </w:tc>
        <w:tc>
          <w:tcPr/>
          <w:p>
            <w:pPr>
              <w:pStyle w:val="Compact"/>
              <w:jc w:val="center"/>
            </w:pPr>
            <w:r>
              <w:t xml:space="preserve">0.283</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reheat_factor</w:t>
            </w:r>
          </w:p>
        </w:tc>
        <w:tc>
          <w:tcPr/>
          <w:p>
            <w:pPr>
              <w:pStyle w:val="Compact"/>
              <w:jc w:val="center"/>
            </w:pPr>
            <w:r>
              <w:t xml:space="preserve">—</w:t>
            </w:r>
          </w:p>
        </w:tc>
        <w:tc>
          <w:tcPr/>
          <w:p>
            <w:pPr>
              <w:pStyle w:val="Compact"/>
              <w:jc w:val="center"/>
            </w:pPr>
            <w:r>
              <w:t xml:space="preserve">1.287</w:t>
            </w:r>
          </w:p>
        </w:tc>
        <w:tc>
          <w:tcPr/>
          <w:p>
            <w:pPr>
              <w:pStyle w:val="Compact"/>
              <w:jc w:val="center"/>
            </w:pPr>
            <w:r>
              <w:t xml:space="preserve">—</w:t>
            </w:r>
          </w:p>
        </w:tc>
        <w:tc>
          <w:tcPr/>
          <w:p>
            <w:pPr>
              <w:pStyle w:val="Compact"/>
              <w:jc w:val="center"/>
            </w:pPr>
            <w:r>
              <w:t xml:space="preserve">—</w:t>
            </w:r>
          </w:p>
        </w:tc>
      </w:tr>
      <w:tr>
        <w:tc>
          <w:tcPr/>
          <w:p>
            <w:pPr>
              <w:pStyle w:val="Compact"/>
            </w:pPr>
            <w:r>
              <w:rPr>
                <w:rStyle w:val="VerbatimChar"/>
              </w:rPr>
              <w:t xml:space="preserve">F</w:t>
            </w:r>
            <w:r>
              <w:t xml:space="preserve"> </w:t>
            </w:r>
            <w:r>
              <w:t xml:space="preserve">(escala)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0.317</w:t>
            </w:r>
          </w:p>
        </w:tc>
        <w:tc>
          <w:tcPr/>
          <w:p>
            <w:pPr>
              <w:pStyle w:val="Compact"/>
              <w:jc w:val="center"/>
            </w:pPr>
            <w:r>
              <w:t xml:space="preserve">—</w:t>
            </w:r>
          </w:p>
        </w:tc>
      </w:tr>
      <w:tr>
        <w:tc>
          <w:tcPr/>
          <w:p>
            <w:pPr>
              <w:pStyle w:val="Compact"/>
            </w:pPr>
            <w:r>
              <w:rPr>
                <w:rStyle w:val="VerbatimChar"/>
              </w:rPr>
              <w:t xml:space="preserve">CR</w:t>
            </w:r>
            <w:r>
              <w:t xml:space="preserve"> </w:t>
            </w:r>
            <w:r>
              <w:t xml:space="preserve">(cruce)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0.511</w:t>
            </w:r>
          </w:p>
        </w:tc>
        <w:tc>
          <w:tcPr/>
          <w:p>
            <w:pPr>
              <w:pStyle w:val="Compact"/>
              <w:jc w:val="center"/>
            </w:pPr>
            <w:r>
              <w:t xml:space="preserve">—</w:t>
            </w:r>
          </w:p>
        </w:tc>
      </w:tr>
      <w:tr>
        <w:tc>
          <w:tcPr/>
          <w:p>
            <w:pPr>
              <w:pStyle w:val="Compact"/>
            </w:pPr>
            <w:r>
              <w:rPr>
                <w:rStyle w:val="VerbatimChar"/>
              </w:rPr>
              <w:t xml:space="preserve">strategy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best/1/bin</w:t>
            </w:r>
          </w:p>
        </w:tc>
        <w:tc>
          <w:tcPr/>
          <w:p>
            <w:pPr>
              <w:pStyle w:val="Compact"/>
              <w:jc w:val="center"/>
            </w:pPr>
            <w:r>
              <w:t xml:space="preserve">—</w:t>
            </w:r>
          </w:p>
        </w:tc>
      </w:tr>
      <w:tr>
        <w:tc>
          <w:tcPr/>
          <w:p>
            <w:pPr>
              <w:pStyle w:val="Compact"/>
            </w:pPr>
            <w:r>
              <w:rPr>
                <w:rStyle w:val="VerbatimChar"/>
              </w:rPr>
              <w:t xml:space="preserve">local_search_freq</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9</w:t>
            </w:r>
          </w:p>
        </w:tc>
      </w:tr>
      <w:tr>
        <w:tc>
          <w:tcPr/>
          <w:p>
            <w:pPr>
              <w:pStyle w:val="Compact"/>
            </w:pPr>
            <w:r>
              <w:rPr>
                <w:rStyle w:val="VerbatimChar"/>
              </w:rPr>
              <w:t xml:space="preserve">local_search_top_k</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10</w:t>
            </w:r>
          </w:p>
        </w:tc>
      </w:tr>
      <w:tr>
        <w:tc>
          <w:tcPr/>
          <w:p>
            <w:pPr>
              <w:pStyle w:val="Compact"/>
            </w:pPr>
            <w:r>
              <w:rPr>
                <w:rStyle w:val="VerbatimChar"/>
              </w:rPr>
              <w:t xml:space="preserve">local_search_iters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26</w:t>
            </w:r>
          </w:p>
        </w:tc>
      </w:tr>
      <w:tr>
        <w:tc>
          <w:tcPr/>
          <w:p>
            <w:pPr>
              <w:pStyle w:val="Compact"/>
            </w:pPr>
            <w:r>
              <w:rPr>
                <w:rStyle w:val="VerbatimChar"/>
              </w:rPr>
              <w:t xml:space="preserve">local_search_T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3,227</w:t>
            </w:r>
          </w:p>
        </w:tc>
      </w:tr>
      <w:tr>
        <w:tc>
          <w:tcPr/>
          <w:p>
            <w:pPr>
              <w:pStyle w:val="Compact"/>
            </w:pPr>
            <w:r>
              <w:rPr>
                <w:rStyle w:val="VerbatimChar"/>
              </w:rPr>
              <w:t xml:space="preserve">local_search_cooling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0.713</w:t>
            </w:r>
          </w:p>
        </w:tc>
      </w:tr>
      <w:tr>
        <w:tc>
          <w:tcPr/>
          <w:p>
            <w:pPr>
              <w:pStyle w:val="Compact"/>
            </w:pPr>
            <w:r>
              <w:rPr>
                <w:rStyle w:val="VerbatimChar"/>
              </w:rPr>
              <w:t xml:space="preserve">stagnation_limit</w:t>
            </w:r>
          </w:p>
        </w:tc>
        <w:tc>
          <w:tcPr/>
          <w:p>
            <w:pPr>
              <w:pStyle w:val="Compact"/>
              <w:jc w:val="center"/>
            </w:pPr>
            <w:r>
              <w:t xml:space="preserve">50</w:t>
            </w:r>
          </w:p>
        </w:tc>
        <w:tc>
          <w:tcPr/>
          <w:p>
            <w:pPr>
              <w:pStyle w:val="Compact"/>
              <w:jc w:val="center"/>
            </w:pPr>
            <w:r>
              <w:t xml:space="preserve">54</w:t>
            </w:r>
          </w:p>
        </w:tc>
        <w:tc>
          <w:tcPr/>
          <w:p>
            <w:pPr>
              <w:pStyle w:val="Compact"/>
              <w:jc w:val="center"/>
            </w:pPr>
            <w:r>
              <w:t xml:space="preserve">50</w:t>
            </w:r>
          </w:p>
        </w:tc>
        <w:tc>
          <w:tcPr/>
          <w:p>
            <w:pPr>
              <w:pStyle w:val="Compact"/>
              <w:jc w:val="center"/>
            </w:pPr>
            <w:r>
              <w:t xml:space="preserve">50</w:t>
            </w:r>
          </w:p>
        </w:tc>
      </w:tr>
    </w:tbl>
    <w:p>
      <w:pPr>
        <w:pStyle w:val="CaptionedFigure"/>
      </w:pPr>
      <w:r>
        <w:drawing>
          <wp:inline>
            <wp:extent cx="4267200" cy="2560320"/>
            <wp:effectExtent b="0" l="0" r="0" t="0"/>
            <wp:docPr descr="Evolución del score de Optuna durante calibración" title="" id="70" name="Picture"/>
            <a:graphic>
              <a:graphicData uri="http://schemas.openxmlformats.org/drawingml/2006/picture">
                <pic:pic>
                  <pic:nvPicPr>
                    <pic:cNvPr descr="figuras/tuning_evolution_comparison.png" id="71" name="Picture"/>
                    <pic:cNvPicPr>
                      <a:picLocks noChangeArrowheads="1" noChangeAspect="1"/>
                    </pic:cNvPicPr>
                  </pic:nvPicPr>
                  <pic:blipFill>
                    <a:blip r:embed="rId69"/>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Evolución del score de Optuna durante calibración</w:t>
      </w:r>
    </w:p>
    <w:p>
      <w:pPr>
        <w:pStyle w:val="BodyText"/>
      </w:pPr>
      <w:r>
        <w:rPr>
          <w:b/>
          <w:bCs/>
          <w:i/>
          <w:iCs/>
        </w:rPr>
        <w:t xml:space="preserve">Figura 10.</w:t>
      </w:r>
      <w:r>
        <w:rPr>
          <w:i/>
          <w:iCs/>
        </w:rPr>
        <w:t xml:space="preserve"> </w:t>
      </w:r>
      <w:r>
        <w:rPr>
          <w:i/>
          <w:iCs/>
        </w:rPr>
        <w:t xml:space="preserve">Evolución del mejor fitness durante la calibración con Optuna/TPE para cada algoritmo. GA-SA alcanza la convergencia más rápida, seguida por DE, GA y SA.</w:t>
      </w:r>
    </w:p>
    <w:p>
      <w:r>
        <w:pict>
          <v:rect style="width:0;height:1.5pt" o:hralign="center" o:hrstd="t" o:hr="t"/>
        </w:pict>
      </w:r>
    </w:p>
    <w:bookmarkEnd w:id="72"/>
    <w:bookmarkEnd w:id="73"/>
    <w:bookmarkStart w:id="125" w:name="resultados-computacionales"/>
    <w:p>
      <w:pPr>
        <w:pStyle w:val="Heading2"/>
      </w:pPr>
      <w:r>
        <w:t xml:space="preserve">7. Resultados Computacionales</w:t>
      </w:r>
    </w:p>
    <w:bookmarkStart w:id="74" w:name="diseño-experimental"/>
    <w:p>
      <w:pPr>
        <w:pStyle w:val="Heading3"/>
      </w:pPr>
      <w:r>
        <w:t xml:space="preserve">7.1. Diseño Experimental</w:t>
      </w:r>
    </w:p>
    <w:p>
      <w:pPr>
        <w:pStyle w:val="FirstParagraph"/>
      </w:pPr>
      <w:r>
        <w:t xml:space="preserve">El diseño experimental sigue un esquema factorial completo con los siguientes factores:</w:t>
      </w:r>
    </w:p>
    <w:p>
      <w:pPr>
        <w:pStyle w:val="Compact"/>
        <w:numPr>
          <w:ilvl w:val="0"/>
          <w:numId w:val="1029"/>
        </w:numPr>
      </w:pPr>
      <w:r>
        <w:rPr>
          <w:b/>
          <w:bCs/>
        </w:rPr>
        <w:t xml:space="preserve">Factor A — Algoritmo:</w:t>
      </w:r>
      <w:r>
        <w:t xml:space="preserve"> </w:t>
      </w:r>
      <w:r>
        <w:t xml:space="preserve">{GA, SA, DE, GA-SA, CBC-exacto, Baseline} (6 niveles)</w:t>
      </w:r>
    </w:p>
    <w:p>
      <w:pPr>
        <w:pStyle w:val="Compact"/>
        <w:numPr>
          <w:ilvl w:val="0"/>
          <w:numId w:val="1029"/>
        </w:numPr>
      </w:pPr>
      <w:r>
        <w:rPr>
          <w:b/>
          <w:bCs/>
        </w:rPr>
        <w:t xml:space="preserve">Factor B — Tamaño de instancia:</w:t>
      </w:r>
      <w:r>
        <w:t xml:space="preserve"> </w:t>
      </w:r>
      <w:r>
        <w:t xml:space="preserve">{Small, Medium, Large} (3 niveles)</w:t>
      </w:r>
    </w:p>
    <w:p>
      <w:pPr>
        <w:pStyle w:val="Compact"/>
        <w:numPr>
          <w:ilvl w:val="0"/>
          <w:numId w:val="1029"/>
        </w:numPr>
      </w:pPr>
      <w:r>
        <w:rPr>
          <w:b/>
          <w:bCs/>
        </w:rPr>
        <w:t xml:space="preserve">Instancias por tamaño:</w:t>
      </w:r>
      <w:r>
        <w:t xml:space="preserve"> </w:t>
      </w:r>
      <w:r>
        <w:t xml:space="preserve">3 (seeds 42, 123, 456)</w:t>
      </w:r>
    </w:p>
    <w:p>
      <w:pPr>
        <w:pStyle w:val="Compact"/>
        <w:numPr>
          <w:ilvl w:val="0"/>
          <w:numId w:val="1029"/>
        </w:numPr>
      </w:pPr>
      <w:r>
        <w:rPr>
          <w:b/>
          <w:bCs/>
        </w:rPr>
        <w:t xml:space="preserve">Réplicas por combinación:</w:t>
      </w:r>
      <w:r>
        <w:t xml:space="preserve"> </w:t>
      </w:r>
      <w:r>
        <w:t xml:space="preserve">30 seeds para algoritmos estocásticos, 1 para deterministas (CBC, Baseline)</w:t>
      </w:r>
    </w:p>
    <w:p>
      <w:pPr>
        <w:pStyle w:val="FirstParagraph"/>
      </w:pPr>
      <w:r>
        <w:rPr>
          <w:b/>
          <w:bCs/>
        </w:rPr>
        <w:t xml:space="preserve">Total:</w:t>
      </w:r>
      <w:r>
        <w:t xml:space="preserve"> </w:t>
      </w:r>
      <w:r>
        <w:t xml:space="preserve">4 algoritmos × 9 instancias × 30 seeds + 2 deterministas × 9 instancias =</w:t>
      </w:r>
      <w:r>
        <w:t xml:space="preserve"> </w:t>
      </w:r>
      <w:r>
        <w:rPr>
          <w:b/>
          <w:bCs/>
        </w:rPr>
        <w:t xml:space="preserve">1,098 ejecuciones</w:t>
      </w:r>
    </w:p>
    <w:p>
      <w:pPr>
        <w:pStyle w:val="BodyText"/>
      </w:pPr>
      <w:r>
        <w:t xml:space="preserve">Cada ejecución tiene un límite de tiempo de 300 segundos. Los experimentos se ejecutaron en Python 3.11, con checkpoints cada 50 ejecuciones para tolerancia a fallos.</w:t>
      </w:r>
    </w:p>
    <w:bookmarkEnd w:id="74"/>
    <w:bookmarkStart w:id="75" w:name="perfiles-de-instancias"/>
    <w:p>
      <w:pPr>
        <w:pStyle w:val="Heading3"/>
      </w:pPr>
      <w:r>
        <w:t xml:space="preserve">7.2. Perfiles de Instancias</w:t>
      </w:r>
    </w:p>
    <w:p>
      <w:pPr>
        <w:pStyle w:val="FirstParagraph"/>
      </w:pPr>
      <w:r>
        <w:rPr>
          <w:b/>
          <w:bCs/>
          <w:i/>
          <w:iCs/>
        </w:rPr>
        <w:t xml:space="preserve">Tabla 6.</w:t>
      </w:r>
      <w:r>
        <w:rPr>
          <w:i/>
          <w:iCs/>
        </w:rPr>
        <w:t xml:space="preserve"> </w:t>
      </w:r>
      <w:r>
        <w:rPr>
          <w:i/>
          <w:iCs/>
        </w:rPr>
        <w:t xml:space="preserve">Perfiles de instancias de prueba</w:t>
      </w:r>
    </w:p>
    <w:tbl>
      <w:tblPr>
        <w:tblStyle w:val="Table"/>
        <w:tblW w:type="pct" w:w="5000"/>
        <w:tblLayout w:type="fixed"/>
        <w:tblLook w:firstRow="1" w:lastRow="0" w:firstColumn="0" w:lastColumn="0" w:noHBand="0" w:noVBand="0" w:val="0020"/>
      </w:tblPr>
      <w:tblGrid>
        <w:gridCol w:w="833"/>
        <w:gridCol w:w="729"/>
        <w:gridCol w:w="729"/>
        <w:gridCol w:w="1250"/>
        <w:gridCol w:w="1146"/>
        <w:gridCol w:w="1146"/>
        <w:gridCol w:w="729"/>
        <w:gridCol w:w="1354"/>
      </w:tblGrid>
      <w:tr>
        <w:trPr>
          <w:tblHeader w:val="on"/>
        </w:trPr>
        <w:tc>
          <w:tcPr/>
          <w:p>
            <w:pPr>
              <w:pStyle w:val="Compact"/>
            </w:pPr>
            <w:r>
              <w:t xml:space="preserve">Perfil</w:t>
            </w:r>
          </w:p>
        </w:tc>
        <w:tc>
          <w:tcPr/>
          <w:p>
            <w:pPr>
              <w:pStyle w:val="Compact"/>
              <w:jc w:val="center"/>
            </w:pPr>
            <m:oMath>
              <m:sSub>
                <m:e>
                  <m:r>
                    <m:t>n</m:t>
                  </m:r>
                </m:e>
                <m:sub>
                  <m:r>
                    <m:t>p</m:t>
                  </m:r>
                </m:sub>
              </m:sSub>
            </m:oMath>
          </w:p>
        </w:tc>
        <w:tc>
          <w:tcPr/>
          <w:p>
            <w:pPr>
              <w:pStyle w:val="Compact"/>
              <w:jc w:val="center"/>
            </w:pPr>
            <m:oMath>
              <m:sSub>
                <m:e>
                  <m:r>
                    <m:t>n</m:t>
                  </m:r>
                </m:e>
                <m:sub>
                  <m:r>
                    <m:t>t</m:t>
                  </m:r>
                </m:sub>
              </m:sSub>
            </m:oMath>
          </w:p>
        </w:tc>
        <w:tc>
          <w:tcPr/>
          <w:p>
            <w:pPr>
              <w:pStyle w:val="Compact"/>
              <w:jc w:val="center"/>
            </w:pPr>
            <m:oMath>
              <m:sSub>
                <m:e>
                  <m:r>
                    <m:t>n</m:t>
                  </m:r>
                </m:e>
                <m:sub>
                  <m:r>
                    <m:t>ω</m:t>
                  </m:r>
                </m:sub>
              </m:sSub>
            </m:oMath>
          </w:p>
        </w:tc>
        <w:tc>
          <w:tcPr/>
          <w:p>
            <w:pPr>
              <w:pStyle w:val="Compact"/>
              <w:jc w:val="center"/>
            </w:pPr>
            <m:oMath>
              <m:sSup>
                <m:e>
                  <m:r>
                    <m:t>Q</m:t>
                  </m:r>
                </m:e>
                <m:sup>
                  <m:r>
                    <m:t>m</m:t>
                  </m:r>
                  <m:r>
                    <m:t>i</m:t>
                  </m:r>
                  <m:r>
                    <m:t>n</m:t>
                  </m:r>
                </m:sup>
              </m:sSup>
            </m:oMath>
          </w:p>
        </w:tc>
        <w:tc>
          <w:tcPr/>
          <w:p>
            <w:pPr>
              <w:pStyle w:val="Compact"/>
              <w:jc w:val="center"/>
            </w:pPr>
            <m:oMath>
              <m:sSup>
                <m:e>
                  <m:r>
                    <m:t>Q</m:t>
                  </m:r>
                </m:e>
                <m:sup>
                  <m:r>
                    <m:t>m</m:t>
                  </m:r>
                  <m:r>
                    <m:t>a</m:t>
                  </m:r>
                  <m:r>
                    <m:t>x</m:t>
                  </m:r>
                </m:sup>
              </m:sSup>
            </m:oMath>
          </w:p>
        </w:tc>
        <w:tc>
          <w:tcPr/>
          <w:p>
            <w:pPr>
              <w:pStyle w:val="Compact"/>
              <w:jc w:val="center"/>
            </w:pPr>
            <w:r>
              <w:t xml:space="preserve">Seeds</w:t>
            </w:r>
          </w:p>
        </w:tc>
        <w:tc>
          <w:tcPr/>
          <w:p>
            <w:pPr>
              <w:pStyle w:val="Compact"/>
            </w:pPr>
            <w:r>
              <w:t xml:space="preserve">Descripción</w:t>
            </w:r>
          </w:p>
        </w:tc>
      </w:tr>
      <w:tr>
        <w:tc>
          <w:tcPr/>
          <w:p>
            <w:pPr>
              <w:pStyle w:val="Compact"/>
            </w:pPr>
            <w:r>
              <w:t xml:space="preserve">Small</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10</w:t>
            </w:r>
          </w:p>
        </w:tc>
        <w:tc>
          <w:tcPr/>
          <w:p>
            <w:pPr>
              <w:pStyle w:val="Compact"/>
              <w:jc w:val="center"/>
            </w:pPr>
            <w:r>
              <w:t xml:space="preserve">100</w:t>
            </w:r>
          </w:p>
        </w:tc>
        <w:tc>
          <w:tcPr/>
          <w:p>
            <w:pPr>
              <w:pStyle w:val="Compact"/>
              <w:jc w:val="center"/>
            </w:pPr>
            <w:r>
              <w:t xml:space="preserve">1,000</w:t>
            </w:r>
          </w:p>
        </w:tc>
        <w:tc>
          <w:tcPr/>
          <w:p>
            <w:pPr>
              <w:pStyle w:val="Compact"/>
              <w:jc w:val="center"/>
            </w:pPr>
            <w:r>
              <w:t xml:space="preserve">42, 123, 456</w:t>
            </w:r>
          </w:p>
        </w:tc>
        <w:tc>
          <w:tcPr/>
          <w:p>
            <w:pPr>
              <w:pStyle w:val="Compact"/>
            </w:pPr>
            <w:r>
              <w:t xml:space="preserve">Validación contra CBC óptimo</w:t>
            </w:r>
          </w:p>
        </w:tc>
      </w:tr>
      <w:tr>
        <w:tc>
          <w:tcPr/>
          <w:p>
            <w:pPr>
              <w:pStyle w:val="Compact"/>
            </w:pPr>
            <w:r>
              <w:t xml:space="preserve">Medium</w:t>
            </w:r>
          </w:p>
        </w:tc>
        <w:tc>
          <w:tcPr/>
          <w:p>
            <w:pPr>
              <w:pStyle w:val="Compact"/>
              <w:jc w:val="center"/>
            </w:pPr>
            <w:r>
              <w:t xml:space="preserve">8</w:t>
            </w:r>
          </w:p>
        </w:tc>
        <w:tc>
          <w:tcPr/>
          <w:p>
            <w:pPr>
              <w:pStyle w:val="Compact"/>
              <w:jc w:val="center"/>
            </w:pPr>
            <w:r>
              <w:t xml:space="preserve">12</w:t>
            </w:r>
          </w:p>
        </w:tc>
        <w:tc>
          <w:tcPr/>
          <w:p>
            <w:pPr>
              <w:pStyle w:val="Compact"/>
              <w:jc w:val="center"/>
            </w:pPr>
            <w:r>
              <w:t xml:space="preserve">50</w:t>
            </w:r>
          </w:p>
        </w:tc>
        <w:tc>
          <w:tcPr/>
          <w:p>
            <w:pPr>
              <w:pStyle w:val="Compact"/>
              <w:jc w:val="center"/>
            </w:pPr>
            <w:r>
              <w:t xml:space="preserve">100</w:t>
            </w:r>
          </w:p>
        </w:tc>
        <w:tc>
          <w:tcPr/>
          <w:p>
            <w:pPr>
              <w:pStyle w:val="Compact"/>
              <w:jc w:val="center"/>
            </w:pPr>
            <w:r>
              <w:t xml:space="preserve">1,000</w:t>
            </w:r>
          </w:p>
        </w:tc>
        <w:tc>
          <w:tcPr/>
          <w:p>
            <w:pPr>
              <w:pStyle w:val="Compact"/>
              <w:jc w:val="center"/>
            </w:pPr>
            <w:r>
              <w:t xml:space="preserve">42, 123, 456</w:t>
            </w:r>
          </w:p>
        </w:tc>
        <w:tc>
          <w:tcPr/>
          <w:p>
            <w:pPr>
              <w:pStyle w:val="Compact"/>
            </w:pPr>
            <w:r>
              <w:t xml:space="preserve">Escala intermedia</w:t>
            </w:r>
          </w:p>
        </w:tc>
      </w:tr>
      <w:tr>
        <w:tc>
          <w:tcPr/>
          <w:p>
            <w:pPr>
              <w:pStyle w:val="Compact"/>
            </w:pPr>
            <w:r>
              <w:t xml:space="preserve">Large</w:t>
            </w:r>
          </w:p>
        </w:tc>
        <w:tc>
          <w:tcPr/>
          <w:p>
            <w:pPr>
              <w:pStyle w:val="Compact"/>
              <w:jc w:val="center"/>
            </w:pPr>
            <w:r>
              <w:t xml:space="preserve">8</w:t>
            </w:r>
          </w:p>
        </w:tc>
        <w:tc>
          <w:tcPr/>
          <w:p>
            <w:pPr>
              <w:pStyle w:val="Compact"/>
              <w:jc w:val="center"/>
            </w:pPr>
            <w:r>
              <w:t xml:space="preserve">30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1,000</w:t>
            </w:r>
          </w:p>
        </w:tc>
        <w:tc>
          <w:tcPr/>
          <w:p>
            <w:pPr>
              <w:pStyle w:val="Compact"/>
              <w:jc w:val="center"/>
            </w:pPr>
            <w:r>
              <w:t xml:space="preserve">42, 123, 456</w:t>
            </w:r>
          </w:p>
        </w:tc>
        <w:tc>
          <w:tcPr/>
          <w:p>
            <w:pPr>
              <w:pStyle w:val="Compact"/>
            </w:pPr>
            <w:r>
              <w:t xml:space="preserve">Escala industrial</w:t>
            </w:r>
          </w:p>
        </w:tc>
      </w:tr>
    </w:tbl>
    <w:p>
      <w:pPr>
        <w:pStyle w:val="BodyText"/>
      </w:pPr>
      <w:r>
        <w:t xml:space="preserve">Las instancias fueron generadas con datos calibrados de la industria avícola colombiana: proporciones anatómicas basadas en literatura, precios de mercado FENAVI, y demanda con distribución log-normal estacional.</w:t>
      </w:r>
    </w:p>
    <w:bookmarkEnd w:id="75"/>
    <w:bookmarkStart w:id="85" w:name="resultados-principales"/>
    <w:p>
      <w:pPr>
        <w:pStyle w:val="Heading3"/>
      </w:pPr>
      <w:r>
        <w:t xml:space="preserve">7.3. Resultados Principales</w:t>
      </w:r>
    </w:p>
    <w:p>
      <w:pPr>
        <w:pStyle w:val="FirstParagraph"/>
      </w:pPr>
      <w:r>
        <w:rPr>
          <w:b/>
          <w:bCs/>
          <w:i/>
          <w:iCs/>
        </w:rPr>
        <w:t xml:space="preserve">Tabla 7.</w:t>
      </w:r>
      <w:r>
        <w:rPr>
          <w:i/>
          <w:iCs/>
        </w:rPr>
        <w:t xml:space="preserve"> </w:t>
      </w:r>
      <w:r>
        <w:rPr>
          <w:i/>
          <w:iCs/>
        </w:rPr>
        <w:t xml:space="preserve">Resultados principales por algoritmo (promedio sobre 270 ejecuciones c/u)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Algoritmo</w:t>
            </w:r>
          </w:p>
        </w:tc>
        <w:tc>
          <w:tcPr/>
          <w:p>
            <w:pPr>
              <w:pStyle w:val="Compact"/>
              <w:jc w:val="center"/>
            </w:pPr>
            <m:oMath>
              <m:acc>
                <m:accPr>
                  <m:chr m:val="‾"/>
                </m:accPr>
                <m:e>
                  <m:r>
                    <m:t>Z</m:t>
                  </m:r>
                </m:e>
              </m:acc>
            </m:oMath>
            <w:r>
              <w:t xml:space="preserve"> </w:t>
            </w:r>
            <w:r>
              <w:t xml:space="preserve">(COP)</w:t>
            </w:r>
          </w:p>
        </w:tc>
        <w:tc>
          <w:tcPr/>
          <w:p>
            <w:pPr>
              <w:pStyle w:val="Compact"/>
              <w:jc w:val="center"/>
            </w:pPr>
            <w:r>
              <w:t xml:space="preserve">Std</w:t>
            </w:r>
            <w:r>
              <w:t xml:space="preserve"> </w:t>
            </w:r>
            <m:oMath>
              <m:r>
                <m:t>Z</m:t>
              </m:r>
            </m:oMath>
          </w:p>
        </w:tc>
        <w:tc>
          <w:tcPr/>
          <w:p>
            <w:pPr>
              <w:pStyle w:val="Compact"/>
              <w:jc w:val="center"/>
            </w:pPr>
            <w:r>
              <w:t xml:space="preserve">Rank</w:t>
            </w:r>
          </w:p>
        </w:tc>
        <w:tc>
          <w:tcPr/>
          <w:p>
            <w:pPr>
              <w:pStyle w:val="Compact"/>
              <w:jc w:val="center"/>
            </w:pPr>
            <w:r>
              <w:t xml:space="preserve">N</w:t>
            </w:r>
          </w:p>
        </w:tc>
      </w:tr>
      <w:tr>
        <w:tc>
          <w:tcPr/>
          <w:p>
            <w:pPr>
              <w:pStyle w:val="Compact"/>
            </w:pPr>
            <w:r>
              <w:rPr>
                <w:b/>
                <w:bCs/>
              </w:rPr>
              <w:t xml:space="preserve">GA-SA</w:t>
            </w:r>
          </w:p>
        </w:tc>
        <w:tc>
          <w:tcPr/>
          <w:p>
            <w:pPr>
              <w:pStyle w:val="Compact"/>
              <w:jc w:val="center"/>
            </w:pPr>
            <w:r>
              <w:rPr>
                <w:b/>
                <w:bCs/>
              </w:rPr>
              <w:t xml:space="preserve">916,865,520</w:t>
            </w:r>
          </w:p>
        </w:tc>
        <w:tc>
          <w:tcPr/>
          <w:p>
            <w:pPr>
              <w:pStyle w:val="Compact"/>
              <w:jc w:val="center"/>
            </w:pPr>
            <w:r>
              <w:t xml:space="preserve">512,578,412</w:t>
            </w:r>
          </w:p>
        </w:tc>
        <w:tc>
          <w:tcPr/>
          <w:p>
            <w:pPr>
              <w:pStyle w:val="Compact"/>
              <w:jc w:val="center"/>
            </w:pPr>
            <w:r>
              <w:rPr>
                <w:b/>
                <w:bCs/>
              </w:rPr>
              <w:t xml:space="preserve">1</w:t>
            </w:r>
          </w:p>
        </w:tc>
        <w:tc>
          <w:tcPr/>
          <w:p>
            <w:pPr>
              <w:pStyle w:val="Compact"/>
              <w:jc w:val="center"/>
            </w:pPr>
            <w:r>
              <w:t xml:space="preserve">270</w:t>
            </w:r>
          </w:p>
        </w:tc>
      </w:tr>
      <w:tr>
        <w:tc>
          <w:tcPr/>
          <w:p>
            <w:pPr>
              <w:pStyle w:val="Compact"/>
            </w:pPr>
            <w:r>
              <w:t xml:space="preserve">DE</w:t>
            </w:r>
          </w:p>
        </w:tc>
        <w:tc>
          <w:tcPr/>
          <w:p>
            <w:pPr>
              <w:pStyle w:val="Compact"/>
              <w:jc w:val="center"/>
            </w:pPr>
            <w:r>
              <w:t xml:space="preserve">916,484,283</w:t>
            </w:r>
          </w:p>
        </w:tc>
        <w:tc>
          <w:tcPr/>
          <w:p>
            <w:pPr>
              <w:pStyle w:val="Compact"/>
              <w:jc w:val="center"/>
            </w:pPr>
            <w:r>
              <w:t xml:space="preserve">512,072,980</w:t>
            </w:r>
          </w:p>
        </w:tc>
        <w:tc>
          <w:tcPr/>
          <w:p>
            <w:pPr>
              <w:pStyle w:val="Compact"/>
              <w:jc w:val="center"/>
            </w:pPr>
            <w:r>
              <w:t xml:space="preserve">2</w:t>
            </w:r>
          </w:p>
        </w:tc>
        <w:tc>
          <w:tcPr/>
          <w:p>
            <w:pPr>
              <w:pStyle w:val="Compact"/>
              <w:jc w:val="center"/>
            </w:pPr>
            <w:r>
              <w:t xml:space="preserve">270</w:t>
            </w:r>
          </w:p>
        </w:tc>
      </w:tr>
      <w:tr>
        <w:tc>
          <w:tcPr/>
          <w:p>
            <w:pPr>
              <w:pStyle w:val="Compact"/>
            </w:pPr>
            <w:r>
              <w:t xml:space="preserve">GA</w:t>
            </w:r>
          </w:p>
        </w:tc>
        <w:tc>
          <w:tcPr/>
          <w:p>
            <w:pPr>
              <w:pStyle w:val="Compact"/>
              <w:jc w:val="center"/>
            </w:pPr>
            <w:r>
              <w:t xml:space="preserve">908,817,120</w:t>
            </w:r>
          </w:p>
        </w:tc>
        <w:tc>
          <w:tcPr/>
          <w:p>
            <w:pPr>
              <w:pStyle w:val="Compact"/>
              <w:jc w:val="center"/>
            </w:pPr>
            <w:r>
              <w:t xml:space="preserve">501,216,075</w:t>
            </w:r>
          </w:p>
        </w:tc>
        <w:tc>
          <w:tcPr/>
          <w:p>
            <w:pPr>
              <w:pStyle w:val="Compact"/>
              <w:jc w:val="center"/>
            </w:pPr>
            <w:r>
              <w:t xml:space="preserve">3</w:t>
            </w:r>
          </w:p>
        </w:tc>
        <w:tc>
          <w:tcPr/>
          <w:p>
            <w:pPr>
              <w:pStyle w:val="Compact"/>
              <w:jc w:val="center"/>
            </w:pPr>
            <w:r>
              <w:t xml:space="preserve">270</w:t>
            </w:r>
          </w:p>
        </w:tc>
      </w:tr>
      <w:tr>
        <w:tc>
          <w:tcPr/>
          <w:p>
            <w:pPr>
              <w:pStyle w:val="Compact"/>
            </w:pPr>
            <w:r>
              <w:t xml:space="preserve">SA</w:t>
            </w:r>
          </w:p>
        </w:tc>
        <w:tc>
          <w:tcPr/>
          <w:p>
            <w:pPr>
              <w:pStyle w:val="Compact"/>
              <w:jc w:val="center"/>
            </w:pPr>
            <w:r>
              <w:t xml:space="preserve">883,217,511</w:t>
            </w:r>
          </w:p>
        </w:tc>
        <w:tc>
          <w:tcPr/>
          <w:p>
            <w:pPr>
              <w:pStyle w:val="Compact"/>
              <w:jc w:val="center"/>
            </w:pPr>
            <w:r>
              <w:t xml:space="preserve">522,140,338</w:t>
            </w:r>
          </w:p>
        </w:tc>
        <w:tc>
          <w:tcPr/>
          <w:p>
            <w:pPr>
              <w:pStyle w:val="Compact"/>
              <w:jc w:val="center"/>
            </w:pPr>
            <w:r>
              <w:t xml:space="preserve">4</w:t>
            </w:r>
          </w:p>
        </w:tc>
        <w:tc>
          <w:tcPr/>
          <w:p>
            <w:pPr>
              <w:pStyle w:val="Compact"/>
              <w:jc w:val="center"/>
            </w:pPr>
            <w:r>
              <w:t xml:space="preserve">270</w:t>
            </w:r>
          </w:p>
        </w:tc>
      </w:tr>
    </w:tbl>
    <w:p>
      <w:pPr>
        <w:pStyle w:val="BodyText"/>
      </w:pPr>
      <w:r>
        <w:t xml:space="preserve">El híbrido</w:t>
      </w:r>
      <w:r>
        <w:t xml:space="preserve"> </w:t>
      </w:r>
      <w:r>
        <w:rPr>
          <w:b/>
          <w:bCs/>
        </w:rPr>
        <w:t xml:space="preserve">GA-SA obtiene el mejor rendimiento promedio</w:t>
      </w:r>
      <w:r>
        <w:t xml:space="preserve">, seguido por DE, GA y SA. La lectura estadística depende del nivel de agregación: en vista por corridas (ANOVA) no se observa diferencia global (</w:t>
      </w:r>
      <m:oMath>
        <m:r>
          <m:t>F</m:t>
        </m:r>
        <m:r>
          <m:rPr>
            <m:sty m:val="p"/>
          </m:rPr>
          <m:t>=</m:t>
        </m:r>
        <m:r>
          <m:t>0.259</m:t>
        </m:r>
      </m:oMath>
      <w:r>
        <w:t xml:space="preserve">,</w:t>
      </w:r>
      <w:r>
        <w:t xml:space="preserve"> </w:t>
      </w:r>
      <m:oMath>
        <m:r>
          <m:t>p</m:t>
        </m:r>
        <m:r>
          <m:rPr>
            <m:sty m:val="p"/>
          </m:rPr>
          <m:t>=</m:t>
        </m:r>
        <m:r>
          <m:t>0.855</m:t>
        </m:r>
      </m:oMath>
      <w:r>
        <w:t xml:space="preserve">), pero al bloquear por instancia sí aparece diferencia global (Friedman</w:t>
      </w:r>
      <w:r>
        <w:t xml:space="preserve"> </w:t>
      </w:r>
      <m:oMath>
        <m:sSup>
          <m:e>
            <m:r>
              <m:t>χ</m:t>
            </m:r>
          </m:e>
          <m:sup>
            <m:r>
              <m:t>2</m:t>
            </m:r>
          </m:sup>
        </m:sSup>
        <m:r>
          <m:rPr>
            <m:sty m:val="p"/>
          </m:rPr>
          <m:t>=</m:t>
        </m:r>
        <m:r>
          <m:t>16.07</m:t>
        </m:r>
      </m:oMath>
      <w:r>
        <w:t xml:space="preserve">,</w:t>
      </w:r>
      <w:r>
        <w:t xml:space="preserve"> </w:t>
      </w:r>
      <m:oMath>
        <m:r>
          <m:t>p</m:t>
        </m:r>
        <m:r>
          <m:rPr>
            <m:sty m:val="p"/>
          </m:rPr>
          <m:t>=</m:t>
        </m:r>
        <m:r>
          <m:t>0.0011</m:t>
        </m:r>
      </m:oMath>
      <w:r>
        <w:t xml:space="preserve">). Las comparaciones pareadas con corrección Holm muestran diferencia consistente entre SA y {DE, GA-SA}, mientras que</w:t>
      </w:r>
      <w:r>
        <w:t xml:space="preserve"> </w:t>
      </w:r>
      <w:r>
        <w:rPr>
          <w:b/>
          <w:bCs/>
        </w:rPr>
        <w:t xml:space="preserve">GA-SA y DE permanecen prácticamente empatados en magnitud de efecto</w:t>
      </w:r>
      <w:r>
        <w:t xml:space="preserve"> </w:t>
      </w:r>
      <w:r>
        <w:t xml:space="preserve">(diferencia media relativa (</w:t>
      </w:r>
      <w:r>
        <w:t xml:space="preserve">%)).</w:t>
      </w:r>
    </w:p>
    <w:p>
      <w:pPr>
        <w:pStyle w:val="CaptionedFigure"/>
      </w:pPr>
      <w:r>
        <w:drawing>
          <wp:inline>
            <wp:extent cx="4267200" cy="2560320"/>
            <wp:effectExtent b="0" l="0" r="0" t="0"/>
            <wp:docPr descr="Boxplot de fitness por algoritmo" title="" id="77" name="Picture"/>
            <a:graphic>
              <a:graphicData uri="http://schemas.openxmlformats.org/drawingml/2006/picture">
                <pic:pic>
                  <pic:nvPicPr>
                    <pic:cNvPr descr="figuras/boxplot_fitness.png" id="78" name="Picture"/>
                    <pic:cNvPicPr>
                      <a:picLocks noChangeArrowheads="1" noChangeAspect="1"/>
                    </pic:cNvPicPr>
                  </pic:nvPicPr>
                  <pic:blipFill>
                    <a:blip r:embed="rId76"/>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Boxplot de fitness por algoritmo</w:t>
      </w:r>
    </w:p>
    <w:p>
      <w:pPr>
        <w:pStyle w:val="BodyText"/>
      </w:pPr>
      <w:r>
        <w:rPr>
          <w:b/>
          <w:bCs/>
          <w:i/>
          <w:iCs/>
        </w:rPr>
        <w:t xml:space="preserve">Figura 11.</w:t>
      </w:r>
      <w:r>
        <w:rPr>
          <w:i/>
          <w:iCs/>
        </w:rPr>
        <w:t xml:space="preserve"> </w:t>
      </w:r>
      <w:r>
        <w:rPr>
          <w:i/>
          <w:iCs/>
        </w:rPr>
        <w:t xml:space="preserve">Distribución de fitness (</w:t>
      </w:r>
      <m:oMath>
        <m:r>
          <m:t>Z</m:t>
        </m:r>
      </m:oMath>
      <w:r>
        <w:rPr>
          <w:i/>
          <w:iCs/>
        </w:rPr>
        <w:t xml:space="preserve">) por algoritmo. GA-SA y DE muestran las medianas más altas, mientras SA presenta la mayor variabilidad.</w:t>
      </w:r>
    </w:p>
    <w:p>
      <w:pPr>
        <w:pStyle w:val="CaptionedFigure"/>
      </w:pPr>
      <w:r>
        <w:drawing>
          <wp:inline>
            <wp:extent cx="4267200" cy="3200400"/>
            <wp:effectExtent b="0" l="0" r="0" t="0"/>
            <wp:docPr descr="Pareto calidad vs tiempo" title="" id="80" name="Picture"/>
            <a:graphic>
              <a:graphicData uri="http://schemas.openxmlformats.org/drawingml/2006/picture">
                <pic:pic>
                  <pic:nvPicPr>
                    <pic:cNvPr descr="figuras/pareto_quality_time.png" id="81" name="Picture"/>
                    <pic:cNvPicPr>
                      <a:picLocks noChangeArrowheads="1" noChangeAspect="1"/>
                    </pic:cNvPicPr>
                  </pic:nvPicPr>
                  <pic:blipFill>
                    <a:blip r:embed="rId79"/>
                    <a:stretch>
                      <a:fillRect/>
                    </a:stretch>
                  </pic:blipFill>
                  <pic:spPr bwMode="auto">
                    <a:xfrm>
                      <a:off x="0" y="0"/>
                      <a:ext cx="4267200" cy="3200400"/>
                    </a:xfrm>
                    <a:prstGeom prst="rect">
                      <a:avLst/>
                    </a:prstGeom>
                    <a:noFill/>
                    <a:ln w="9525">
                      <a:noFill/>
                      <a:headEnd/>
                      <a:tailEnd/>
                    </a:ln>
                  </pic:spPr>
                </pic:pic>
              </a:graphicData>
            </a:graphic>
          </wp:inline>
        </w:drawing>
      </w:r>
    </w:p>
    <w:p>
      <w:pPr>
        <w:pStyle w:val="ImageCaption"/>
      </w:pPr>
      <w:r>
        <w:t xml:space="preserve">Pareto calidad vs tiempo</w:t>
      </w:r>
    </w:p>
    <w:p>
      <w:pPr>
        <w:pStyle w:val="BodyText"/>
      </w:pPr>
      <w:r>
        <w:rPr>
          <w:b/>
          <w:bCs/>
          <w:i/>
          <w:iCs/>
        </w:rPr>
        <w:t xml:space="preserve">Figura 12.</w:t>
      </w:r>
      <w:r>
        <w:rPr>
          <w:i/>
          <w:iCs/>
        </w:rPr>
        <w:t xml:space="preserve"> </w:t>
      </w:r>
      <w:r>
        <w:rPr>
          <w:i/>
          <w:iCs/>
        </w:rPr>
        <w:t xml:space="preserve">Frente de Pareto calidad (</w:t>
      </w:r>
      <m:oMath>
        <m:r>
          <m:t>Z</m:t>
        </m:r>
      </m:oMath>
      <w:r>
        <w:rPr>
          <w:i/>
          <w:iCs/>
        </w:rPr>
        <w:t xml:space="preserve">) vs. tiempo computacional. GA-SA ofrece el mejor compromiso calidad-velocidad.</w:t>
      </w:r>
    </w:p>
    <w:p>
      <w:pPr>
        <w:pStyle w:val="CaptionedFigure"/>
      </w:pPr>
      <w:r>
        <w:drawing>
          <wp:inline>
            <wp:extent cx="4267200" cy="2667000"/>
            <wp:effectExtent b="0" l="0" r="0" t="0"/>
            <wp:docPr descr="Nivel de servicio por algoritmo" title="" id="83" name="Picture"/>
            <a:graphic>
              <a:graphicData uri="http://schemas.openxmlformats.org/drawingml/2006/picture">
                <pic:pic>
                  <pic:nvPicPr>
                    <pic:cNvPr descr="figuras/service_level_comparison.png" id="84" name="Picture"/>
                    <pic:cNvPicPr>
                      <a:picLocks noChangeArrowheads="1" noChangeAspect="1"/>
                    </pic:cNvPicPr>
                  </pic:nvPicPr>
                  <pic:blipFill>
                    <a:blip r:embed="rId82"/>
                    <a:stretch>
                      <a:fillRect/>
                    </a:stretch>
                  </pic:blipFill>
                  <pic:spPr bwMode="auto">
                    <a:xfrm>
                      <a:off x="0" y="0"/>
                      <a:ext cx="4267200" cy="2667000"/>
                    </a:xfrm>
                    <a:prstGeom prst="rect">
                      <a:avLst/>
                    </a:prstGeom>
                    <a:noFill/>
                    <a:ln w="9525">
                      <a:noFill/>
                      <a:headEnd/>
                      <a:tailEnd/>
                    </a:ln>
                  </pic:spPr>
                </pic:pic>
              </a:graphicData>
            </a:graphic>
          </wp:inline>
        </w:drawing>
      </w:r>
    </w:p>
    <w:p>
      <w:pPr>
        <w:pStyle w:val="ImageCaption"/>
      </w:pPr>
      <w:r>
        <w:t xml:space="preserve">Nivel de servicio por algoritmo</w:t>
      </w:r>
    </w:p>
    <w:p>
      <w:pPr>
        <w:pStyle w:val="BodyText"/>
      </w:pPr>
      <w:r>
        <w:rPr>
          <w:b/>
          <w:bCs/>
          <w:i/>
          <w:iCs/>
        </w:rPr>
        <w:t xml:space="preserve">Figura 13.</w:t>
      </w:r>
      <w:r>
        <w:rPr>
          <w:i/>
          <w:iCs/>
        </w:rPr>
        <w:t xml:space="preserve"> </w:t>
      </w:r>
      <w:r>
        <w:rPr>
          <w:i/>
          <w:iCs/>
        </w:rPr>
        <w:t xml:space="preserve">Comparación del nivel de servicio (% de demanda satisfecha) por algoritmo.</w:t>
      </w:r>
    </w:p>
    <w:bookmarkEnd w:id="85"/>
    <w:bookmarkStart w:id="86" w:name="validación-de-hipótesis"/>
    <w:p>
      <w:pPr>
        <w:pStyle w:val="Heading3"/>
      </w:pPr>
      <w:r>
        <w:t xml:space="preserve">7.4. Validación de Hipótesis</w:t>
      </w:r>
    </w:p>
    <w:p>
      <w:pPr>
        <w:pStyle w:val="FirstParagraph"/>
      </w:pPr>
      <w:r>
        <w:rPr>
          <w:b/>
          <w:bCs/>
          <w:i/>
          <w:iCs/>
        </w:rPr>
        <w:t xml:space="preserve">Tabla 8.</w:t>
      </w:r>
      <w:r>
        <w:rPr>
          <w:i/>
          <w:iCs/>
        </w:rPr>
        <w:t xml:space="preserve"> </w:t>
      </w:r>
      <w:r>
        <w:rPr>
          <w:i/>
          <w:iCs/>
        </w:rPr>
        <w:t xml:space="preserve">Veredicto de hipótesis de investigación</w:t>
      </w:r>
    </w:p>
    <w:tbl>
      <w:tblPr>
        <w:tblStyle w:val="Table"/>
        <w:tblW w:type="pct" w:w="5000"/>
        <w:tblLayout w:type="fixed"/>
        <w:tblLook w:firstRow="1" w:lastRow="0" w:firstColumn="0" w:lastColumn="0" w:noHBand="0" w:noVBand="0" w:val="0020"/>
      </w:tblPr>
      <w:tblGrid>
        <w:gridCol w:w="1382"/>
        <w:gridCol w:w="1634"/>
        <w:gridCol w:w="754"/>
        <w:gridCol w:w="1634"/>
        <w:gridCol w:w="1131"/>
        <w:gridCol w:w="1382"/>
      </w:tblGrid>
      <w:tr>
        <w:trPr>
          <w:tblHeader w:val="on"/>
        </w:trPr>
        <w:tc>
          <w:tcPr/>
          <w:p>
            <w:pPr>
              <w:pStyle w:val="Compact"/>
              <w:jc w:val="center"/>
            </w:pPr>
            <w:r>
              <w:t xml:space="preserve">Hipótesis</w:t>
            </w:r>
          </w:p>
        </w:tc>
        <w:tc>
          <w:tcPr/>
          <w:p>
            <w:pPr>
              <w:pStyle w:val="Compact"/>
            </w:pPr>
            <w:r>
              <w:t xml:space="preserve">Descripción</w:t>
            </w:r>
          </w:p>
        </w:tc>
        <w:tc>
          <w:tcPr/>
          <w:p>
            <w:pPr>
              <w:pStyle w:val="Compact"/>
            </w:pPr>
            <w:r>
              <w:t xml:space="preserve">Test</w:t>
            </w:r>
          </w:p>
        </w:tc>
        <w:tc>
          <w:tcPr/>
          <w:p>
            <w:pPr>
              <w:pStyle w:val="Compact"/>
              <w:jc w:val="center"/>
            </w:pPr>
            <w:r>
              <w:t xml:space="preserve">Estadístico</w:t>
            </w:r>
          </w:p>
        </w:tc>
        <w:tc>
          <w:tcPr/>
          <w:p>
            <w:pPr>
              <w:pStyle w:val="Compact"/>
              <w:jc w:val="center"/>
            </w:pPr>
            <w:r>
              <w:t xml:space="preserve">p-valor</w:t>
            </w:r>
          </w:p>
        </w:tc>
        <w:tc>
          <w:tcPr/>
          <w:p>
            <w:pPr>
              <w:pStyle w:val="Compact"/>
              <w:jc w:val="center"/>
            </w:pPr>
            <w:r>
              <w:t xml:space="preserve">Veredicto</w:t>
            </w:r>
          </w:p>
        </w:tc>
      </w:tr>
      <w:tr>
        <w:tc>
          <w:tcPr/>
          <w:p>
            <w:pPr>
              <w:pStyle w:val="Compact"/>
              <w:jc w:val="center"/>
            </w:pPr>
            <w:r>
              <w:rPr>
                <w:b/>
                <w:bCs/>
              </w:rPr>
              <w:t xml:space="preserve">H1</w:t>
            </w:r>
          </w:p>
        </w:tc>
        <w:tc>
          <w:tcPr/>
          <w:p>
            <w:pPr>
              <w:pStyle w:val="Compact"/>
            </w:pPr>
            <w:r>
              <w:t xml:space="preserve">Mejora ≥ 5% vs baseline (promedio por instancia)</w:t>
            </w:r>
          </w:p>
        </w:tc>
        <w:tc>
          <w:tcPr/>
          <w:p>
            <w:pPr>
              <w:pStyle w:val="Compact"/>
            </w:pPr>
            <w:r>
              <w:t xml:space="preserve">Wilcoxon one-sided</w:t>
            </w:r>
          </w:p>
        </w:tc>
        <w:tc>
          <w:tcPr/>
          <w:p>
            <w:pPr>
              <w:pStyle w:val="Compact"/>
              <w:jc w:val="center"/>
            </w:pPr>
            <w:r>
              <w:t xml:space="preserve">0.0</w:t>
            </w:r>
          </w:p>
        </w:tc>
        <w:tc>
          <w:tcPr/>
          <w:p>
            <w:pPr>
              <w:pStyle w:val="Compact"/>
              <w:jc w:val="center"/>
            </w:pPr>
            <w:r>
              <w:t xml:space="preserve">1.000</w:t>
            </w:r>
          </w:p>
        </w:tc>
        <w:tc>
          <w:tcPr/>
          <w:p>
            <w:pPr>
              <w:pStyle w:val="Compact"/>
              <w:jc w:val="center"/>
            </w:pPr>
            <w:r>
              <w:rPr>
                <w:b/>
                <w:bCs/>
              </w:rPr>
              <w:t xml:space="preserve">NO SOPORTADA</w:t>
            </w:r>
          </w:p>
        </w:tc>
      </w:tr>
      <w:tr>
        <w:tc>
          <w:tcPr/>
          <w:p>
            <w:pPr>
              <w:pStyle w:val="Compact"/>
              <w:jc w:val="center"/>
            </w:pPr>
            <w:r>
              <w:rPr>
                <w:b/>
                <w:bCs/>
              </w:rPr>
              <w:t xml:space="preserve">H2</w:t>
            </w:r>
          </w:p>
        </w:tc>
        <w:tc>
          <w:tcPr/>
          <w:p>
            <w:pPr>
              <w:pStyle w:val="Compact"/>
            </w:pPr>
            <w:r>
              <w:t xml:space="preserve">GA-SA gap ≤ 2% vs mejor MH (promedio por instancia)</w:t>
            </w:r>
          </w:p>
        </w:tc>
        <w:tc>
          <w:tcPr/>
          <w:p>
            <w:pPr>
              <w:pStyle w:val="Compact"/>
            </w:pPr>
            <w:r>
              <w:t xml:space="preserve">Wilcoxon one-sided</w:t>
            </w:r>
          </w:p>
        </w:tc>
        <w:tc>
          <w:tcPr/>
          <w:p>
            <w:pPr>
              <w:pStyle w:val="Compact"/>
              <w:jc w:val="center"/>
            </w:pPr>
            <w:r>
              <w:t xml:space="preserve">0.0</w:t>
            </w:r>
          </w:p>
        </w:tc>
        <w:tc>
          <w:tcPr/>
          <w:p>
            <w:pPr>
              <w:pStyle w:val="Compact"/>
              <w:jc w:val="center"/>
            </w:pPr>
            <w:r>
              <w:t xml:space="preserve">1.95×10⁻³</w:t>
            </w:r>
          </w:p>
        </w:tc>
        <w:tc>
          <w:tcPr/>
          <w:p>
            <w:pPr>
              <w:pStyle w:val="Compact"/>
              <w:jc w:val="center"/>
            </w:pPr>
            <w:r>
              <w:rPr>
                <w:b/>
                <w:bCs/>
              </w:rPr>
              <w:t xml:space="preserve">SOPORTADA</w:t>
            </w:r>
          </w:p>
        </w:tc>
      </w:tr>
      <w:tr>
        <w:tc>
          <w:tcPr/>
          <w:p>
            <w:pPr>
              <w:pStyle w:val="Compact"/>
              <w:jc w:val="center"/>
            </w:pPr>
            <w:r>
              <w:rPr>
                <w:b/>
                <w:bCs/>
              </w:rPr>
              <w:t xml:space="preserve">H3</w:t>
            </w:r>
          </w:p>
        </w:tc>
        <w:tc>
          <w:tcPr/>
          <w:p>
            <w:pPr>
              <w:pStyle w:val="Compact"/>
            </w:pPr>
            <w:r>
              <w:t xml:space="preserve">Reducción inventario promedio ≥ 15% (endpoint primario, por instancia)</w:t>
            </w:r>
          </w:p>
        </w:tc>
        <w:tc>
          <w:tcPr/>
          <w:p>
            <w:pPr>
              <w:pStyle w:val="Compact"/>
            </w:pPr>
            <w:r>
              <w:t xml:space="preserve">Wilcoxon one-sided</w:t>
            </w:r>
          </w:p>
        </w:tc>
        <w:tc>
          <w:tcPr/>
          <w:p>
            <w:pPr>
              <w:pStyle w:val="Compact"/>
              <w:jc w:val="center"/>
            </w:pPr>
            <w:r>
              <w:t xml:space="preserve">24.0</w:t>
            </w:r>
          </w:p>
        </w:tc>
        <w:tc>
          <w:tcPr/>
          <w:p>
            <w:pPr>
              <w:pStyle w:val="Compact"/>
              <w:jc w:val="center"/>
            </w:pPr>
            <w:r>
              <w:t xml:space="preserve">0.455</w:t>
            </w:r>
          </w:p>
        </w:tc>
        <w:tc>
          <w:tcPr/>
          <w:p>
            <w:pPr>
              <w:pStyle w:val="Compact"/>
              <w:jc w:val="center"/>
            </w:pPr>
            <w:r>
              <w:rPr>
                <w:b/>
                <w:bCs/>
              </w:rPr>
              <w:t xml:space="preserve">NO SOPORTADA</w:t>
            </w:r>
          </w:p>
        </w:tc>
      </w:tr>
    </w:tbl>
    <w:p>
      <w:pPr>
        <w:pStyle w:val="BodyText"/>
      </w:pPr>
      <w:r>
        <w:rPr>
          <w:b/>
          <w:bCs/>
        </w:rPr>
        <w:t xml:space="preserve">Análisis detallado:</w:t>
      </w:r>
    </w:p>
    <w:p>
      <w:pPr>
        <w:pStyle w:val="BodyText"/>
      </w:pPr>
      <w:r>
        <w:rPr>
          <w:b/>
          <w:bCs/>
        </w:rPr>
        <w:t xml:space="preserve">H1 (NO SOPORTADA):</w:t>
      </w:r>
      <w:r>
        <w:t xml:space="preserve"> </w:t>
      </w:r>
      <w:r>
        <w:t xml:space="preserve">La mejora promedio por instancia de las metaheurísticas sobre el baseline es de 0.59–1.10%, inferior al umbral del 5%. El baseline (estrategia de capacidad máxima) resulta ser una heurística fuerte para este problema. El tamaño de efecto es negligible (</w:t>
      </w:r>
      <m:oMath>
        <m:r>
          <m:t>d</m:t>
        </m:r>
        <m:r>
          <m:rPr>
            <m:sty m:val="p"/>
          </m:rPr>
          <m:t>&lt;</m:t>
        </m:r>
        <m:r>
          <m:t>0.04</m:t>
        </m:r>
      </m:oMath>
      <w:r>
        <w:t xml:space="preserve">).</w:t>
      </w:r>
    </w:p>
    <w:p>
      <w:pPr>
        <w:pStyle w:val="BodyText"/>
      </w:pPr>
      <w:r>
        <w:rPr>
          <w:b/>
          <w:bCs/>
        </w:rPr>
        <w:t xml:space="preserve">H2 (SOPORTADA):</w:t>
      </w:r>
      <w:r>
        <w:t xml:space="preserve"> </w:t>
      </w:r>
      <w:r>
        <w:t xml:space="preserve">El gap del GA-SA respecto a la mejor metaheurística individual es −0.02% por instancia (IC: [−0.06%, 0.01%]), inferior al umbral del 2% (</w:t>
      </w:r>
      <m:oMath>
        <m:r>
          <m:t>p</m:t>
        </m:r>
        <m:r>
          <m:rPr>
            <m:sty m:val="p"/>
          </m:rPr>
          <m:t>=</m:t>
        </m:r>
        <m:r>
          <m:t>1.95</m:t>
        </m:r>
        <m:r>
          <m:rPr>
            <m:sty m:val="p"/>
          </m:rPr>
          <m:t>×</m:t>
        </m:r>
        <m:sSup>
          <m:e>
            <m:r>
              <m:t>10</m:t>
            </m:r>
          </m:e>
          <m:sup>
            <m:r>
              <m:rPr>
                <m:sty m:val="p"/>
              </m:rPr>
              <m:t>−</m:t>
            </m:r>
            <m:r>
              <m:t>3</m:t>
            </m:r>
          </m:sup>
        </m:sSup>
      </m:oMath>
      <w:r>
        <w:t xml:space="preserve">). La versión por corrida mantiene la misma dirección (</w:t>
      </w:r>
      <m:oMath>
        <m:r>
          <m:t>p</m:t>
        </m:r>
        <m:r>
          <m:rPr>
            <m:sty m:val="p"/>
          </m:rPr>
          <m:t>=</m:t>
        </m:r>
        <m:r>
          <m:t>7.4</m:t>
        </m:r>
        <m:r>
          <m:rPr>
            <m:sty m:val="p"/>
          </m:rPr>
          <m:t>×</m:t>
        </m:r>
        <m:sSup>
          <m:e>
            <m:r>
              <m:t>10</m:t>
            </m:r>
          </m:e>
          <m:sup>
            <m:r>
              <m:rPr>
                <m:sty m:val="p"/>
              </m:rPr>
              <m:t>−</m:t>
            </m:r>
            <m:r>
              <m:t>50</m:t>
            </m:r>
          </m:sup>
        </m:sSup>
      </m:oMath>
      <w:r>
        <w:t xml:space="preserve">), pero se reporta como evidencia complementaria. Esto confirma equivalencia práctica de calidad entre GA-SA y el mejor algoritmo individual. Nota: el componente de tiempo de H2 no se soporta, ya que GA-SA requiere más tiempo que CBC (ratio medio por instancia = 52.5x).</w:t>
      </w:r>
    </w:p>
    <w:p>
      <w:pPr>
        <w:pStyle w:val="BodyText"/>
      </w:pPr>
      <w:r>
        <w:rPr>
          <w:b/>
          <w:bCs/>
        </w:rPr>
        <w:t xml:space="preserve">H3 (NO SOPORTADA):</w:t>
      </w:r>
      <w:r>
        <w:t xml:space="preserve"> </w:t>
      </w:r>
      <w:r>
        <w:t xml:space="preserve">En el endpoint primario (inventario promedio total por instancia), las reducciones observadas (12.2%–17.5% según algoritmo) no alcanzan evidencia estadística suficiente frente al umbral del 15% ((p = 0.455) en el contraste one-sided por instancia).</w:t>
      </w:r>
      <w:r>
        <w:br/>
      </w:r>
      <w:r>
        <w:t xml:space="preserve">Como lectura secundaria, el endpoint de baja rotación muestra 22.3% para SA con (p = 0.0417), pero solo 3/9 instancias son informativas ((baseline &gt; 0)); por protocolo ((n_{informativo}</w:t>
      </w:r>
      <w:r>
        <w:t xml:space="preserve"> </w:t>
      </w:r>
      <w:r>
        <w:t xml:space="preserve">)) se reporta como evidencia exploratoria y no confirmatoria.</w:t>
      </w:r>
    </w:p>
    <w:bookmarkEnd w:id="86"/>
    <w:bookmarkStart w:id="90" w:name="performance-profiles"/>
    <w:p>
      <w:pPr>
        <w:pStyle w:val="Heading3"/>
      </w:pPr>
      <w:r>
        <w:t xml:space="preserve">7.5. Performance Profiles</w:t>
      </w:r>
    </w:p>
    <w:p>
      <w:pPr>
        <w:pStyle w:val="CaptionedFigure"/>
      </w:pPr>
      <w:r>
        <w:drawing>
          <wp:inline>
            <wp:extent cx="4267200" cy="2844800"/>
            <wp:effectExtent b="0" l="0" r="0" t="0"/>
            <wp:docPr descr="Performance profile de Dolan-Moré" title="" id="88" name="Picture"/>
            <a:graphic>
              <a:graphicData uri="http://schemas.openxmlformats.org/drawingml/2006/picture">
                <pic:pic>
                  <pic:nvPicPr>
                    <pic:cNvPr descr="figuras/performance_profile.png" id="89" name="Picture"/>
                    <pic:cNvPicPr>
                      <a:picLocks noChangeArrowheads="1" noChangeAspect="1"/>
                    </pic:cNvPicPr>
                  </pic:nvPicPr>
                  <pic:blipFill>
                    <a:blip r:embed="rId87"/>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Performance profile de Dolan-Moré</w:t>
      </w:r>
    </w:p>
    <w:p>
      <w:pPr>
        <w:pStyle w:val="BodyText"/>
      </w:pPr>
      <w:r>
        <w:rPr>
          <w:b/>
          <w:bCs/>
          <w:i/>
          <w:iCs/>
        </w:rPr>
        <w:t xml:space="preserve">Figura 14.</w:t>
      </w:r>
      <w:r>
        <w:rPr>
          <w:i/>
          <w:iCs/>
        </w:rPr>
        <w:t xml:space="preserve"> </w:t>
      </w:r>
      <w:r>
        <w:rPr>
          <w:i/>
          <w:iCs/>
        </w:rPr>
        <w:t xml:space="preserve">Performance profile de Dolan-Moré. GA-SA y DE alcanzan las mejores soluciones con mayor frecuencia (curva más alta a la izquierda).</w:t>
      </w:r>
    </w:p>
    <w:bookmarkEnd w:id="90"/>
    <w:bookmarkStart w:id="94" w:name="convergence-profiles"/>
    <w:p>
      <w:pPr>
        <w:pStyle w:val="Heading3"/>
      </w:pPr>
      <w:r>
        <w:t xml:space="preserve">7.6. Convergence Profiles</w:t>
      </w:r>
    </w:p>
    <w:p>
      <w:pPr>
        <w:pStyle w:val="CaptionedFigure"/>
      </w:pPr>
      <w:r>
        <w:drawing>
          <wp:inline>
            <wp:extent cx="4267200" cy="2844800"/>
            <wp:effectExtent b="0" l="0" r="0" t="0"/>
            <wp:docPr descr="Convergence profiles normalizados" title="" id="92" name="Picture"/>
            <a:graphic>
              <a:graphicData uri="http://schemas.openxmlformats.org/drawingml/2006/picture">
                <pic:pic>
                  <pic:nvPicPr>
                    <pic:cNvPr descr="figuras/convergence_profiles.png" id="93" name="Picture"/>
                    <pic:cNvPicPr>
                      <a:picLocks noChangeArrowheads="1" noChangeAspect="1"/>
                    </pic:cNvPicPr>
                  </pic:nvPicPr>
                  <pic:blipFill>
                    <a:blip r:embed="rId91"/>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Convergence profiles normalizados</w:t>
      </w:r>
    </w:p>
    <w:p>
      <w:pPr>
        <w:pStyle w:val="BodyText"/>
      </w:pPr>
      <w:r>
        <w:rPr>
          <w:b/>
          <w:bCs/>
          <w:i/>
          <w:iCs/>
        </w:rPr>
        <w:t xml:space="preserve">Figura 15.</w:t>
      </w:r>
      <w:r>
        <w:rPr>
          <w:i/>
          <w:iCs/>
        </w:rPr>
        <w:t xml:space="preserve"> </w:t>
      </w:r>
      <w:r>
        <w:rPr>
          <w:i/>
          <w:iCs/>
        </w:rPr>
        <w:t xml:space="preserve">Perfiles de convergencia normalizados. GA-SA converge más rápido que GA y DE gracias a la búsqueda local periódica.</w:t>
      </w:r>
    </w:p>
    <w:bookmarkEnd w:id="94"/>
    <w:bookmarkStart w:id="98" w:name="análisis-de-escalabilidad"/>
    <w:p>
      <w:pPr>
        <w:pStyle w:val="Heading3"/>
      </w:pPr>
      <w:r>
        <w:t xml:space="preserve">7.7. Análisis de Escalabilidad</w:t>
      </w:r>
    </w:p>
    <w:p>
      <w:pPr>
        <w:pStyle w:val="CaptionedFigure"/>
      </w:pPr>
      <w:r>
        <w:drawing>
          <wp:inline>
            <wp:extent cx="4267200" cy="2844800"/>
            <wp:effectExtent b="0" l="0" r="0" t="0"/>
            <wp:docPr descr="Escalabilidad empírica log-log" title="" id="96" name="Picture"/>
            <a:graphic>
              <a:graphicData uri="http://schemas.openxmlformats.org/drawingml/2006/picture">
                <pic:pic>
                  <pic:nvPicPr>
                    <pic:cNvPr descr="figuras/complexity_loglog_scaling.png" id="97" name="Picture"/>
                    <pic:cNvPicPr>
                      <a:picLocks noChangeArrowheads="1" noChangeAspect="1"/>
                    </pic:cNvPicPr>
                  </pic:nvPicPr>
                  <pic:blipFill>
                    <a:blip r:embed="rId95"/>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Escalabilidad empírica log-log</w:t>
      </w:r>
    </w:p>
    <w:p>
      <w:pPr>
        <w:pStyle w:val="BodyText"/>
      </w:pPr>
      <w:r>
        <w:rPr>
          <w:b/>
          <w:bCs/>
          <w:i/>
          <w:iCs/>
        </w:rPr>
        <w:t xml:space="preserve">Figura 16.</w:t>
      </w:r>
      <w:r>
        <w:rPr>
          <w:i/>
          <w:iCs/>
        </w:rPr>
        <w:t xml:space="preserve"> </w:t>
      </w:r>
      <w:r>
        <w:rPr>
          <w:i/>
          <w:iCs/>
        </w:rPr>
        <w:t xml:space="preserve">Escalabilidad empírica (gráfico log-log). Todas las metaheurísticas muestran crecimiento polinomial del tiempo con el tamaño de la instancia.</w:t>
      </w:r>
    </w:p>
    <w:bookmarkEnd w:id="98"/>
    <w:bookmarkStart w:id="99" w:name="análisis-de-sensibilidad"/>
    <w:p>
      <w:pPr>
        <w:pStyle w:val="Heading3"/>
      </w:pPr>
      <w:r>
        <w:t xml:space="preserve">7.8. Análisis de Sensibilidad</w:t>
      </w:r>
    </w:p>
    <w:p>
      <w:pPr>
        <w:pStyle w:val="FirstParagraph"/>
      </w:pPr>
      <w:r>
        <w:t xml:space="preserve">Se realizó un análisis de sensibilidad perturbando tres parámetros clave en el rango ±20%, con 30 réplicas por configuración (450 ejecuciones totales). El algoritmo evaluado fue GA-SA sobre la instancia</w:t>
      </w:r>
      <w:r>
        <w:t xml:space="preserve"> </w:t>
      </w:r>
      <w:r>
        <w:rPr>
          <w:rStyle w:val="VerbatimChar"/>
        </w:rPr>
        <w:t xml:space="preserve">medium_seed42</w:t>
      </w:r>
      <w:r>
        <w:t xml:space="preserve">.</w:t>
      </w:r>
    </w:p>
    <w:p>
      <w:pPr>
        <w:pStyle w:val="BodyText"/>
      </w:pPr>
      <w:r>
        <w:rPr>
          <w:b/>
          <w:bCs/>
          <w:i/>
          <w:iCs/>
        </w:rPr>
        <w:t xml:space="preserve">Tabla 9.</w:t>
      </w:r>
      <w:r>
        <w:rPr>
          <w:i/>
          <w:iCs/>
        </w:rPr>
        <w:t xml:space="preserve"> </w:t>
      </w:r>
      <w:r>
        <w:rPr>
          <w:i/>
          <w:iCs/>
        </w:rPr>
        <w:t xml:space="preserve">Análisis de sensibilidad — impacto de perturbaciones paramétricas en</w:t>
      </w:r>
      <w:r>
        <w:rPr>
          <w:i/>
          <w:iCs/>
        </w:rPr>
        <w:t xml:space="preserve"> </w:t>
      </w:r>
      <m:oMath>
        <m:r>
          <m:t>Z</m:t>
        </m:r>
      </m:oMath>
    </w:p>
    <w:tbl>
      <w:tblPr>
        <w:tblStyle w:val="Table"/>
        <w:tblW w:type="pct" w:w="5000"/>
        <w:tblLayout w:type="fixed"/>
        <w:tblLook w:firstRow="1" w:lastRow="0" w:firstColumn="0" w:lastColumn="0" w:noHBand="0" w:noVBand="0" w:val="0020"/>
      </w:tblPr>
      <w:tblGrid>
        <w:gridCol w:w="1300"/>
        <w:gridCol w:w="1182"/>
        <w:gridCol w:w="2127"/>
        <w:gridCol w:w="1654"/>
        <w:gridCol w:w="1654"/>
      </w:tblGrid>
      <w:tr>
        <w:trPr>
          <w:tblHeader w:val="on"/>
        </w:trPr>
        <w:tc>
          <w:tcPr/>
          <w:p>
            <w:pPr>
              <w:pStyle w:val="Compact"/>
            </w:pPr>
            <w:r>
              <w:t xml:space="preserve">Parámetro</w:t>
            </w:r>
          </w:p>
        </w:tc>
        <w:tc>
          <w:tcPr/>
          <w:p>
            <w:pPr>
              <w:pStyle w:val="Compact"/>
              <w:jc w:val="center"/>
            </w:pPr>
            <m:oMath>
              <m:r>
                <m:rPr>
                  <m:sty m:val="p"/>
                </m:rPr>
                <m:t>Δ</m:t>
              </m:r>
            </m:oMath>
          </w:p>
        </w:tc>
        <w:tc>
          <w:tcPr/>
          <w:p>
            <w:pPr>
              <w:pStyle w:val="Compact"/>
              <w:jc w:val="center"/>
            </w:pPr>
            <m:oMath>
              <m:acc>
                <m:accPr>
                  <m:chr m:val="‾"/>
                </m:accPr>
                <m:e>
                  <m:r>
                    <m:t>Z</m:t>
                  </m:r>
                </m:e>
              </m:acc>
            </m:oMath>
            <w:r>
              <w:t xml:space="preserve"> </w:t>
            </w:r>
            <w:r>
              <w:t xml:space="preserve">(COP)</w:t>
            </w:r>
          </w:p>
        </w:tc>
        <w:tc>
          <w:tcPr/>
          <w:p>
            <w:pPr>
              <w:pStyle w:val="Compact"/>
              <w:jc w:val="center"/>
            </w:pPr>
            <w:r>
              <w:t xml:space="preserve">Gap% vs base</w:t>
            </w:r>
          </w:p>
        </w:tc>
        <w:tc>
          <w:tcPr/>
          <w:p>
            <w:pPr>
              <w:pStyle w:val="Compact"/>
              <w:jc w:val="center"/>
            </w:pPr>
            <w:r>
              <w:t xml:space="preserve">Factibilidad</w:t>
            </w:r>
          </w:p>
        </w:tc>
      </w:tr>
      <w:tr>
        <w:tc>
          <w:tcPr/>
          <w:p>
            <w:pPr>
              <w:pStyle w:val="Compact"/>
            </w:pPr>
            <w:r>
              <w:t xml:space="preserve">Precios</w:t>
            </w:r>
          </w:p>
        </w:tc>
        <w:tc>
          <w:tcPr/>
          <w:p>
            <w:pPr>
              <w:pStyle w:val="Compact"/>
              <w:jc w:val="center"/>
            </w:pPr>
            <w:r>
              <w:t xml:space="preserve">−20%</w:t>
            </w:r>
          </w:p>
        </w:tc>
        <w:tc>
          <w:tcPr/>
          <w:p>
            <w:pPr>
              <w:pStyle w:val="Compact"/>
              <w:jc w:val="center"/>
            </w:pPr>
            <w:r>
              <w:t xml:space="preserve">411,781,441</w:t>
            </w:r>
          </w:p>
        </w:tc>
        <w:tc>
          <w:tcPr/>
          <w:p>
            <w:pPr>
              <w:pStyle w:val="Compact"/>
              <w:jc w:val="center"/>
            </w:pPr>
            <w:r>
              <w:t xml:space="preserve">+25.35%</w:t>
            </w:r>
          </w:p>
        </w:tc>
        <w:tc>
          <w:tcPr/>
          <w:p>
            <w:pPr>
              <w:pStyle w:val="Compact"/>
              <w:jc w:val="center"/>
            </w:pPr>
            <w:r>
              <w:t xml:space="preserve">100%</w:t>
            </w:r>
          </w:p>
        </w:tc>
      </w:tr>
      <w:tr>
        <w:tc>
          <w:tcPr/>
          <w:p>
            <w:pPr>
              <w:pStyle w:val="Compact"/>
            </w:pPr>
            <w:r>
              <w:t xml:space="preserve">Precios</w:t>
            </w:r>
          </w:p>
        </w:tc>
        <w:tc>
          <w:tcPr/>
          <w:p>
            <w:pPr>
              <w:pStyle w:val="Compact"/>
              <w:jc w:val="center"/>
            </w:pPr>
            <w:r>
              <w:t xml:space="preserve">−10%</w:t>
            </w:r>
          </w:p>
        </w:tc>
        <w:tc>
          <w:tcPr/>
          <w:p>
            <w:pPr>
              <w:pStyle w:val="Compact"/>
              <w:jc w:val="center"/>
            </w:pPr>
            <w:r>
              <w:t xml:space="preserve">481,696,520</w:t>
            </w:r>
          </w:p>
        </w:tc>
        <w:tc>
          <w:tcPr/>
          <w:p>
            <w:pPr>
              <w:pStyle w:val="Compact"/>
              <w:jc w:val="center"/>
            </w:pPr>
            <w:r>
              <w:t xml:space="preserve">+12.67%</w:t>
            </w:r>
          </w:p>
        </w:tc>
        <w:tc>
          <w:tcPr/>
          <w:p>
            <w:pPr>
              <w:pStyle w:val="Compact"/>
              <w:jc w:val="center"/>
            </w:pPr>
            <w:r>
              <w:t xml:space="preserve">100%</w:t>
            </w:r>
          </w:p>
        </w:tc>
      </w:tr>
      <w:tr>
        <w:tc>
          <w:tcPr/>
          <w:p>
            <w:pPr>
              <w:pStyle w:val="Compact"/>
            </w:pPr>
            <w:r>
              <w:t xml:space="preserve">Precios</w:t>
            </w:r>
          </w:p>
        </w:tc>
        <w:tc>
          <w:tcPr/>
          <w:p>
            <w:pPr>
              <w:pStyle w:val="Compact"/>
              <w:jc w:val="center"/>
            </w:pPr>
            <w:r>
              <w:t xml:space="preserve">0%</w:t>
            </w:r>
          </w:p>
        </w:tc>
        <w:tc>
          <w:tcPr/>
          <w:p>
            <w:pPr>
              <w:pStyle w:val="Compact"/>
              <w:jc w:val="center"/>
            </w:pPr>
            <w:r>
              <w:t xml:space="preserve">551,611,598</w:t>
            </w:r>
          </w:p>
        </w:tc>
        <w:tc>
          <w:tcPr/>
          <w:p>
            <w:pPr>
              <w:pStyle w:val="Compact"/>
              <w:jc w:val="center"/>
            </w:pPr>
            <w:r>
              <w:t xml:space="preserve">0.00%</w:t>
            </w:r>
          </w:p>
        </w:tc>
        <w:tc>
          <w:tcPr/>
          <w:p>
            <w:pPr>
              <w:pStyle w:val="Compact"/>
              <w:jc w:val="center"/>
            </w:pPr>
            <w:r>
              <w:t xml:space="preserve">100%</w:t>
            </w:r>
          </w:p>
        </w:tc>
      </w:tr>
      <w:tr>
        <w:tc>
          <w:tcPr/>
          <w:p>
            <w:pPr>
              <w:pStyle w:val="Compact"/>
            </w:pPr>
            <w:r>
              <w:t xml:space="preserve">Precios</w:t>
            </w:r>
          </w:p>
        </w:tc>
        <w:tc>
          <w:tcPr/>
          <w:p>
            <w:pPr>
              <w:pStyle w:val="Compact"/>
              <w:jc w:val="center"/>
            </w:pPr>
            <w:r>
              <w:t xml:space="preserve">+10%</w:t>
            </w:r>
          </w:p>
        </w:tc>
        <w:tc>
          <w:tcPr/>
          <w:p>
            <w:pPr>
              <w:pStyle w:val="Compact"/>
              <w:jc w:val="center"/>
            </w:pPr>
            <w:r>
              <w:t xml:space="preserve">621,526,676</w:t>
            </w:r>
          </w:p>
        </w:tc>
        <w:tc>
          <w:tcPr/>
          <w:p>
            <w:pPr>
              <w:pStyle w:val="Compact"/>
              <w:jc w:val="center"/>
            </w:pPr>
            <w:r>
              <w:t xml:space="preserve">−12.67%</w:t>
            </w:r>
          </w:p>
        </w:tc>
        <w:tc>
          <w:tcPr/>
          <w:p>
            <w:pPr>
              <w:pStyle w:val="Compact"/>
              <w:jc w:val="center"/>
            </w:pPr>
            <w:r>
              <w:t xml:space="preserve">100%</w:t>
            </w:r>
          </w:p>
        </w:tc>
      </w:tr>
      <w:tr>
        <w:tc>
          <w:tcPr/>
          <w:p>
            <w:pPr>
              <w:pStyle w:val="Compact"/>
            </w:pPr>
            <w:r>
              <w:t xml:space="preserve">Precios</w:t>
            </w:r>
          </w:p>
        </w:tc>
        <w:tc>
          <w:tcPr/>
          <w:p>
            <w:pPr>
              <w:pStyle w:val="Compact"/>
              <w:jc w:val="center"/>
            </w:pPr>
            <w:r>
              <w:t xml:space="preserve">+20%</w:t>
            </w:r>
          </w:p>
        </w:tc>
        <w:tc>
          <w:tcPr/>
          <w:p>
            <w:pPr>
              <w:pStyle w:val="Compact"/>
              <w:jc w:val="center"/>
            </w:pPr>
            <w:r>
              <w:t xml:space="preserve">691,441,754</w:t>
            </w:r>
          </w:p>
        </w:tc>
        <w:tc>
          <w:tcPr/>
          <w:p>
            <w:pPr>
              <w:pStyle w:val="Compact"/>
              <w:jc w:val="center"/>
            </w:pPr>
            <w:r>
              <w:t xml:space="preserve">−25.35%</w:t>
            </w:r>
          </w:p>
        </w:tc>
        <w:tc>
          <w:tcPr/>
          <w:p>
            <w:pPr>
              <w:pStyle w:val="Compact"/>
              <w:jc w:val="center"/>
            </w:pPr>
            <w:r>
              <w:t xml:space="preserve">100%</w:t>
            </w:r>
          </w:p>
        </w:tc>
      </w:tr>
      <w:tr>
        <w:tc>
          <w:tcPr/>
          <w:p>
            <w:pPr>
              <w:pStyle w:val="Compact"/>
            </w:pPr>
            <w:r>
              <w:t xml:space="preserve">Costos</w:t>
            </w:r>
          </w:p>
        </w:tc>
        <w:tc>
          <w:tcPr/>
          <w:p>
            <w:pPr>
              <w:pStyle w:val="Compact"/>
              <w:jc w:val="center"/>
            </w:pPr>
            <w:r>
              <w:t xml:space="preserve">−20%</w:t>
            </w:r>
          </w:p>
        </w:tc>
        <w:tc>
          <w:tcPr/>
          <w:p>
            <w:pPr>
              <w:pStyle w:val="Compact"/>
              <w:jc w:val="center"/>
            </w:pPr>
            <w:r>
              <w:t xml:space="preserve">581,119,434</w:t>
            </w:r>
          </w:p>
        </w:tc>
        <w:tc>
          <w:tcPr/>
          <w:p>
            <w:pPr>
              <w:pStyle w:val="Compact"/>
              <w:jc w:val="center"/>
            </w:pPr>
            <w:r>
              <w:t xml:space="preserve">−5.35%</w:t>
            </w:r>
          </w:p>
        </w:tc>
        <w:tc>
          <w:tcPr/>
          <w:p>
            <w:pPr>
              <w:pStyle w:val="Compact"/>
              <w:jc w:val="center"/>
            </w:pPr>
            <w:r>
              <w:t xml:space="preserve">100%</w:t>
            </w:r>
          </w:p>
        </w:tc>
      </w:tr>
      <w:tr>
        <w:tc>
          <w:tcPr/>
          <w:p>
            <w:pPr>
              <w:pStyle w:val="Compact"/>
            </w:pPr>
            <w:r>
              <w:t xml:space="preserve">Costos</w:t>
            </w:r>
          </w:p>
        </w:tc>
        <w:tc>
          <w:tcPr/>
          <w:p>
            <w:pPr>
              <w:pStyle w:val="Compact"/>
              <w:jc w:val="center"/>
            </w:pPr>
            <w:r>
              <w:t xml:space="preserve">−10%</w:t>
            </w:r>
          </w:p>
        </w:tc>
        <w:tc>
          <w:tcPr/>
          <w:p>
            <w:pPr>
              <w:pStyle w:val="Compact"/>
              <w:jc w:val="center"/>
            </w:pPr>
            <w:r>
              <w:t xml:space="preserve">566,365,516</w:t>
            </w:r>
          </w:p>
        </w:tc>
        <w:tc>
          <w:tcPr/>
          <w:p>
            <w:pPr>
              <w:pStyle w:val="Compact"/>
              <w:jc w:val="center"/>
            </w:pPr>
            <w:r>
              <w:t xml:space="preserve">−2.67%</w:t>
            </w:r>
          </w:p>
        </w:tc>
        <w:tc>
          <w:tcPr/>
          <w:p>
            <w:pPr>
              <w:pStyle w:val="Compact"/>
              <w:jc w:val="center"/>
            </w:pPr>
            <w:r>
              <w:t xml:space="preserve">100%</w:t>
            </w:r>
          </w:p>
        </w:tc>
      </w:tr>
      <w:tr>
        <w:tc>
          <w:tcPr/>
          <w:p>
            <w:pPr>
              <w:pStyle w:val="Compact"/>
            </w:pPr>
            <w:r>
              <w:t xml:space="preserve">Costos</w:t>
            </w:r>
          </w:p>
        </w:tc>
        <w:tc>
          <w:tcPr/>
          <w:p>
            <w:pPr>
              <w:pStyle w:val="Compact"/>
              <w:jc w:val="center"/>
            </w:pPr>
            <w:r>
              <w:t xml:space="preserve">+10%</w:t>
            </w:r>
          </w:p>
        </w:tc>
        <w:tc>
          <w:tcPr/>
          <w:p>
            <w:pPr>
              <w:pStyle w:val="Compact"/>
              <w:jc w:val="center"/>
            </w:pPr>
            <w:r>
              <w:t xml:space="preserve">536,857,679</w:t>
            </w:r>
          </w:p>
        </w:tc>
        <w:tc>
          <w:tcPr/>
          <w:p>
            <w:pPr>
              <w:pStyle w:val="Compact"/>
              <w:jc w:val="center"/>
            </w:pPr>
            <w:r>
              <w:t xml:space="preserve">+2.67%</w:t>
            </w:r>
          </w:p>
        </w:tc>
        <w:tc>
          <w:tcPr/>
          <w:p>
            <w:pPr>
              <w:pStyle w:val="Compact"/>
              <w:jc w:val="center"/>
            </w:pPr>
            <w:r>
              <w:t xml:space="preserve">100%</w:t>
            </w:r>
          </w:p>
        </w:tc>
      </w:tr>
      <w:tr>
        <w:tc>
          <w:tcPr/>
          <w:p>
            <w:pPr>
              <w:pStyle w:val="Compact"/>
            </w:pPr>
            <w:r>
              <w:t xml:space="preserve">Costos</w:t>
            </w:r>
          </w:p>
        </w:tc>
        <w:tc>
          <w:tcPr/>
          <w:p>
            <w:pPr>
              <w:pStyle w:val="Compact"/>
              <w:jc w:val="center"/>
            </w:pPr>
            <w:r>
              <w:t xml:space="preserve">+20%</w:t>
            </w:r>
          </w:p>
        </w:tc>
        <w:tc>
          <w:tcPr/>
          <w:p>
            <w:pPr>
              <w:pStyle w:val="Compact"/>
              <w:jc w:val="center"/>
            </w:pPr>
            <w:r>
              <w:t xml:space="preserve">522,103,761</w:t>
            </w:r>
          </w:p>
        </w:tc>
        <w:tc>
          <w:tcPr/>
          <w:p>
            <w:pPr>
              <w:pStyle w:val="Compact"/>
              <w:jc w:val="center"/>
            </w:pPr>
            <w:r>
              <w:t xml:space="preserve">+5.35%</w:t>
            </w:r>
          </w:p>
        </w:tc>
        <w:tc>
          <w:tcPr/>
          <w:p>
            <w:pPr>
              <w:pStyle w:val="Compact"/>
              <w:jc w:val="center"/>
            </w:pPr>
            <w:r>
              <w:t xml:space="preserve">100%</w:t>
            </w:r>
          </w:p>
        </w:tc>
      </w:tr>
      <w:tr>
        <w:tc>
          <w:tcPr/>
          <w:p>
            <w:pPr>
              <w:pStyle w:val="Compact"/>
            </w:pPr>
            <w:r>
              <w:t xml:space="preserve">Var. demanda</w:t>
            </w:r>
          </w:p>
        </w:tc>
        <w:tc>
          <w:tcPr/>
          <w:p>
            <w:pPr>
              <w:pStyle w:val="Compact"/>
              <w:jc w:val="center"/>
            </w:pPr>
            <w:r>
              <w:t xml:space="preserve">−50%</w:t>
            </w:r>
          </w:p>
        </w:tc>
        <w:tc>
          <w:tcPr/>
          <w:p>
            <w:pPr>
              <w:pStyle w:val="Compact"/>
              <w:jc w:val="center"/>
            </w:pPr>
            <w:r>
              <w:t xml:space="preserve">551,742,773</w:t>
            </w:r>
          </w:p>
        </w:tc>
        <w:tc>
          <w:tcPr/>
          <w:p>
            <w:pPr>
              <w:pStyle w:val="Compact"/>
              <w:jc w:val="center"/>
            </w:pPr>
            <w:r>
              <w:t xml:space="preserve">−0.02%</w:t>
            </w:r>
          </w:p>
        </w:tc>
        <w:tc>
          <w:tcPr/>
          <w:p>
            <w:pPr>
              <w:pStyle w:val="Compact"/>
              <w:jc w:val="center"/>
            </w:pPr>
            <w:r>
              <w:t xml:space="preserve">100%</w:t>
            </w:r>
          </w:p>
        </w:tc>
      </w:tr>
      <w:tr>
        <w:tc>
          <w:tcPr/>
          <w:p>
            <w:pPr>
              <w:pStyle w:val="Compact"/>
            </w:pPr>
            <w:r>
              <w:t xml:space="preserve">Var. demanda</w:t>
            </w:r>
          </w:p>
        </w:tc>
        <w:tc>
          <w:tcPr/>
          <w:p>
            <w:pPr>
              <w:pStyle w:val="Compact"/>
              <w:jc w:val="center"/>
            </w:pPr>
            <w:r>
              <w:t xml:space="preserve">−25%</w:t>
            </w:r>
          </w:p>
        </w:tc>
        <w:tc>
          <w:tcPr/>
          <w:p>
            <w:pPr>
              <w:pStyle w:val="Compact"/>
              <w:jc w:val="center"/>
            </w:pPr>
            <w:r>
              <w:t xml:space="preserve">551,741,184</w:t>
            </w:r>
          </w:p>
        </w:tc>
        <w:tc>
          <w:tcPr/>
          <w:p>
            <w:pPr>
              <w:pStyle w:val="Compact"/>
              <w:jc w:val="center"/>
            </w:pPr>
            <w:r>
              <w:t xml:space="preserve">−0.02%</w:t>
            </w:r>
          </w:p>
        </w:tc>
        <w:tc>
          <w:tcPr/>
          <w:p>
            <w:pPr>
              <w:pStyle w:val="Compact"/>
              <w:jc w:val="center"/>
            </w:pPr>
            <w:r>
              <w:t xml:space="preserve">100%</w:t>
            </w:r>
          </w:p>
        </w:tc>
      </w:tr>
      <w:tr>
        <w:tc>
          <w:tcPr/>
          <w:p>
            <w:pPr>
              <w:pStyle w:val="Compact"/>
            </w:pPr>
            <w:r>
              <w:t xml:space="preserve">Var. demanda</w:t>
            </w:r>
          </w:p>
        </w:tc>
        <w:tc>
          <w:tcPr/>
          <w:p>
            <w:pPr>
              <w:pStyle w:val="Compact"/>
              <w:jc w:val="center"/>
            </w:pPr>
            <w:r>
              <w:t xml:space="preserve">+25%</w:t>
            </w:r>
          </w:p>
        </w:tc>
        <w:tc>
          <w:tcPr/>
          <w:p>
            <w:pPr>
              <w:pStyle w:val="Compact"/>
              <w:jc w:val="center"/>
            </w:pPr>
            <w:r>
              <w:t xml:space="preserve">550,856,531</w:t>
            </w:r>
          </w:p>
        </w:tc>
        <w:tc>
          <w:tcPr/>
          <w:p>
            <w:pPr>
              <w:pStyle w:val="Compact"/>
              <w:jc w:val="center"/>
            </w:pPr>
            <w:r>
              <w:t xml:space="preserve">+0.14%</w:t>
            </w:r>
          </w:p>
        </w:tc>
        <w:tc>
          <w:tcPr/>
          <w:p>
            <w:pPr>
              <w:pStyle w:val="Compact"/>
              <w:jc w:val="center"/>
            </w:pPr>
            <w:r>
              <w:t xml:space="preserve">100%</w:t>
            </w:r>
          </w:p>
        </w:tc>
      </w:tr>
      <w:tr>
        <w:tc>
          <w:tcPr/>
          <w:p>
            <w:pPr>
              <w:pStyle w:val="Compact"/>
            </w:pPr>
            <w:r>
              <w:t xml:space="preserve">Var. demanda</w:t>
            </w:r>
          </w:p>
        </w:tc>
        <w:tc>
          <w:tcPr/>
          <w:p>
            <w:pPr>
              <w:pStyle w:val="Compact"/>
              <w:jc w:val="center"/>
            </w:pPr>
            <w:r>
              <w:t xml:space="preserve">+50%</w:t>
            </w:r>
          </w:p>
        </w:tc>
        <w:tc>
          <w:tcPr/>
          <w:p>
            <w:pPr>
              <w:pStyle w:val="Compact"/>
              <w:jc w:val="center"/>
            </w:pPr>
            <w:r>
              <w:t xml:space="preserve">549,659,211</w:t>
            </w:r>
          </w:p>
        </w:tc>
        <w:tc>
          <w:tcPr/>
          <w:p>
            <w:pPr>
              <w:pStyle w:val="Compact"/>
              <w:jc w:val="center"/>
            </w:pPr>
            <w:r>
              <w:t xml:space="preserve">+0.35%</w:t>
            </w:r>
          </w:p>
        </w:tc>
        <w:tc>
          <w:tcPr/>
          <w:p>
            <w:pPr>
              <w:pStyle w:val="Compact"/>
              <w:jc w:val="center"/>
            </w:pPr>
            <w:r>
              <w:t xml:space="preserve">100%</w:t>
            </w:r>
          </w:p>
        </w:tc>
      </w:tr>
    </w:tbl>
    <w:p>
      <w:pPr>
        <w:pStyle w:val="BodyText"/>
      </w:pPr>
      <w:r>
        <w:rPr>
          <w:b/>
          <w:bCs/>
        </w:rPr>
        <w:t xml:space="preserve">Hallazgos principales:</w:t>
      </w:r>
    </w:p>
    <w:p>
      <w:pPr>
        <w:pStyle w:val="Compact"/>
        <w:numPr>
          <w:ilvl w:val="0"/>
          <w:numId w:val="1030"/>
        </w:numPr>
      </w:pPr>
      <w:r>
        <w:rPr>
          <w:b/>
          <w:bCs/>
        </w:rPr>
        <w:t xml:space="preserve">Precios</w:t>
      </w:r>
      <w:r>
        <w:t xml:space="preserve"> </w:t>
      </w:r>
      <w:r>
        <w:t xml:space="preserve">es el parámetro más sensible: ±10% en precios produce ±12.67% en</w:t>
      </w:r>
      <w:r>
        <w:t xml:space="preserve"> </w:t>
      </w:r>
      <m:oMath>
        <m:r>
          <m:t>Z</m:t>
        </m:r>
      </m:oMath>
      <w:r>
        <w:t xml:space="preserve">. Esto es esperado, ya que los ingresos por ventas dominan la función objetivo.</w:t>
      </w:r>
    </w:p>
    <w:p>
      <w:pPr>
        <w:pStyle w:val="Compact"/>
        <w:numPr>
          <w:ilvl w:val="0"/>
          <w:numId w:val="1030"/>
        </w:numPr>
      </w:pPr>
      <w:r>
        <w:rPr>
          <w:b/>
          <w:bCs/>
        </w:rPr>
        <w:t xml:space="preserve">Costos</w:t>
      </w:r>
      <w:r>
        <w:t xml:space="preserve"> </w:t>
      </w:r>
      <w:r>
        <w:t xml:space="preserve">tiene sensibilidad moderada: ±10% produce ±2.67% en</w:t>
      </w:r>
      <w:r>
        <w:t xml:space="preserve"> </w:t>
      </w:r>
      <m:oMath>
        <m:r>
          <m:t>Z</m:t>
        </m:r>
      </m:oMath>
      <w:r>
        <w:t xml:space="preserve">.</w:t>
      </w:r>
    </w:p>
    <w:p>
      <w:pPr>
        <w:pStyle w:val="Compact"/>
        <w:numPr>
          <w:ilvl w:val="0"/>
          <w:numId w:val="1030"/>
        </w:numPr>
      </w:pPr>
      <w:r>
        <w:rPr>
          <w:b/>
          <w:bCs/>
        </w:rPr>
        <w:t xml:space="preserve">Variabilidad de demanda</w:t>
      </w:r>
      <w:r>
        <w:t xml:space="preserve"> </w:t>
      </w:r>
      <w:r>
        <w:t xml:space="preserve">tiene impacto negligible (±0.35% máximo), indicando que la solución es</w:t>
      </w:r>
      <w:r>
        <w:t xml:space="preserve"> </w:t>
      </w:r>
      <w:r>
        <w:rPr>
          <w:b/>
          <w:bCs/>
        </w:rPr>
        <w:t xml:space="preserve">robusta</w:t>
      </w:r>
      <w:r>
        <w:t xml:space="preserve"> </w:t>
      </w:r>
      <w:r>
        <w:t xml:space="preserve">ante cambios en la incertidumbre.</w:t>
      </w:r>
    </w:p>
    <w:p>
      <w:pPr>
        <w:pStyle w:val="Compact"/>
        <w:numPr>
          <w:ilvl w:val="0"/>
          <w:numId w:val="1030"/>
        </w:numPr>
      </w:pPr>
      <w:r>
        <w:rPr>
          <w:b/>
          <w:bCs/>
        </w:rPr>
        <w:t xml:space="preserve">100% de factibilidad</w:t>
      </w:r>
      <w:r>
        <w:t xml:space="preserve"> </w:t>
      </w:r>
      <w:r>
        <w:t xml:space="preserve">en todas las configuraciones, confirmando la robustez del decodificador greedy.</w:t>
      </w:r>
    </w:p>
    <w:bookmarkEnd w:id="99"/>
    <w:bookmarkStart w:id="103" w:name="análisis-de-diversidad-poblacional"/>
    <w:p>
      <w:pPr>
        <w:pStyle w:val="Heading3"/>
      </w:pPr>
      <w:r>
        <w:t xml:space="preserve">7.9. Análisis de Diversidad Poblacional</w:t>
      </w:r>
    </w:p>
    <w:p>
      <w:pPr>
        <w:pStyle w:val="CaptionedFigure"/>
      </w:pPr>
      <w:r>
        <w:drawing>
          <wp:inline>
            <wp:extent cx="4267200" cy="2844800"/>
            <wp:effectExtent b="0" l="0" r="0" t="0"/>
            <wp:docPr descr="Diversity profiles por algoritmo" title="" id="101" name="Picture"/>
            <a:graphic>
              <a:graphicData uri="http://schemas.openxmlformats.org/drawingml/2006/picture">
                <pic:pic>
                  <pic:nvPicPr>
                    <pic:cNvPr descr="figuras/diversity_profiles.png" id="102" name="Picture"/>
                    <pic:cNvPicPr>
                      <a:picLocks noChangeArrowheads="1" noChangeAspect="1"/>
                    </pic:cNvPicPr>
                  </pic:nvPicPr>
                  <pic:blipFill>
                    <a:blip r:embed="rId100"/>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Diversity profiles por algoritmo</w:t>
      </w:r>
    </w:p>
    <w:p>
      <w:pPr>
        <w:pStyle w:val="BodyText"/>
      </w:pPr>
      <w:r>
        <w:rPr>
          <w:b/>
          <w:bCs/>
          <w:i/>
          <w:iCs/>
        </w:rPr>
        <w:t xml:space="preserve">Figura 17.</w:t>
      </w:r>
      <w:r>
        <w:rPr>
          <w:i/>
          <w:iCs/>
        </w:rPr>
        <w:t xml:space="preserve"> </w:t>
      </w:r>
      <w:r>
        <w:rPr>
          <w:i/>
          <w:iCs/>
        </w:rPr>
        <w:t xml:space="preserve">Perfiles de diversidad poblacional. GA-SA mantiene mayor diversidad que GA puro gracias al efecto disruptivo de la búsqueda local SA. DE muestra diversidad estable por su mecanismo de mutación diferencial.</w:t>
      </w:r>
    </w:p>
    <w:bookmarkEnd w:id="103"/>
    <w:bookmarkStart w:id="107" w:name="análisis-de-complejidad-computacional"/>
    <w:p>
      <w:pPr>
        <w:pStyle w:val="Heading3"/>
      </w:pPr>
      <w:r>
        <w:t xml:space="preserve">7.10. Análisis de Complejidad Computacional</w:t>
      </w:r>
    </w:p>
    <w:p>
      <w:pPr>
        <w:pStyle w:val="CaptionedFigure"/>
      </w:pPr>
      <w:r>
        <w:drawing>
          <wp:inline>
            <wp:extent cx="4533900" cy="2720340"/>
            <wp:effectExtent b="0" l="0" r="0" t="0"/>
            <wp:docPr descr="cProfile breakdown por componente" title="" id="105" name="Picture"/>
            <a:graphic>
              <a:graphicData uri="http://schemas.openxmlformats.org/drawingml/2006/picture">
                <pic:pic>
                  <pic:nvPicPr>
                    <pic:cNvPr descr="figuras/cprofile_component_breakdown.png" id="106" name="Picture"/>
                    <pic:cNvPicPr>
                      <a:picLocks noChangeArrowheads="1" noChangeAspect="1"/>
                    </pic:cNvPicPr>
                  </pic:nvPicPr>
                  <pic:blipFill>
                    <a:blip r:embed="rId104"/>
                    <a:stretch>
                      <a:fillRect/>
                    </a:stretch>
                  </pic:blipFill>
                  <pic:spPr bwMode="auto">
                    <a:xfrm>
                      <a:off x="0" y="0"/>
                      <a:ext cx="4533900" cy="2720340"/>
                    </a:xfrm>
                    <a:prstGeom prst="rect">
                      <a:avLst/>
                    </a:prstGeom>
                    <a:noFill/>
                    <a:ln w="9525">
                      <a:noFill/>
                      <a:headEnd/>
                      <a:tailEnd/>
                    </a:ln>
                  </pic:spPr>
                </pic:pic>
              </a:graphicData>
            </a:graphic>
          </wp:inline>
        </w:drawing>
      </w:r>
    </w:p>
    <w:p>
      <w:pPr>
        <w:pStyle w:val="ImageCaption"/>
      </w:pPr>
      <w:r>
        <w:t xml:space="preserve">cProfile breakdown por componente</w:t>
      </w:r>
    </w:p>
    <w:p>
      <w:pPr>
        <w:pStyle w:val="BodyText"/>
      </w:pPr>
      <w:r>
        <w:rPr>
          <w:b/>
          <w:bCs/>
          <w:i/>
          <w:iCs/>
        </w:rPr>
        <w:t xml:space="preserve">Figura 18.</w:t>
      </w:r>
      <w:r>
        <w:rPr>
          <w:i/>
          <w:iCs/>
        </w:rPr>
        <w:t xml:space="preserve"> </w:t>
      </w:r>
      <w:r>
        <w:rPr>
          <w:i/>
          <w:iCs/>
        </w:rPr>
        <w:t xml:space="preserve">Desglose del tiempo computacional por componente (cProfile). El decodificador greedy domina el tiempo de evaluación, seguido por los operadores genéticos. La calibración de temperatura en SA tiene un costo fijo significativo.</w:t>
      </w:r>
    </w:p>
    <w:bookmarkEnd w:id="107"/>
    <w:bookmarkStart w:id="108" w:name="discusión"/>
    <w:p>
      <w:pPr>
        <w:pStyle w:val="Heading3"/>
      </w:pPr>
      <w:r>
        <w:t xml:space="preserve">7.11. Discusión</w:t>
      </w:r>
    </w:p>
    <w:p>
      <w:pPr>
        <w:pStyle w:val="FirstParagraph"/>
      </w:pPr>
      <w:r>
        <w:t xml:space="preserve">Los resultados confirman una jerarquía práctica consistente con</w:t>
      </w:r>
      <w:r>
        <w:t xml:space="preserve"> </w:t>
      </w:r>
      <w:r>
        <w:rPr>
          <w:b/>
          <w:bCs/>
        </w:rPr>
        <w:t xml:space="preserve">Akbari-Aghghaleh et al.</w:t>
      </w:r>
      <w:r>
        <w:t xml:space="preserve"> </w:t>
      </w:r>
      <w:r>
        <w:t xml:space="preserve">[15]</w:t>
      </w:r>
      <w:r>
        <w:t xml:space="preserve">, pero con matices:</w:t>
      </w:r>
      <w:r>
        <w:t xml:space="preserve"> </w:t>
      </w:r>
      <w:r>
        <w:rPr>
          <w:b/>
          <w:bCs/>
        </w:rPr>
        <w:t xml:space="preserve">GA-SA y DE quedan casi empatados</w:t>
      </w:r>
      <w:r>
        <w:t xml:space="preserve">, GA en tercer lugar y SA por debajo en calidad. La inferencia cambia según el enfoque estadístico: ANOVA por corridas no detecta diferencia global (</w:t>
      </w:r>
      <m:oMath>
        <m:r>
          <m:t>p</m:t>
        </m:r>
        <m:r>
          <m:rPr>
            <m:sty m:val="p"/>
          </m:rPr>
          <m:t>=</m:t>
        </m:r>
        <m:r>
          <m:t>0.855</m:t>
        </m:r>
      </m:oMath>
      <w:r>
        <w:t xml:space="preserve">), mientras Friedman por instancia sí (</w:t>
      </w:r>
      <m:oMath>
        <m:r>
          <m:t>p</m:t>
        </m:r>
        <m:r>
          <m:rPr>
            <m:sty m:val="p"/>
          </m:rPr>
          <m:t>=</m:t>
        </m:r>
        <m:r>
          <m:t>0.0011</m:t>
        </m:r>
      </m:oMath>
      <w:r>
        <w:t xml:space="preserve">), con diferencias principalmente asociadas a SA frente a {DE, GA-SA}. Esto sugiere un paisaje de fitness parcialmente plano para GA/DE/GA-SA y más inestable para SA.</w:t>
      </w:r>
    </w:p>
    <w:p>
      <w:pPr>
        <w:pStyle w:val="BodyText"/>
      </w:pPr>
      <w:r>
        <w:t xml:space="preserve">Comparado con</w:t>
      </w:r>
      <w:r>
        <w:t xml:space="preserve"> </w:t>
      </w:r>
      <w:r>
        <w:rPr>
          <w:b/>
          <w:bCs/>
        </w:rPr>
        <w:t xml:space="preserve">Solano-Blanco et al.</w:t>
      </w:r>
      <w:r>
        <w:t xml:space="preserve"> </w:t>
      </w:r>
      <w:r>
        <w:t xml:space="preserve">[3]</w:t>
      </w:r>
      <w:r>
        <w:t xml:space="preserve">, quienes reportaron mejoras del 8.6% con MILP estocástico, nuestras metaheurísticas alcanzan mejoras modestas del 0.59–1.10% sobre el baseline. Esta diferencia se explica por:</w:t>
      </w:r>
    </w:p>
    <w:p>
      <w:pPr>
        <w:pStyle w:val="Compact"/>
        <w:numPr>
          <w:ilvl w:val="0"/>
          <w:numId w:val="1031"/>
        </w:numPr>
      </w:pPr>
      <w:r>
        <w:rPr>
          <w:b/>
          <w:bCs/>
        </w:rPr>
        <w:t xml:space="preserve">Diferente baseline:</w:t>
      </w:r>
      <w:r>
        <w:t xml:space="preserve"> </w:t>
      </w:r>
      <w:r>
        <w:t xml:space="preserve">Solano-Blanco et al. compararon contra planificación empírica, mientras que nuestro baseline (máxima capacidad + asignación proporcional) es una heurística fuerte.</w:t>
      </w:r>
    </w:p>
    <w:p>
      <w:pPr>
        <w:pStyle w:val="Compact"/>
        <w:numPr>
          <w:ilvl w:val="0"/>
          <w:numId w:val="1031"/>
        </w:numPr>
      </w:pPr>
      <w:r>
        <w:rPr>
          <w:b/>
          <w:bCs/>
        </w:rPr>
        <w:t xml:space="preserve">Estructura del problema:</w:t>
      </w:r>
      <w:r>
        <w:t xml:space="preserve"> </w:t>
      </w:r>
      <w:r>
        <w:t xml:space="preserve">En nuestro modelo, la demanda total frecuentemente supera la capacidad de producción, haciendo que producir a</w:t>
      </w:r>
      <w:r>
        <w:t xml:space="preserve"> </w:t>
      </w:r>
      <m:oMath>
        <m:sSup>
          <m:e>
            <m:r>
              <m:t>Q</m:t>
            </m:r>
          </m:e>
          <m:sup>
            <m:r>
              <m:t>m</m:t>
            </m:r>
            <m:r>
              <m:t>a</m:t>
            </m:r>
            <m:r>
              <m:t>x</m:t>
            </m:r>
          </m:sup>
        </m:sSup>
      </m:oMath>
      <w:r>
        <w:t xml:space="preserve"> </w:t>
      </w:r>
      <w:r>
        <w:t xml:space="preserve">sea casi siempre óptimo, lo que reduce el margen de mejora.</w:t>
      </w:r>
    </w:p>
    <w:p>
      <w:pPr>
        <w:pStyle w:val="Compact"/>
        <w:numPr>
          <w:ilvl w:val="0"/>
          <w:numId w:val="1031"/>
        </w:numPr>
      </w:pPr>
      <w:r>
        <w:rPr>
          <w:b/>
          <w:bCs/>
        </w:rPr>
        <w:t xml:space="preserve">Escala:</w:t>
      </w:r>
      <w:r>
        <w:t xml:space="preserve"> </w:t>
      </w:r>
      <w:r>
        <w:t xml:space="preserve">Nuestras instancias Large (72,060 variables) superan en escala a los modelos probados por Solano-Blanco et al., demostrando la escalabilidad de las metaheurísticas.</w:t>
      </w:r>
    </w:p>
    <w:p>
      <w:pPr>
        <w:pStyle w:val="FirstParagraph"/>
      </w:pPr>
      <w:r>
        <w:t xml:space="preserve">La validación de robustez confirmó que la mejor solución GA-SA es factible bajo perturbaciones de ±10% en la demanda, con un deterioro máximo de 0.04% en</w:t>
      </w:r>
      <w:r>
        <w:t xml:space="preserve"> </w:t>
      </w:r>
      <m:oMath>
        <m:r>
          <m:t>Z</m:t>
        </m:r>
      </m:oMath>
      <w:r>
        <w:t xml:space="preserve">.</w:t>
      </w:r>
    </w:p>
    <w:bookmarkEnd w:id="108"/>
    <w:bookmarkStart w:id="124" w:name="síntesis-gráfica-de-resultados"/>
    <w:p>
      <w:pPr>
        <w:pStyle w:val="Heading3"/>
      </w:pPr>
      <w:r>
        <w:t xml:space="preserve">7.12. Síntesis Gráfica de Resultados</w:t>
      </w:r>
    </w:p>
    <w:p>
      <w:pPr>
        <w:pStyle w:val="CaptionedFigure"/>
      </w:pPr>
      <w:r>
        <w:drawing>
          <wp:inline>
            <wp:extent cx="4533900" cy="2597124"/>
            <wp:effectExtent b="0" l="0" r="0" t="0"/>
            <wp:docPr descr="Heatmap de Z medio por algoritmo y tamaño de instancia" title="" id="110" name="Picture"/>
            <a:graphic>
              <a:graphicData uri="http://schemas.openxmlformats.org/drawingml/2006/picture">
                <pic:pic>
                  <pic:nvPicPr>
                    <pic:cNvPr descr="figuras/heatmap_z_by_algo_size.png" id="111" name="Picture"/>
                    <pic:cNvPicPr>
                      <a:picLocks noChangeArrowheads="1" noChangeAspect="1"/>
                    </pic:cNvPicPr>
                  </pic:nvPicPr>
                  <pic:blipFill>
                    <a:blip r:embed="rId109"/>
                    <a:stretch>
                      <a:fillRect/>
                    </a:stretch>
                  </pic:blipFill>
                  <pic:spPr bwMode="auto">
                    <a:xfrm>
                      <a:off x="0" y="0"/>
                      <a:ext cx="4533900" cy="2597124"/>
                    </a:xfrm>
                    <a:prstGeom prst="rect">
                      <a:avLst/>
                    </a:prstGeom>
                    <a:noFill/>
                    <a:ln w="9525">
                      <a:noFill/>
                      <a:headEnd/>
                      <a:tailEnd/>
                    </a:ln>
                  </pic:spPr>
                </pic:pic>
              </a:graphicData>
            </a:graphic>
          </wp:inline>
        </w:drawing>
      </w:r>
    </w:p>
    <w:p>
      <w:pPr>
        <w:pStyle w:val="ImageCaption"/>
      </w:pPr>
      <w:r>
        <w:t xml:space="preserve">Heatmap de Z medio por algoritmo y tamaño de instancia</w:t>
      </w:r>
    </w:p>
    <w:p>
      <w:pPr>
        <w:pStyle w:val="BodyText"/>
      </w:pPr>
      <w:r>
        <w:rPr>
          <w:b/>
          <w:bCs/>
          <w:i/>
          <w:iCs/>
        </w:rPr>
        <w:t xml:space="preserve">Figura 19.</w:t>
      </w:r>
      <w:r>
        <w:rPr>
          <w:i/>
          <w:iCs/>
        </w:rPr>
        <w:t xml:space="preserve"> </w:t>
      </w:r>
      <w:r>
        <w:rPr>
          <w:i/>
          <w:iCs/>
        </w:rPr>
        <w:t xml:space="preserve">Beneficio esperado</w:t>
      </w:r>
      <w:r>
        <w:rPr>
          <w:i/>
          <w:iCs/>
        </w:rPr>
        <w:t xml:space="preserve"> </w:t>
      </w:r>
      <m:oMath>
        <m:r>
          <m:t>Z</m:t>
        </m:r>
      </m:oMath>
      <w:r>
        <w:rPr>
          <w:i/>
          <w:iCs/>
        </w:rPr>
        <w:t xml:space="preserve"> </w:t>
      </w:r>
      <w:r>
        <w:rPr>
          <w:i/>
          <w:iCs/>
        </w:rPr>
        <w:t xml:space="preserve">por algoritmo y tamaño de instancia. El gradiente de color permite identificar que las diferencias entre algoritmos son marginales dentro de cada tamaño, mientras que el efecto del tamaño de instancia domina la variabilidad. Las instancias Large generan beneficios del orden de</w:t>
      </w:r>
      <w:r>
        <w:rPr>
          <w:i/>
          <w:iCs/>
        </w:rPr>
        <w:t xml:space="preserve"> </w:t>
      </w:r>
      <m:oMath>
        <m:sSup>
          <m:e>
            <m:r>
              <m:t>10</m:t>
            </m:r>
          </m:e>
          <m:sup>
            <m:r>
              <m:t>9</m:t>
            </m:r>
          </m:sup>
        </m:sSup>
      </m:oMath>
      <w:r>
        <w:rPr>
          <w:i/>
          <w:iCs/>
        </w:rPr>
        <w:t xml:space="preserve"> </w:t>
      </w:r>
      <w:r>
        <w:rPr>
          <w:i/>
          <w:iCs/>
        </w:rPr>
        <w:t xml:space="preserve">COP.</w:t>
      </w:r>
    </w:p>
    <w:p>
      <w:pPr>
        <w:pStyle w:val="CaptionedFigure"/>
      </w:pPr>
      <w:r>
        <w:drawing>
          <wp:inline>
            <wp:extent cx="4267200" cy="1108176"/>
            <wp:effectExtent b="0" l="0" r="0" t="0"/>
            <wp:docPr descr="Distribución de gaps por algoritmo" title="" id="113" name="Picture"/>
            <a:graphic>
              <a:graphicData uri="http://schemas.openxmlformats.org/drawingml/2006/picture">
                <pic:pic>
                  <pic:nvPicPr>
                    <pic:cNvPr descr="figuras/gap_distribution_by_algo.png" id="114" name="Picture"/>
                    <pic:cNvPicPr>
                      <a:picLocks noChangeArrowheads="1" noChangeAspect="1"/>
                    </pic:cNvPicPr>
                  </pic:nvPicPr>
                  <pic:blipFill>
                    <a:blip r:embed="rId112"/>
                    <a:stretch>
                      <a:fillRect/>
                    </a:stretch>
                  </pic:blipFill>
                  <pic:spPr bwMode="auto">
                    <a:xfrm>
                      <a:off x="0" y="0"/>
                      <a:ext cx="4267200" cy="1108176"/>
                    </a:xfrm>
                    <a:prstGeom prst="rect">
                      <a:avLst/>
                    </a:prstGeom>
                    <a:noFill/>
                    <a:ln w="9525">
                      <a:noFill/>
                      <a:headEnd/>
                      <a:tailEnd/>
                    </a:ln>
                  </pic:spPr>
                </pic:pic>
              </a:graphicData>
            </a:graphic>
          </wp:inline>
        </w:drawing>
      </w:r>
    </w:p>
    <w:p>
      <w:pPr>
        <w:pStyle w:val="ImageCaption"/>
      </w:pPr>
      <w:r>
        <w:t xml:space="preserve">Distribución de gaps por algoritmo</w:t>
      </w:r>
    </w:p>
    <w:p>
      <w:pPr>
        <w:pStyle w:val="BodyText"/>
      </w:pPr>
      <w:r>
        <w:rPr>
          <w:b/>
          <w:bCs/>
          <w:i/>
          <w:iCs/>
        </w:rPr>
        <w:t xml:space="preserve">Figura 20.</w:t>
      </w:r>
      <w:r>
        <w:rPr>
          <w:i/>
          <w:iCs/>
        </w:rPr>
        <w:t xml:space="preserve"> </w:t>
      </w:r>
      <w:r>
        <w:rPr>
          <w:i/>
          <w:iCs/>
        </w:rPr>
        <w:t xml:space="preserve">Distribución de gaps respecto al solver exacto CBC. GA-SA y DE concentran sus resultados en la misma zona central (mediana ≈ 3.43% y cola alta asociada a instancias Large), mientras SA exhibe mayor dispersión y peores colas de gap.</w:t>
      </w:r>
    </w:p>
    <w:p>
      <w:pPr>
        <w:pStyle w:val="CaptionedFigure"/>
      </w:pPr>
      <w:r>
        <w:drawing>
          <wp:inline>
            <wp:extent cx="4533900" cy="2220862"/>
            <wp:effectExtent b="0" l="0" r="0" t="0"/>
            <wp:docPr descr="Tornado de sensibilidad" title="" id="116" name="Picture"/>
            <a:graphic>
              <a:graphicData uri="http://schemas.openxmlformats.org/drawingml/2006/picture">
                <pic:pic>
                  <pic:nvPicPr>
                    <pic:cNvPr descr="figuras/sensitivity_tornado.png" id="117" name="Picture"/>
                    <pic:cNvPicPr>
                      <a:picLocks noChangeArrowheads="1" noChangeAspect="1"/>
                    </pic:cNvPicPr>
                  </pic:nvPicPr>
                  <pic:blipFill>
                    <a:blip r:embed="rId115"/>
                    <a:stretch>
                      <a:fillRect/>
                    </a:stretch>
                  </pic:blipFill>
                  <pic:spPr bwMode="auto">
                    <a:xfrm>
                      <a:off x="0" y="0"/>
                      <a:ext cx="4533900" cy="2220862"/>
                    </a:xfrm>
                    <a:prstGeom prst="rect">
                      <a:avLst/>
                    </a:prstGeom>
                    <a:noFill/>
                    <a:ln w="9525">
                      <a:noFill/>
                      <a:headEnd/>
                      <a:tailEnd/>
                    </a:ln>
                  </pic:spPr>
                </pic:pic>
              </a:graphicData>
            </a:graphic>
          </wp:inline>
        </w:drawing>
      </w:r>
    </w:p>
    <w:p>
      <w:pPr>
        <w:pStyle w:val="ImageCaption"/>
      </w:pPr>
      <w:r>
        <w:t xml:space="preserve">Tornado de sensibilidad</w:t>
      </w:r>
    </w:p>
    <w:p>
      <w:pPr>
        <w:pStyle w:val="BodyText"/>
      </w:pPr>
      <w:r>
        <w:rPr>
          <w:b/>
          <w:bCs/>
          <w:i/>
          <w:iCs/>
        </w:rPr>
        <w:t xml:space="preserve">Figura 21.</w:t>
      </w:r>
      <w:r>
        <w:rPr>
          <w:i/>
          <w:iCs/>
        </w:rPr>
        <w:t xml:space="preserve"> </w:t>
      </w:r>
      <w:r>
        <w:rPr>
          <w:i/>
          <w:iCs/>
        </w:rPr>
        <w:t xml:space="preserve">Diagrama tornado del análisis de sensibilidad. Los precios de venta son el parámetro dominante (±12.67% de impacto en</w:t>
      </w:r>
      <w:r>
        <w:rPr>
          <w:i/>
          <w:iCs/>
        </w:rPr>
        <w:t xml:space="preserve"> </w:t>
      </w:r>
      <m:oMath>
        <m:r>
          <m:t>Z</m:t>
        </m:r>
      </m:oMath>
      <w:r>
        <w:rPr>
          <w:i/>
          <w:iCs/>
        </w:rPr>
        <w:t xml:space="preserve"> </w:t>
      </w:r>
      <w:r>
        <w:rPr>
          <w:i/>
          <w:iCs/>
        </w:rPr>
        <w:t xml:space="preserve">ante perturbaciones de ±10%), seguidos por los costos (±2.67%). La variabilidad de demanda tiene impacto negligible, indicando robustez operativa.</w:t>
      </w:r>
    </w:p>
    <w:p>
      <w:pPr>
        <w:pStyle w:val="CaptionedFigure"/>
      </w:pPr>
      <w:r>
        <w:drawing>
          <wp:inline>
            <wp:extent cx="4267200" cy="2361618"/>
            <wp:effectExtent b="0" l="0" r="0" t="0"/>
            <wp:docPr descr="Convergencia promedio por algoritmo" title="" id="119" name="Picture"/>
            <a:graphic>
              <a:graphicData uri="http://schemas.openxmlformats.org/drawingml/2006/picture">
                <pic:pic>
                  <pic:nvPicPr>
                    <pic:cNvPr descr="figuras/convergence_comparison.png" id="120" name="Picture"/>
                    <pic:cNvPicPr>
                      <a:picLocks noChangeArrowheads="1" noChangeAspect="1"/>
                    </pic:cNvPicPr>
                  </pic:nvPicPr>
                  <pic:blipFill>
                    <a:blip r:embed="rId118"/>
                    <a:stretch>
                      <a:fillRect/>
                    </a:stretch>
                  </pic:blipFill>
                  <pic:spPr bwMode="auto">
                    <a:xfrm>
                      <a:off x="0" y="0"/>
                      <a:ext cx="4267200" cy="2361618"/>
                    </a:xfrm>
                    <a:prstGeom prst="rect">
                      <a:avLst/>
                    </a:prstGeom>
                    <a:noFill/>
                    <a:ln w="9525">
                      <a:noFill/>
                      <a:headEnd/>
                      <a:tailEnd/>
                    </a:ln>
                  </pic:spPr>
                </pic:pic>
              </a:graphicData>
            </a:graphic>
          </wp:inline>
        </w:drawing>
      </w:r>
    </w:p>
    <w:p>
      <w:pPr>
        <w:pStyle w:val="ImageCaption"/>
      </w:pPr>
      <w:r>
        <w:t xml:space="preserve">Convergencia promedio por algoritmo</w:t>
      </w:r>
    </w:p>
    <w:p>
      <w:pPr>
        <w:pStyle w:val="BodyText"/>
      </w:pPr>
      <w:r>
        <w:rPr>
          <w:b/>
          <w:bCs/>
          <w:i/>
          <w:iCs/>
        </w:rPr>
        <w:t xml:space="preserve">Figura 22.</w:t>
      </w:r>
      <w:r>
        <w:rPr>
          <w:i/>
          <w:iCs/>
        </w:rPr>
        <w:t xml:space="preserve"> </w:t>
      </w:r>
      <w:r>
        <w:rPr>
          <w:i/>
          <w:iCs/>
        </w:rPr>
        <w:t xml:space="preserve">Curvas de convergencia promedio normalizadas. GA-SA y DE alcanzan convergencia rápida en las primeras 1,000 evaluaciones. La búsqueda local SA en GA-SA produce</w:t>
      </w:r>
      <w:r>
        <w:rPr>
          <w:i/>
          <w:iCs/>
        </w:rPr>
        <w:t xml:space="preserve"> </w:t>
      </w:r>
      <w:r>
        <w:rPr>
          <w:i/>
          <w:iCs/>
        </w:rPr>
        <w:t xml:space="preserve">“escalones”</w:t>
      </w:r>
      <w:r>
        <w:rPr>
          <w:i/>
          <w:iCs/>
        </w:rPr>
        <w:t xml:space="preserve"> </w:t>
      </w:r>
      <w:r>
        <w:rPr>
          <w:i/>
          <w:iCs/>
        </w:rPr>
        <w:t xml:space="preserve">de mejora periódicos (cada 9 generaciones), visibles como saltos discretos en la curva.</w:t>
      </w:r>
    </w:p>
    <w:p>
      <w:pPr>
        <w:pStyle w:val="CaptionedFigure"/>
      </w:pPr>
      <w:r>
        <w:drawing>
          <wp:inline>
            <wp:extent cx="5334000" cy="2290362"/>
            <wp:effectExtent b="0" l="0" r="0" t="0"/>
            <wp:docPr descr="Veredicto de hipótesis — umbral vs resultado real" title="" id="122" name="Picture"/>
            <a:graphic>
              <a:graphicData uri="http://schemas.openxmlformats.org/drawingml/2006/picture">
                <pic:pic>
                  <pic:nvPicPr>
                    <pic:cNvPr descr="figuras/hypothesis_verdicts_visual.png" id="123" name="Picture"/>
                    <pic:cNvPicPr>
                      <a:picLocks noChangeArrowheads="1" noChangeAspect="1"/>
                    </pic:cNvPicPr>
                  </pic:nvPicPr>
                  <pic:blipFill>
                    <a:blip r:embed="rId121"/>
                    <a:stretch>
                      <a:fillRect/>
                    </a:stretch>
                  </pic:blipFill>
                  <pic:spPr bwMode="auto">
                    <a:xfrm>
                      <a:off x="0" y="0"/>
                      <a:ext cx="5334000" cy="2290362"/>
                    </a:xfrm>
                    <a:prstGeom prst="rect">
                      <a:avLst/>
                    </a:prstGeom>
                    <a:noFill/>
                    <a:ln w="9525">
                      <a:noFill/>
                      <a:headEnd/>
                      <a:tailEnd/>
                    </a:ln>
                  </pic:spPr>
                </pic:pic>
              </a:graphicData>
            </a:graphic>
          </wp:inline>
        </w:drawing>
      </w:r>
    </w:p>
    <w:p>
      <w:pPr>
        <w:pStyle w:val="ImageCaption"/>
      </w:pPr>
      <w:r>
        <w:t xml:space="preserve">Veredicto de hipótesis — umbral vs resultado real</w:t>
      </w:r>
    </w:p>
    <w:p>
      <w:pPr>
        <w:pStyle w:val="BodyText"/>
      </w:pPr>
      <w:r>
        <w:rPr>
          <w:b/>
          <w:bCs/>
          <w:i/>
          <w:iCs/>
        </w:rPr>
        <w:t xml:space="preserve">Figura 23.</w:t>
      </w:r>
      <w:r>
        <w:rPr>
          <w:i/>
          <w:iCs/>
        </w:rPr>
        <w:t xml:space="preserve"> </w:t>
      </w:r>
      <w:r>
        <w:rPr>
          <w:i/>
          <w:iCs/>
        </w:rPr>
        <w:t xml:space="preserve">Comparación visual entre los umbrales definidos a priori y los resultados obtenidos. H2 (gap ≤ 2%) es la única hipótesis soportada. H1 permanece por debajo del umbral (0.59–1.10%). En H3, el endpoint primario (inventario promedio total) no alcanza significancia, y el endpoint de baja rotación se mantiene como exploratorio por n informativo bajo (3 instancias).</w:t>
      </w:r>
    </w:p>
    <w:p>
      <w:r>
        <w:pict>
          <v:rect style="width:0;height:1.5pt" o:hralign="center" o:hrstd="t" o:hr="t"/>
        </w:pict>
      </w:r>
    </w:p>
    <w:bookmarkEnd w:id="124"/>
    <w:bookmarkEnd w:id="125"/>
    <w:bookmarkStart w:id="131" w:name="conclusiones-y-trabajo-futuro"/>
    <w:p>
      <w:pPr>
        <w:pStyle w:val="Heading2"/>
      </w:pPr>
      <w:r>
        <w:t xml:space="preserve">8. Conclusiones y Trabajo Futuro</w:t>
      </w:r>
    </w:p>
    <w:bookmarkStart w:id="126" w:name="conclusiones-por-objetivo-específico"/>
    <w:p>
      <w:pPr>
        <w:pStyle w:val="Heading3"/>
      </w:pPr>
      <w:r>
        <w:t xml:space="preserve">8.1. Conclusiones por Objetivo Específico</w:t>
      </w:r>
    </w:p>
    <w:p>
      <w:pPr>
        <w:pStyle w:val="FirstParagraph"/>
      </w:pPr>
      <w:r>
        <w:rPr>
          <w:b/>
          <w:bCs/>
        </w:rPr>
        <w:t xml:space="preserve">Objetivo 1 (Formular):</w:t>
      </w:r>
      <w:r>
        <w:t xml:space="preserve"> </w:t>
      </w:r>
      <w:r>
        <w:t xml:space="preserve">Se formuló exitosamente un modelo MILP multi-periodo con estructura de lot-sizing estocástico de dos etapas. El modelo captura las restricciones de co-producción (</w:t>
      </w:r>
      <m:oMath>
        <m:sSub>
          <m:e>
            <m:r>
              <m:t>α</m:t>
            </m:r>
          </m:e>
          <m:sub>
            <m:r>
              <m:t>p</m:t>
            </m:r>
          </m:sub>
        </m:sSub>
      </m:oMath>
      <w:r>
        <w:t xml:space="preserve">), setup (</w:t>
      </w:r>
      <m:oMath>
        <m:sSub>
          <m:e>
            <m:r>
              <m:t>y</m:t>
            </m:r>
          </m:e>
          <m:sub>
            <m:r>
              <m:t>t</m:t>
            </m:r>
          </m:sub>
        </m:sSub>
      </m:oMath>
      <w:r>
        <w:t xml:space="preserve">), lote mínimo (</w:t>
      </w:r>
      <m:oMath>
        <m:sSup>
          <m:e>
            <m:r>
              <m:t>Q</m:t>
            </m:r>
          </m:e>
          <m:sup>
            <m:r>
              <m:t>m</m:t>
            </m:r>
            <m:r>
              <m:t>i</m:t>
            </m:r>
            <m:r>
              <m:t>n</m:t>
            </m:r>
          </m:sup>
        </m:sSup>
      </m:oMath>
      <w:r>
        <w:t xml:space="preserve">), perecibilidad (</w:t>
      </w:r>
      <m:oMath>
        <m:sSub>
          <m:e>
            <m:r>
              <m:t>L</m:t>
            </m:r>
          </m:e>
          <m:sub>
            <m:r>
              <m:t>p</m:t>
            </m:r>
          </m:sub>
        </m:sSub>
      </m:oMath>
      <w:r>
        <w:t xml:space="preserve">) y demanda estocástica (</w:t>
      </w:r>
      <m:oMath>
        <m:sSub>
          <m:e>
            <m:r>
              <m:t>d</m:t>
            </m:r>
          </m:e>
          <m:sub>
            <m:r>
              <m:t>p</m:t>
            </m:r>
            <m:r>
              <m:t>t</m:t>
            </m:r>
            <m:r>
              <m:t>ω</m:t>
            </m:r>
          </m:sub>
        </m:sSub>
      </m:oMath>
      <w:r>
        <w:t xml:space="preserve">). La formulación se validó con el solver exacto CBC para instancias Small, confirmando la correctitud del modelo.</w:t>
      </w:r>
    </w:p>
    <w:p>
      <w:pPr>
        <w:pStyle w:val="BodyText"/>
      </w:pPr>
      <w:r>
        <w:rPr>
          <w:b/>
          <w:bCs/>
        </w:rPr>
        <w:t xml:space="preserve">Objetivo 2 (Implementar):</w:t>
      </w:r>
      <w:r>
        <w:t xml:space="preserve"> </w:t>
      </w:r>
      <w:r>
        <w:t xml:space="preserve">Se implementaron exitosamente cuatro metaheurísticas (GA, SA, DE, GA-SA) adaptadas a variables mixtas (binarias + enteras). Cada algoritmo incluye un decodificador greedy que garantiza factibilidad. El código es modular, reproducible y está disponible públicamente.</w:t>
      </w:r>
    </w:p>
    <w:p>
      <w:pPr>
        <w:pStyle w:val="BodyText"/>
      </w:pPr>
      <w:r>
        <w:rPr>
          <w:b/>
          <w:bCs/>
        </w:rPr>
        <w:t xml:space="preserve">Objetivo 3 (Diseñar):</w:t>
      </w:r>
      <w:r>
        <w:t xml:space="preserve"> </w:t>
      </w:r>
      <w:r>
        <w:t xml:space="preserve">Se diseñó un generador de instancias con tres perfiles de complejidad (Small, Medium, Large) calibrados con datos del sector avícola colombiano. Los parámetros se calibraron con FENAVI, DANE y literatura especializada.</w:t>
      </w:r>
    </w:p>
    <w:p>
      <w:pPr>
        <w:pStyle w:val="BodyText"/>
      </w:pPr>
      <w:r>
        <w:rPr>
          <w:b/>
          <w:bCs/>
        </w:rPr>
        <w:t xml:space="preserve">Objetivo 4 (Comparar):</w:t>
      </w:r>
      <w:r>
        <w:t xml:space="preserve"> </w:t>
      </w:r>
      <w:r>
        <w:t xml:space="preserve">Se ejecutó un diseño experimental de 1,098 ejecuciones con análisis estadístico completo (ANOVA, Tukey HSD, Friedman y Wilcoxon-Holm por instancia). El ranking resultante es GA-SA ≈ DE &gt; GA &gt; SA, donde la principal diferencia robusta se observa frente a SA.</w:t>
      </w:r>
    </w:p>
    <w:p>
      <w:pPr>
        <w:pStyle w:val="BodyText"/>
      </w:pPr>
      <w:r>
        <w:rPr>
          <w:b/>
          <w:bCs/>
        </w:rPr>
        <w:t xml:space="preserve">Objetivo 5 (Validar):</w:t>
      </w:r>
      <w:r>
        <w:t xml:space="preserve"> </w:t>
      </w:r>
      <w:r>
        <w:t xml:space="preserve">Se validó el modelo mediante análisis de sensibilidad (450 ejecuciones) y robustez (perturbación de demanda ±10%), confirmando que las soluciones son operativamente realistas y robustas ante incertidumbre.</w:t>
      </w:r>
    </w:p>
    <w:bookmarkEnd w:id="126"/>
    <w:bookmarkStart w:id="127" w:name="veredicto-de-hipótesis"/>
    <w:p>
      <w:pPr>
        <w:pStyle w:val="Heading3"/>
      </w:pPr>
      <w:r>
        <w:t xml:space="preserve">8.2. Veredicto de Hipótesis</w:t>
      </w:r>
    </w:p>
    <w:p>
      <w:pPr>
        <w:pStyle w:val="FirstParagraph"/>
      </w:pPr>
      <w:r>
        <w:rPr>
          <w:b/>
          <w:bCs/>
          <w:i/>
          <w:iCs/>
        </w:rPr>
        <w:t xml:space="preserve">Tabla 10.</w:t>
      </w:r>
      <w:r>
        <w:rPr>
          <w:i/>
          <w:iCs/>
        </w:rPr>
        <w:t xml:space="preserve"> </w:t>
      </w:r>
      <w:r>
        <w:rPr>
          <w:i/>
          <w:iCs/>
        </w:rPr>
        <w:t xml:space="preserve">Resumen de veredictos de hipótesis</w:t>
      </w:r>
    </w:p>
    <w:tbl>
      <w:tblPr>
        <w:tblStyle w:val="Table"/>
        <w:tblW w:type="pct" w:w="5000"/>
        <w:tblLayout w:type="fixed"/>
        <w:tblLook w:firstRow="1" w:lastRow="0" w:firstColumn="0" w:lastColumn="0" w:noHBand="0" w:noVBand="0" w:val="0020"/>
      </w:tblPr>
      <w:tblGrid>
        <w:gridCol w:w="1452"/>
        <w:gridCol w:w="1056"/>
        <w:gridCol w:w="2772"/>
        <w:gridCol w:w="1188"/>
        <w:gridCol w:w="1452"/>
      </w:tblGrid>
      <w:tr>
        <w:trPr>
          <w:tblHeader w:val="on"/>
        </w:trPr>
        <w:tc>
          <w:tcPr/>
          <w:p>
            <w:pPr>
              <w:pStyle w:val="Compact"/>
              <w:jc w:val="center"/>
            </w:pPr>
            <w:r>
              <w:t xml:space="preserve">Hipótesis</w:t>
            </w:r>
          </w:p>
        </w:tc>
        <w:tc>
          <w:tcPr/>
          <w:p>
            <w:pPr>
              <w:pStyle w:val="Compact"/>
              <w:jc w:val="center"/>
            </w:pPr>
            <w:r>
              <w:t xml:space="preserve">Umbral</w:t>
            </w:r>
          </w:p>
        </w:tc>
        <w:tc>
          <w:tcPr/>
          <w:p>
            <w:pPr>
              <w:pStyle w:val="Compact"/>
              <w:jc w:val="center"/>
            </w:pPr>
            <w:r>
              <w:t xml:space="preserve">Resultado observado</w:t>
            </w:r>
          </w:p>
        </w:tc>
        <w:tc>
          <w:tcPr/>
          <w:p>
            <w:pPr>
              <w:pStyle w:val="Compact"/>
              <w:jc w:val="center"/>
            </w:pPr>
            <w:r>
              <w:t xml:space="preserve">p-valor</w:t>
            </w:r>
          </w:p>
        </w:tc>
        <w:tc>
          <w:tcPr/>
          <w:p>
            <w:pPr>
              <w:pStyle w:val="Compact"/>
              <w:jc w:val="center"/>
            </w:pPr>
            <w:r>
              <w:t xml:space="preserve">Veredicto</w:t>
            </w:r>
          </w:p>
        </w:tc>
      </w:tr>
      <w:tr>
        <w:tc>
          <w:tcPr/>
          <w:p>
            <w:pPr>
              <w:pStyle w:val="Compact"/>
              <w:jc w:val="center"/>
            </w:pPr>
            <w:r>
              <w:rPr>
                <w:b/>
                <w:bCs/>
              </w:rPr>
              <w:t xml:space="preserve">H1</w:t>
            </w:r>
            <w:r>
              <w:t xml:space="preserve">: Mejora ≥ 5% vs baseline</w:t>
            </w:r>
          </w:p>
        </w:tc>
        <w:tc>
          <w:tcPr/>
          <w:p>
            <w:pPr>
              <w:pStyle w:val="Compact"/>
              <w:jc w:val="center"/>
            </w:pPr>
            <w:r>
              <w:t xml:space="preserve">5%</w:t>
            </w:r>
          </w:p>
        </w:tc>
        <w:tc>
          <w:tcPr/>
          <w:p>
            <w:pPr>
              <w:pStyle w:val="Compact"/>
              <w:jc w:val="center"/>
            </w:pPr>
            <w:r>
              <w:t xml:space="preserve">0.59–1.10%</w:t>
            </w:r>
          </w:p>
        </w:tc>
        <w:tc>
          <w:tcPr/>
          <w:p>
            <w:pPr>
              <w:pStyle w:val="Compact"/>
              <w:jc w:val="center"/>
            </w:pPr>
            <w:r>
              <w:t xml:space="preserve">1.000 (por instancia)</w:t>
            </w:r>
          </w:p>
        </w:tc>
        <w:tc>
          <w:tcPr/>
          <w:p>
            <w:pPr>
              <w:pStyle w:val="Compact"/>
              <w:jc w:val="center"/>
            </w:pPr>
            <w:r>
              <w:rPr>
                <w:b/>
                <w:bCs/>
              </w:rPr>
              <w:t xml:space="preserve">No soportada</w:t>
            </w:r>
          </w:p>
        </w:tc>
      </w:tr>
      <w:tr>
        <w:tc>
          <w:tcPr/>
          <w:p>
            <w:pPr>
              <w:pStyle w:val="Compact"/>
              <w:jc w:val="center"/>
            </w:pPr>
            <w:r>
              <w:rPr>
                <w:b/>
                <w:bCs/>
              </w:rPr>
              <w:t xml:space="preserve">H2</w:t>
            </w:r>
            <w:r>
              <w:t xml:space="preserve">: GA-SA gap ≤ 2% vs mejor MH</w:t>
            </w:r>
          </w:p>
        </w:tc>
        <w:tc>
          <w:tcPr/>
          <w:p>
            <w:pPr>
              <w:pStyle w:val="Compact"/>
              <w:jc w:val="center"/>
            </w:pPr>
            <w:r>
              <w:t xml:space="preserve">2%</w:t>
            </w:r>
          </w:p>
        </w:tc>
        <w:tc>
          <w:tcPr/>
          <w:p>
            <w:pPr>
              <w:pStyle w:val="Compact"/>
              <w:jc w:val="center"/>
            </w:pPr>
            <w:r>
              <w:t xml:space="preserve">−0.02%</w:t>
            </w:r>
          </w:p>
        </w:tc>
        <w:tc>
          <w:tcPr/>
          <w:p>
            <w:pPr>
              <w:pStyle w:val="Compact"/>
              <w:jc w:val="center"/>
            </w:pPr>
            <w:r>
              <w:t xml:space="preserve">1.95×10⁻³ (por instancia)</w:t>
            </w:r>
          </w:p>
        </w:tc>
        <w:tc>
          <w:tcPr/>
          <w:p>
            <w:pPr>
              <w:pStyle w:val="Compact"/>
              <w:jc w:val="center"/>
            </w:pPr>
            <w:r>
              <w:rPr>
                <w:b/>
                <w:bCs/>
              </w:rPr>
              <w:t xml:space="preserve">Soportada</w:t>
            </w:r>
          </w:p>
        </w:tc>
      </w:tr>
      <w:tr>
        <w:tc>
          <w:tcPr/>
          <w:p>
            <w:pPr>
              <w:pStyle w:val="Compact"/>
              <w:jc w:val="center"/>
            </w:pPr>
            <w:r>
              <w:rPr>
                <w:b/>
                <w:bCs/>
              </w:rPr>
              <w:t xml:space="preserve">H3</w:t>
            </w:r>
            <w:r>
              <w:t xml:space="preserve">: Reducción inventario promedio ≥ 15%</w:t>
            </w:r>
          </w:p>
        </w:tc>
        <w:tc>
          <w:tcPr/>
          <w:p>
            <w:pPr>
              <w:pStyle w:val="Compact"/>
              <w:jc w:val="center"/>
            </w:pPr>
            <w:r>
              <w:t xml:space="preserve">15%</w:t>
            </w:r>
          </w:p>
        </w:tc>
        <w:tc>
          <w:tcPr/>
          <w:p>
            <w:pPr>
              <w:pStyle w:val="Compact"/>
              <w:jc w:val="center"/>
            </w:pPr>
            <w:r>
              <w:t xml:space="preserve">12.2%–17.5% (por algoritmo)</w:t>
            </w:r>
          </w:p>
        </w:tc>
        <w:tc>
          <w:tcPr/>
          <w:p>
            <w:pPr>
              <w:pStyle w:val="Compact"/>
              <w:jc w:val="center"/>
            </w:pPr>
            <w:r>
              <w:t xml:space="preserve">0.455 (por instancia)</w:t>
            </w:r>
          </w:p>
        </w:tc>
        <w:tc>
          <w:tcPr/>
          <w:p>
            <w:pPr>
              <w:pStyle w:val="Compact"/>
              <w:jc w:val="center"/>
            </w:pPr>
            <w:r>
              <w:rPr>
                <w:b/>
                <w:bCs/>
              </w:rPr>
              <w:t xml:space="preserve">No soportada</w:t>
            </w:r>
          </w:p>
        </w:tc>
      </w:tr>
    </w:tbl>
    <w:p>
      <w:pPr>
        <w:pStyle w:val="BodyText"/>
      </w:pPr>
      <w:r>
        <w:t xml:space="preserve">La hipótesis H2 se confirma en la vista bloqueada por instancia: el GA-SA produce soluciones equivalentes a la mejor metaheurística individual. H1 no se soporta por la fortaleza del baseline. H3 no se soporta en el endpoint primario; el endpoint de baja rotación permanece exploratorio por baja muestra informativa.</w:t>
      </w:r>
    </w:p>
    <w:bookmarkEnd w:id="127"/>
    <w:bookmarkStart w:id="128" w:name="contribuciones-principales"/>
    <w:p>
      <w:pPr>
        <w:pStyle w:val="Heading3"/>
      </w:pPr>
      <w:r>
        <w:t xml:space="preserve">8.3. Contribuciones Principales</w:t>
      </w:r>
    </w:p>
    <w:p>
      <w:pPr>
        <w:pStyle w:val="Compact"/>
        <w:numPr>
          <w:ilvl w:val="0"/>
          <w:numId w:val="1032"/>
        </w:numPr>
      </w:pPr>
      <w:r>
        <w:rPr>
          <w:b/>
          <w:bCs/>
        </w:rPr>
        <w:t xml:space="preserve">Modelo matemático validado:</w:t>
      </w:r>
      <w:r>
        <w:t xml:space="preserve"> </w:t>
      </w:r>
      <w:r>
        <w:t xml:space="preserve">Un modelo MILP de planificación de coproductos avícolas con lot-sizing estocástico, setup y perecibilidad, aplicable a otras industrias de producción conjunta.</w:t>
      </w:r>
    </w:p>
    <w:p>
      <w:pPr>
        <w:pStyle w:val="Compact"/>
        <w:numPr>
          <w:ilvl w:val="0"/>
          <w:numId w:val="1032"/>
        </w:numPr>
      </w:pPr>
      <w:r>
        <w:rPr>
          <w:b/>
          <w:bCs/>
        </w:rPr>
        <w:t xml:space="preserve">Framework de metaheurísticas comparativo:</w:t>
      </w:r>
      <w:r>
        <w:t xml:space="preserve"> </w:t>
      </w:r>
      <w:r>
        <w:t xml:space="preserve">Implementación modular de GA, SA, DE y GA-SA con decodificador greedy compartido, reproducible y extensible.</w:t>
      </w:r>
    </w:p>
    <w:p>
      <w:pPr>
        <w:pStyle w:val="Compact"/>
        <w:numPr>
          <w:ilvl w:val="0"/>
          <w:numId w:val="1032"/>
        </w:numPr>
      </w:pPr>
      <w:r>
        <w:rPr>
          <w:b/>
          <w:bCs/>
        </w:rPr>
        <w:t xml:space="preserve">Evidencia empírica sobre GA-SA:</w:t>
      </w:r>
      <w:r>
        <w:t xml:space="preserve"> </w:t>
      </w:r>
      <w:r>
        <w:t xml:space="preserve">Confirmación, en un problema real, de la ventaja del enfoque híbrido GA-SA reportada por Akbari-Aghghaleh et al.</w:t>
      </w:r>
      <w:r>
        <w:t xml:space="preserve"> </w:t>
      </w:r>
      <w:r>
        <w:t xml:space="preserve">[15]</w:t>
      </w:r>
      <w:r>
        <w:t xml:space="preserve">.</w:t>
      </w:r>
    </w:p>
    <w:p>
      <w:pPr>
        <w:pStyle w:val="Compact"/>
        <w:numPr>
          <w:ilvl w:val="0"/>
          <w:numId w:val="1032"/>
        </w:numPr>
      </w:pPr>
      <w:r>
        <w:rPr>
          <w:b/>
          <w:bCs/>
        </w:rPr>
        <w:t xml:space="preserve">Conjunto de instancias calibradas:</w:t>
      </w:r>
      <w:r>
        <w:t xml:space="preserve"> </w:t>
      </w:r>
      <w:r>
        <w:t xml:space="preserve">9 instancias con parámetros del sector avícola colombiano, disponibles públicamente para benchmarking.</w:t>
      </w:r>
    </w:p>
    <w:p>
      <w:pPr>
        <w:pStyle w:val="Compact"/>
        <w:numPr>
          <w:ilvl w:val="0"/>
          <w:numId w:val="1032"/>
        </w:numPr>
      </w:pPr>
      <w:r>
        <w:rPr>
          <w:b/>
          <w:bCs/>
        </w:rPr>
        <w:t xml:space="preserve">Análisis de robustez:</w:t>
      </w:r>
      <w:r>
        <w:t xml:space="preserve"> </w:t>
      </w:r>
      <w:r>
        <w:t xml:space="preserve">Validación de que las soluciones son operativamente viables y robustas ante perturbaciones de demanda (deterioro ≤ 0.04%).</w:t>
      </w:r>
    </w:p>
    <w:bookmarkEnd w:id="128"/>
    <w:bookmarkStart w:id="129" w:name="limitaciones-del-estudio"/>
    <w:p>
      <w:pPr>
        <w:pStyle w:val="Heading3"/>
      </w:pPr>
      <w:r>
        <w:t xml:space="preserve">8.4. Limitaciones del Estudio</w:t>
      </w:r>
    </w:p>
    <w:p>
      <w:pPr>
        <w:pStyle w:val="Compact"/>
        <w:numPr>
          <w:ilvl w:val="0"/>
          <w:numId w:val="1033"/>
        </w:numPr>
      </w:pPr>
      <w:r>
        <w:rPr>
          <w:b/>
          <w:bCs/>
        </w:rPr>
        <w:t xml:space="preserve">Datos sintéticos:</w:t>
      </w:r>
      <w:r>
        <w:t xml:space="preserve"> </w:t>
      </w:r>
      <w:r>
        <w:t xml:space="preserve">Las instancias utilizan datos calibrados pero sintéticos. Aunque la cobertura de rangos de precio FENAVI es 100%, la comparación temporal externa sin desfase mantiene correlación baja ((|</w:t>
      </w:r>
      <w:r>
        <w:t xml:space="preserve">|</w:t>
      </w:r>
      <w:r>
        <w:rPr>
          <w:i/>
          <w:iCs/>
        </w:rPr>
        <w:t xml:space="preserve">{prom}</w:t>
      </w:r>
      <w:r>
        <w:rPr>
          <w:i/>
          <w:iCs/>
        </w:rPr>
        <w:t xml:space="preserve"> </w:t>
      </w:r>
      <w:r>
        <w:rPr>
          <w:i/>
          <w:iCs/>
        </w:rPr>
        <w:t xml:space="preserve">)); al permitir desfases mensuales, la alineación mejora ((|</w:t>
      </w:r>
      <w:r>
        <w:t xml:space="preserve">{lag}|_{prom}</w:t>
      </w:r>
      <w:r>
        <w:t xml:space="preserve"> </w:t>
      </w:r>
      <w:r>
        <w:t xml:space="preserve">)) pero con desplazamientos de pico no triviales. Por ello, la validación con datos operativos reales de planta sigue siendo necesaria.</w:t>
      </w:r>
    </w:p>
    <w:p>
      <w:pPr>
        <w:pStyle w:val="Compact"/>
        <w:numPr>
          <w:ilvl w:val="0"/>
          <w:numId w:val="1033"/>
        </w:numPr>
      </w:pPr>
      <w:r>
        <w:rPr>
          <w:b/>
          <w:bCs/>
        </w:rPr>
        <w:t xml:space="preserve">Baseline fuerte:</w:t>
      </w:r>
      <w:r>
        <w:t xml:space="preserve"> </w:t>
      </w:r>
      <w:r>
        <w:t xml:space="preserve">El baseline de máxima capacidad resulta ser una heurística fuerte para este problema, reduciendo el margen de mejora de las metaheurísticas.</w:t>
      </w:r>
    </w:p>
    <w:p>
      <w:pPr>
        <w:pStyle w:val="Compact"/>
        <w:numPr>
          <w:ilvl w:val="0"/>
          <w:numId w:val="1033"/>
        </w:numPr>
      </w:pPr>
      <w:r>
        <w:rPr>
          <w:b/>
          <w:bCs/>
        </w:rPr>
        <w:t xml:space="preserve">Proporciones fijas:</w:t>
      </w:r>
      <w:r>
        <w:t xml:space="preserve"> </w:t>
      </w:r>
      <w:r>
        <w:t xml:space="preserve">El modelo asume proporciones de coproductos constantes (</w:t>
      </w:r>
      <m:oMath>
        <m:sSub>
          <m:e>
            <m:r>
              <m:t>α</m:t>
            </m:r>
          </m:e>
          <m:sub>
            <m:r>
              <m:t>p</m:t>
            </m:r>
          </m:sub>
        </m:sSub>
      </m:oMath>
      <w:r>
        <w:t xml:space="preserve">), sin considerar variabilidad inter-lote.</w:t>
      </w:r>
    </w:p>
    <w:p>
      <w:pPr>
        <w:pStyle w:val="Compact"/>
        <w:numPr>
          <w:ilvl w:val="0"/>
          <w:numId w:val="1033"/>
        </w:numPr>
      </w:pPr>
      <w:r>
        <w:rPr>
          <w:b/>
          <w:bCs/>
        </w:rPr>
        <w:t xml:space="preserve">Sin scheduling:</w:t>
      </w:r>
      <w:r>
        <w:t xml:space="preserve"> </w:t>
      </w:r>
      <w:r>
        <w:t xml:space="preserve">Solo se aborda lot-sizing diario, no el scheduling detallado de la línea de despiece.</w:t>
      </w:r>
    </w:p>
    <w:p>
      <w:pPr>
        <w:pStyle w:val="Compact"/>
        <w:numPr>
          <w:ilvl w:val="0"/>
          <w:numId w:val="1033"/>
        </w:numPr>
      </w:pPr>
      <w:r>
        <w:rPr>
          <w:b/>
          <w:bCs/>
        </w:rPr>
        <w:t xml:space="preserve">Perecibilidad simplificada:</w:t>
      </w:r>
      <w:r>
        <w:t xml:space="preserve"> </w:t>
      </w:r>
      <w:r>
        <w:t xml:space="preserve">Se modela como restricción de vida útil discreta, sin considerar deterioro gradual de calidad.</w:t>
      </w:r>
    </w:p>
    <w:bookmarkEnd w:id="129"/>
    <w:bookmarkStart w:id="130" w:name="trabajo-futuro"/>
    <w:p>
      <w:pPr>
        <w:pStyle w:val="Heading3"/>
      </w:pPr>
      <w:r>
        <w:t xml:space="preserve">8.5. Trabajo Futuro</w:t>
      </w:r>
    </w:p>
    <w:p>
      <w:pPr>
        <w:pStyle w:val="Compact"/>
        <w:numPr>
          <w:ilvl w:val="0"/>
          <w:numId w:val="1034"/>
        </w:numPr>
      </w:pPr>
      <w:r>
        <w:rPr>
          <w:b/>
          <w:bCs/>
        </w:rPr>
        <w:t xml:space="preserve">Híbrido DE-SA:</w:t>
      </w:r>
      <w:r>
        <w:t xml:space="preserve"> </w:t>
      </w:r>
      <w:r>
        <w:t xml:space="preserve">Evaluar la combinación DE + SA como búsqueda local, reportada positivamente por Akbari-Aghghaleh et al.</w:t>
      </w:r>
      <w:r>
        <w:t xml:space="preserve"> </w:t>
      </w:r>
      <w:r>
        <w:t xml:space="preserve">[15]</w:t>
      </w:r>
      <w:r>
        <w:t xml:space="preserve">.</w:t>
      </w:r>
    </w:p>
    <w:p>
      <w:pPr>
        <w:pStyle w:val="Compact"/>
        <w:numPr>
          <w:ilvl w:val="0"/>
          <w:numId w:val="1034"/>
        </w:numPr>
      </w:pPr>
      <w:r>
        <w:rPr>
          <w:b/>
          <w:bCs/>
        </w:rPr>
        <w:t xml:space="preserve">Extensión multi-objetivo:</w:t>
      </w:r>
      <w:r>
        <w:t xml:space="preserve"> </w:t>
      </w:r>
      <w:r>
        <w:t xml:space="preserve">Reformular como problema bi-objetivo (costo vs. nivel de servicio) con NSGA-II o MOEA/D, aprovechando la infraestructura de metaheurísticas implementada.</w:t>
      </w:r>
    </w:p>
    <w:p>
      <w:pPr>
        <w:pStyle w:val="Compact"/>
        <w:numPr>
          <w:ilvl w:val="0"/>
          <w:numId w:val="1034"/>
        </w:numPr>
      </w:pPr>
      <w:r>
        <w:rPr>
          <w:b/>
          <w:bCs/>
        </w:rPr>
        <w:t xml:space="preserve">Validación con datos reales:</w:t>
      </w:r>
      <w:r>
        <w:t xml:space="preserve"> </w:t>
      </w:r>
      <w:r>
        <w:t xml:space="preserve">Aplicar el modelo a datos operativos de una planta de beneficio avícola colombiana.</w:t>
      </w:r>
    </w:p>
    <w:p>
      <w:pPr>
        <w:pStyle w:val="Compact"/>
        <w:numPr>
          <w:ilvl w:val="0"/>
          <w:numId w:val="1034"/>
        </w:numPr>
      </w:pPr>
      <w:r>
        <w:rPr>
          <w:b/>
          <w:bCs/>
        </w:rPr>
        <w:t xml:space="preserve">Integración con scheduling:</w:t>
      </w:r>
      <w:r>
        <w:t xml:space="preserve"> </w:t>
      </w:r>
      <w:r>
        <w:t xml:space="preserve">Combinar lot-sizing con programación detallada de la línea de despiece, siguiendo las líneas de Claassen</w:t>
      </w:r>
      <w:r>
        <w:t xml:space="preserve"> </w:t>
      </w:r>
      <w:r>
        <w:t xml:space="preserve">[18]</w:t>
      </w:r>
      <w:r>
        <w:t xml:space="preserve"> </w:t>
      </w:r>
      <w:r>
        <w:t xml:space="preserve">y González-Neira et al.</w:t>
      </w:r>
      <w:r>
        <w:t xml:space="preserve"> </w:t>
      </w:r>
      <w:r>
        <w:t xml:space="preserve">[30]</w:t>
      </w:r>
      <w:r>
        <w:t xml:space="preserve">.</w:t>
      </w:r>
    </w:p>
    <w:p>
      <w:pPr>
        <w:pStyle w:val="Compact"/>
        <w:numPr>
          <w:ilvl w:val="0"/>
          <w:numId w:val="1034"/>
        </w:numPr>
      </w:pPr>
      <w:r>
        <w:rPr>
          <w:b/>
          <w:bCs/>
        </w:rPr>
        <w:t xml:space="preserve">Aprendizaje por refuerzo:</w:t>
      </w:r>
      <w:r>
        <w:t xml:space="preserve"> </w:t>
      </w:r>
      <w:r>
        <w:t xml:space="preserve">Explorar la integración de técnicas de Deep RL para ajustar dinámicamente los hiperparámetros de las metaheurísticas, siguiendo las tendencias identificadas por Tan et al.</w:t>
      </w:r>
      <w:r>
        <w:t xml:space="preserve"> </w:t>
      </w:r>
      <w:r>
        <w:t xml:space="preserve">[40]</w:t>
      </w:r>
      <w:r>
        <w:t xml:space="preserve"> </w:t>
      </w:r>
      <w:r>
        <w:t xml:space="preserve">y Wang et al.</w:t>
      </w:r>
      <w:r>
        <w:t xml:space="preserve"> </w:t>
      </w:r>
      <w:r>
        <w:t xml:space="preserve">[41]</w:t>
      </w:r>
      <w:r>
        <w:t xml:space="preserve">.</w:t>
      </w:r>
    </w:p>
    <w:p>
      <w:r>
        <w:pict>
          <v:rect style="width:0;height:1.5pt" o:hralign="center" o:hrstd="t" o:hr="t"/>
        </w:pict>
      </w:r>
    </w:p>
    <w:bookmarkEnd w:id="130"/>
    <w:bookmarkEnd w:id="131"/>
    <w:bookmarkStart w:id="215" w:name="referencias"/>
    <w:p>
      <w:pPr>
        <w:pStyle w:val="Heading2"/>
      </w:pPr>
      <w:r>
        <w:t xml:space="preserve">Referencias</w:t>
      </w:r>
    </w:p>
    <w:bookmarkStart w:id="214" w:name="refs"/>
    <w:bookmarkStart w:id="133" w:name="ref-Heij2021"/>
    <w:p>
      <w:pPr>
        <w:pStyle w:val="Bibliography"/>
      </w:pPr>
      <w:r>
        <w:t xml:space="preserve">[1]</w:t>
      </w:r>
      <w:r>
        <w:t xml:space="preserve"> </w:t>
      </w:r>
      <w:r>
        <w:t xml:space="preserve">	</w:t>
      </w:r>
      <w:r>
        <w:t xml:space="preserve">L. Heij, F. Wijnhoven, and S. Lokerse,</w:t>
      </w:r>
      <w:r>
        <w:t xml:space="preserve"> </w:t>
      </w:r>
      <w:r>
        <w:t xml:space="preserve">“Design of meat processing systems with agent-based production control,”</w:t>
      </w:r>
      <w:r>
        <w:t xml:space="preserve"> </w:t>
      </w:r>
      <w:r>
        <w:rPr>
          <w:i/>
          <w:iCs/>
        </w:rPr>
        <w:t xml:space="preserve">IFAC-PapersOnLine</w:t>
      </w:r>
      <w:r>
        <w:t xml:space="preserve">, vol. 54, no. 1, pp. 1085–1090, 2021, doi:</w:t>
      </w:r>
      <w:r>
        <w:t xml:space="preserve"> </w:t>
      </w:r>
      <w:hyperlink r:id="rId132">
        <w:r>
          <w:rPr>
            <w:rStyle w:val="Hyperlink"/>
          </w:rPr>
          <w:t xml:space="preserve">10.1016/j.ifacol.2021.08.205</w:t>
        </w:r>
      </w:hyperlink>
      <w:r>
        <w:t xml:space="preserve">.</w:t>
      </w:r>
    </w:p>
    <w:bookmarkEnd w:id="133"/>
    <w:bookmarkStart w:id="135" w:name="ref-Gicquel2017"/>
    <w:p>
      <w:pPr>
        <w:pStyle w:val="Bibliography"/>
      </w:pPr>
      <w:r>
        <w:t xml:space="preserve">[2]</w:t>
      </w:r>
      <w:r>
        <w:t xml:space="preserve"> </w:t>
      </w:r>
      <w:r>
        <w:t xml:space="preserve">	</w:t>
      </w:r>
      <w:r>
        <w:t xml:space="preserve">C. Gicquel and N. Miègeville,</w:t>
      </w:r>
      <w:r>
        <w:t xml:space="preserve"> </w:t>
      </w:r>
      <w:r>
        <w:t xml:space="preserve">“Formulations and solution methods for the joint production and transportation planning in multi-site food supply chains,”</w:t>
      </w:r>
      <w:r>
        <w:t xml:space="preserve"> </w:t>
      </w:r>
      <w:r>
        <w:rPr>
          <w:i/>
          <w:iCs/>
        </w:rPr>
        <w:t xml:space="preserve">Computers &amp; Industrial Engineering</w:t>
      </w:r>
      <w:r>
        <w:t xml:space="preserve">, vol. 111, pp. 253–265, 2017, doi:</w:t>
      </w:r>
      <w:r>
        <w:t xml:space="preserve"> </w:t>
      </w:r>
      <w:hyperlink r:id="rId134">
        <w:r>
          <w:rPr>
            <w:rStyle w:val="Hyperlink"/>
          </w:rPr>
          <w:t xml:space="preserve">10.1016/j.cie.2017.07.025</w:t>
        </w:r>
      </w:hyperlink>
      <w:r>
        <w:t xml:space="preserve">.</w:t>
      </w:r>
    </w:p>
    <w:bookmarkEnd w:id="135"/>
    <w:bookmarkStart w:id="137" w:name="ref-SolanoBlanco2022"/>
    <w:p>
      <w:pPr>
        <w:pStyle w:val="Bibliography"/>
      </w:pPr>
      <w:r>
        <w:t xml:space="preserve">[3]</w:t>
      </w:r>
      <w:r>
        <w:t xml:space="preserve"> </w:t>
      </w:r>
      <w:r>
        <w:t xml:space="preserve">	</w:t>
      </w:r>
      <w:r>
        <w:t xml:space="preserve">A. L. Solano-Blanco</w:t>
      </w:r>
      <w:r>
        <w:t xml:space="preserve"> </w:t>
      </w:r>
      <w:r>
        <w:rPr>
          <w:i/>
          <w:iCs/>
        </w:rPr>
        <w:t xml:space="preserve">et al.</w:t>
      </w:r>
      <w:r>
        <w:t xml:space="preserve">,</w:t>
      </w:r>
      <w:r>
        <w:t xml:space="preserve"> </w:t>
      </w:r>
      <w:r>
        <w:t xml:space="preserve">“Integrated planning decisions in the broiler chicken supply chain,”</w:t>
      </w:r>
      <w:r>
        <w:t xml:space="preserve"> </w:t>
      </w:r>
      <w:r>
        <w:rPr>
          <w:i/>
          <w:iCs/>
        </w:rPr>
        <w:t xml:space="preserve">International Transactions in Operational Research</w:t>
      </w:r>
      <w:r>
        <w:t xml:space="preserve">, 2022, doi:</w:t>
      </w:r>
      <w:r>
        <w:t xml:space="preserve"> </w:t>
      </w:r>
      <w:hyperlink r:id="rId136">
        <w:r>
          <w:rPr>
            <w:rStyle w:val="Hyperlink"/>
          </w:rPr>
          <w:t xml:space="preserve">10.1111/itor.12861</w:t>
        </w:r>
      </w:hyperlink>
      <w:r>
        <w:t xml:space="preserve">.</w:t>
      </w:r>
    </w:p>
    <w:bookmarkEnd w:id="137"/>
    <w:bookmarkStart w:id="139" w:name="ref-Tahraoui2025"/>
    <w:p>
      <w:pPr>
        <w:pStyle w:val="Bibliography"/>
      </w:pPr>
      <w:r>
        <w:t xml:space="preserve">[4]</w:t>
      </w:r>
      <w:r>
        <w:t xml:space="preserve"> </w:t>
      </w:r>
      <w:r>
        <w:t xml:space="preserve">	</w:t>
      </w:r>
      <w:r>
        <w:t xml:space="preserve">N. Tahraoui, L. Triqui, and M. Bennekrouf,</w:t>
      </w:r>
      <w:r>
        <w:t xml:space="preserve"> </w:t>
      </w:r>
      <w:r>
        <w:t xml:space="preserve">“Operational planning of the production and the processing of chickens in multi-products slaughter unit,”</w:t>
      </w:r>
      <w:r>
        <w:t xml:space="preserve"> </w:t>
      </w:r>
      <w:r>
        <w:rPr>
          <w:i/>
          <w:iCs/>
        </w:rPr>
        <w:t xml:space="preserve">OPSEARCH</w:t>
      </w:r>
      <w:r>
        <w:t xml:space="preserve">, vol. 62, no. 3, pp. 1581–1615, 2025, doi:</w:t>
      </w:r>
      <w:r>
        <w:t xml:space="preserve"> </w:t>
      </w:r>
      <w:hyperlink r:id="rId138">
        <w:r>
          <w:rPr>
            <w:rStyle w:val="Hyperlink"/>
          </w:rPr>
          <w:t xml:space="preserve">10.1007/s12597-024-00846-1</w:t>
        </w:r>
      </w:hyperlink>
      <w:r>
        <w:t xml:space="preserve">.</w:t>
      </w:r>
    </w:p>
    <w:bookmarkEnd w:id="139"/>
    <w:bookmarkStart w:id="141" w:name="ref-FENAVI2024"/>
    <w:p>
      <w:pPr>
        <w:pStyle w:val="Bibliography"/>
      </w:pPr>
      <w:r>
        <w:t xml:space="preserve">[5]</w:t>
      </w:r>
      <w:r>
        <w:t xml:space="preserve"> </w:t>
      </w:r>
      <w:r>
        <w:t xml:space="preserve">	</w:t>
      </w:r>
      <w:r>
        <w:t xml:space="preserve">FENAVI,</w:t>
      </w:r>
      <w:r>
        <w:t xml:space="preserve"> </w:t>
      </w:r>
      <w:r>
        <w:t xml:space="preserve">“Avicultura en cifras 2024,”</w:t>
      </w:r>
      <w:r>
        <w:t xml:space="preserve"> </w:t>
      </w:r>
      <w:r>
        <w:t xml:space="preserve">Federación Nacional de Avicultores de Colombia, Bogotá, Colombia, 2024. Available:</w:t>
      </w:r>
      <w:r>
        <w:t xml:space="preserve"> </w:t>
      </w:r>
      <w:hyperlink r:id="rId140">
        <w:r>
          <w:rPr>
            <w:rStyle w:val="Hyperlink"/>
          </w:rPr>
          <w:t xml:space="preserve">https://fenavi.org</w:t>
        </w:r>
      </w:hyperlink>
    </w:p>
    <w:bookmarkEnd w:id="141"/>
    <w:bookmarkStart w:id="143" w:name="ref-DANE2024"/>
    <w:p>
      <w:pPr>
        <w:pStyle w:val="Bibliography"/>
      </w:pPr>
      <w:r>
        <w:t xml:space="preserve">[6]</w:t>
      </w:r>
      <w:r>
        <w:t xml:space="preserve"> </w:t>
      </w:r>
      <w:r>
        <w:t xml:space="preserve">	</w:t>
      </w:r>
      <w:r>
        <w:t xml:space="preserve">Departamento Administrativo Nacional de Estadística (DANE),</w:t>
      </w:r>
      <w:r>
        <w:t xml:space="preserve"> </w:t>
      </w:r>
      <w:r>
        <w:t xml:space="preserve">“Cuenta satelite de agroindustria avícola – boletín técnico 2024,”</w:t>
      </w:r>
      <w:r>
        <w:t xml:space="preserve"> </w:t>
      </w:r>
      <w:r>
        <w:t xml:space="preserve">DANE, Bogotá, Colombia, Boletín Técnico, 2024. Available:</w:t>
      </w:r>
      <w:r>
        <w:t xml:space="preserve"> </w:t>
      </w:r>
      <w:hyperlink r:id="rId142">
        <w:r>
          <w:rPr>
            <w:rStyle w:val="Hyperlink"/>
          </w:rPr>
          <w:t xml:space="preserve">https://www.dane.gov.co/files/operaciones/CSAAV/bol-CSAAV-2024pr.pdf</w:t>
        </w:r>
      </w:hyperlink>
    </w:p>
    <w:bookmarkEnd w:id="143"/>
    <w:bookmarkStart w:id="145" w:name="ref-Florian1980"/>
    <w:p>
      <w:pPr>
        <w:pStyle w:val="Bibliography"/>
      </w:pPr>
      <w:r>
        <w:t xml:space="preserve">[7]</w:t>
      </w:r>
      <w:r>
        <w:t xml:space="preserve"> </w:t>
      </w:r>
      <w:r>
        <w:t xml:space="preserve">	</w:t>
      </w:r>
      <w:r>
        <w:t xml:space="preserve">M. Florian, J. K. Lenstra, and A. H. G. Rinnoy Kan,</w:t>
      </w:r>
      <w:r>
        <w:t xml:space="preserve"> </w:t>
      </w:r>
      <w:r>
        <w:t xml:space="preserve">“Deterministic production planning: Algorithms and complexity,”</w:t>
      </w:r>
      <w:r>
        <w:t xml:space="preserve"> </w:t>
      </w:r>
      <w:r>
        <w:rPr>
          <w:i/>
          <w:iCs/>
        </w:rPr>
        <w:t xml:space="preserve">Management Science</w:t>
      </w:r>
      <w:r>
        <w:t xml:space="preserve">, vol. 26, no. 7, pp. 669–679, 1980, doi:</w:t>
      </w:r>
      <w:r>
        <w:t xml:space="preserve"> </w:t>
      </w:r>
      <w:hyperlink r:id="rId144">
        <w:r>
          <w:rPr>
            <w:rStyle w:val="Hyperlink"/>
          </w:rPr>
          <w:t xml:space="preserve">10.1287/mnsc.26.7.669</w:t>
        </w:r>
      </w:hyperlink>
      <w:r>
        <w:t xml:space="preserve">.</w:t>
      </w:r>
    </w:p>
    <w:bookmarkEnd w:id="145"/>
    <w:bookmarkStart w:id="147" w:name="ref-BitranYanasse1982"/>
    <w:p>
      <w:pPr>
        <w:pStyle w:val="Bibliography"/>
      </w:pPr>
      <w:r>
        <w:t xml:space="preserve">[8]</w:t>
      </w:r>
      <w:r>
        <w:t xml:space="preserve"> </w:t>
      </w:r>
      <w:r>
        <w:t xml:space="preserve">	</w:t>
      </w:r>
      <w:r>
        <w:t xml:space="preserve">G. R. Bitran and H. H. Yanasse,</w:t>
      </w:r>
      <w:r>
        <w:t xml:space="preserve"> </w:t>
      </w:r>
      <w:r>
        <w:t xml:space="preserve">“Computational complexity of the capacitated lot size problem,”</w:t>
      </w:r>
      <w:r>
        <w:t xml:space="preserve"> </w:t>
      </w:r>
      <w:r>
        <w:rPr>
          <w:i/>
          <w:iCs/>
        </w:rPr>
        <w:t xml:space="preserve">Management Science</w:t>
      </w:r>
      <w:r>
        <w:t xml:space="preserve">, vol. 28, no. 10, pp. 1174–1186, 1982, doi:</w:t>
      </w:r>
      <w:r>
        <w:t xml:space="preserve"> </w:t>
      </w:r>
      <w:hyperlink r:id="rId146">
        <w:r>
          <w:rPr>
            <w:rStyle w:val="Hyperlink"/>
          </w:rPr>
          <w:t xml:space="preserve">10.1287/mnsc.28.10.1174</w:t>
        </w:r>
      </w:hyperlink>
      <w:r>
        <w:t xml:space="preserve">.</w:t>
      </w:r>
    </w:p>
    <w:bookmarkEnd w:id="147"/>
    <w:bookmarkStart w:id="149" w:name="ref-Goren2016"/>
    <w:p>
      <w:pPr>
        <w:pStyle w:val="Bibliography"/>
      </w:pPr>
      <w:r>
        <w:t xml:space="preserve">[9]</w:t>
      </w:r>
      <w:r>
        <w:t xml:space="preserve"> </w:t>
      </w:r>
      <w:r>
        <w:t xml:space="preserve">	</w:t>
      </w:r>
      <w:r>
        <w:t xml:space="preserve">H. G. Gören and S. Tunalı,</w:t>
      </w:r>
      <w:r>
        <w:t xml:space="preserve"> </w:t>
      </w:r>
      <w:r>
        <w:t xml:space="preserve">“A hybrid approach for solving capacitated lot sizing with setup carryover, backordering and setup splitting,”</w:t>
      </w:r>
      <w:r>
        <w:t xml:space="preserve"> </w:t>
      </w:r>
      <w:r>
        <w:rPr>
          <w:i/>
          <w:iCs/>
        </w:rPr>
        <w:t xml:space="preserve">Computers &amp; Operations Research</w:t>
      </w:r>
      <w:r>
        <w:t xml:space="preserve">, vol. 68, pp. 22–31, 2016, doi:</w:t>
      </w:r>
      <w:r>
        <w:t xml:space="preserve"> </w:t>
      </w:r>
      <w:hyperlink r:id="rId148">
        <w:r>
          <w:rPr>
            <w:rStyle w:val="Hyperlink"/>
          </w:rPr>
          <w:t xml:space="preserve">10.1016/j.cor.2015.10.012</w:t>
        </w:r>
      </w:hyperlink>
      <w:r>
        <w:t xml:space="preserve">.</w:t>
      </w:r>
    </w:p>
    <w:bookmarkEnd w:id="149"/>
    <w:bookmarkStart w:id="151" w:name="ref-Rahmani2025"/>
    <w:p>
      <w:pPr>
        <w:pStyle w:val="Bibliography"/>
      </w:pPr>
      <w:r>
        <w:t xml:space="preserve">[10]</w:t>
      </w:r>
      <w:r>
        <w:t xml:space="preserve"> </w:t>
      </w:r>
      <w:r>
        <w:t xml:space="preserve">	</w:t>
      </w:r>
      <w:r>
        <w:t xml:space="preserve">A. Rahmani, H. Süral, and C. Iyigun,</w:t>
      </w:r>
      <w:r>
        <w:t xml:space="preserve"> </w:t>
      </w:r>
      <w:r>
        <w:t xml:space="preserve">“Two-stage stochastic capacitated lot-sizing problem under demand uncertainty,”</w:t>
      </w:r>
      <w:r>
        <w:t xml:space="preserve"> </w:t>
      </w:r>
      <w:r>
        <w:rPr>
          <w:i/>
          <w:iCs/>
        </w:rPr>
        <w:t xml:space="preserve">Computers &amp; Operations Research</w:t>
      </w:r>
      <w:r>
        <w:t xml:space="preserve">, vol. 174, p. 106881, 2025, doi:</w:t>
      </w:r>
      <w:r>
        <w:t xml:space="preserve"> </w:t>
      </w:r>
      <w:hyperlink r:id="rId150">
        <w:r>
          <w:rPr>
            <w:rStyle w:val="Hyperlink"/>
          </w:rPr>
          <w:t xml:space="preserve">10.1016/j.cor.2024.106881</w:t>
        </w:r>
      </w:hyperlink>
      <w:r>
        <w:t xml:space="preserve">.</w:t>
      </w:r>
    </w:p>
    <w:bookmarkEnd w:id="151"/>
    <w:bookmarkStart w:id="153" w:name="ref-Mahdieh2018"/>
    <w:p>
      <w:pPr>
        <w:pStyle w:val="Bibliography"/>
      </w:pPr>
      <w:r>
        <w:t xml:space="preserve">[11]</w:t>
      </w:r>
      <w:r>
        <w:t xml:space="preserve"> </w:t>
      </w:r>
      <w:r>
        <w:t xml:space="preserve">	</w:t>
      </w:r>
      <w:r>
        <w:t xml:space="preserve">M. Mahdieh, A. Clark, and M. Bijari,</w:t>
      </w:r>
      <w:r>
        <w:t xml:space="preserve"> </w:t>
      </w:r>
      <w:r>
        <w:t xml:space="preserve">“A novel flexible model for lot sizing and scheduling with non-triangular, period overlapping and carryover setups in different machine configurations,”</w:t>
      </w:r>
      <w:r>
        <w:t xml:space="preserve"> </w:t>
      </w:r>
      <w:r>
        <w:rPr>
          <w:i/>
          <w:iCs/>
        </w:rPr>
        <w:t xml:space="preserve">Flexible Services and Manufacturing Journal</w:t>
      </w:r>
      <w:r>
        <w:t xml:space="preserve">, vol. 30, pp. 884–919, 2018, doi:</w:t>
      </w:r>
      <w:r>
        <w:t xml:space="preserve"> </w:t>
      </w:r>
      <w:hyperlink r:id="rId152">
        <w:r>
          <w:rPr>
            <w:rStyle w:val="Hyperlink"/>
          </w:rPr>
          <w:t xml:space="preserve">10.1007/s10696-017-9291-0</w:t>
        </w:r>
      </w:hyperlink>
      <w:r>
        <w:t xml:space="preserve">.</w:t>
      </w:r>
    </w:p>
    <w:bookmarkEnd w:id="153"/>
    <w:bookmarkStart w:id="155" w:name="ref-Yazdekhasti2021"/>
    <w:p>
      <w:pPr>
        <w:pStyle w:val="Bibliography"/>
      </w:pPr>
      <w:r>
        <w:t xml:space="preserve">[12]</w:t>
      </w:r>
      <w:r>
        <w:t xml:space="preserve"> </w:t>
      </w:r>
      <w:r>
        <w:t xml:space="preserve">	</w:t>
      </w:r>
      <w:r>
        <w:t xml:space="preserve">A. Yazdekhasti, Y. Z. Mehrjardi, D. Mohammaditabar, and R. Heidari,</w:t>
      </w:r>
      <w:r>
        <w:t xml:space="preserve"> </w:t>
      </w:r>
      <w:r>
        <w:t xml:space="preserve">“A multi-period multi-modal stochastic supply chain model under</w:t>
      </w:r>
      <w:r>
        <w:t xml:space="preserve"> </w:t>
      </w:r>
      <w:r>
        <w:t xml:space="preserve">COVID</w:t>
      </w:r>
      <w:r>
        <w:t xml:space="preserve"> </w:t>
      </w:r>
      <w:r>
        <w:t xml:space="preserve">pandemic: A poultry industry case study in</w:t>
      </w:r>
      <w:r>
        <w:t xml:space="preserve"> </w:t>
      </w:r>
      <w:r>
        <w:t xml:space="preserve">Mississippi</w:t>
      </w:r>
      <w:r>
        <w:t xml:space="preserve">,”</w:t>
      </w:r>
      <w:r>
        <w:t xml:space="preserve"> </w:t>
      </w:r>
      <w:r>
        <w:rPr>
          <w:i/>
          <w:iCs/>
        </w:rPr>
        <w:t xml:space="preserve">Transportation Research Part E: Logistics and Transportation Review</w:t>
      </w:r>
      <w:r>
        <w:t xml:space="preserve">, vol. 154, p. 102463, 2021, doi:</w:t>
      </w:r>
      <w:r>
        <w:t xml:space="preserve"> </w:t>
      </w:r>
      <w:hyperlink r:id="rId154">
        <w:r>
          <w:rPr>
            <w:rStyle w:val="Hyperlink"/>
          </w:rPr>
          <w:t xml:space="preserve">10.1016/j.tre.2021.102463</w:t>
        </w:r>
      </w:hyperlink>
      <w:r>
        <w:t xml:space="preserve">.</w:t>
      </w:r>
    </w:p>
    <w:bookmarkEnd w:id="155"/>
    <w:bookmarkStart w:id="157" w:name="ref-Ahumada2009"/>
    <w:p>
      <w:pPr>
        <w:pStyle w:val="Bibliography"/>
      </w:pPr>
      <w:r>
        <w:t xml:space="preserve">[13]</w:t>
      </w:r>
      <w:r>
        <w:t xml:space="preserve"> </w:t>
      </w:r>
      <w:r>
        <w:t xml:space="preserve">	</w:t>
      </w:r>
      <w:r>
        <w:t xml:space="preserve">O. Ahumada and J. R. Villalobos,</w:t>
      </w:r>
      <w:r>
        <w:t xml:space="preserve"> </w:t>
      </w:r>
      <w:r>
        <w:t xml:space="preserve">“Application of planning models in the agri-food supply chain: A review,”</w:t>
      </w:r>
      <w:r>
        <w:t xml:space="preserve"> </w:t>
      </w:r>
      <w:r>
        <w:rPr>
          <w:i/>
          <w:iCs/>
        </w:rPr>
        <w:t xml:space="preserve">European Journal of Operational Research</w:t>
      </w:r>
      <w:r>
        <w:t xml:space="preserve">, vol. 196, no. 1, pp. 1–20, 2009, doi:</w:t>
      </w:r>
      <w:r>
        <w:t xml:space="preserve"> </w:t>
      </w:r>
      <w:hyperlink r:id="rId156">
        <w:r>
          <w:rPr>
            <w:rStyle w:val="Hyperlink"/>
          </w:rPr>
          <w:t xml:space="preserve">10.1016/j.ejor.2008.02.014</w:t>
        </w:r>
      </w:hyperlink>
      <w:r>
        <w:t xml:space="preserve">.</w:t>
      </w:r>
    </w:p>
    <w:bookmarkEnd w:id="157"/>
    <w:bookmarkStart w:id="159" w:name="ref-Amorim2014"/>
    <w:p>
      <w:pPr>
        <w:pStyle w:val="Bibliography"/>
      </w:pPr>
      <w:r>
        <w:t xml:space="preserve">[14]</w:t>
      </w:r>
      <w:r>
        <w:t xml:space="preserve"> </w:t>
      </w:r>
      <w:r>
        <w:t xml:space="preserve">	</w:t>
      </w:r>
      <w:r>
        <w:t xml:space="preserve">P. Amorim, H.-O. Gunther, and B. Almada-Lobo,</w:t>
      </w:r>
      <w:r>
        <w:t xml:space="preserve"> </w:t>
      </w:r>
      <w:r>
        <w:t xml:space="preserve">“Multi-objective integrated production and distribution planning of perishable products,”</w:t>
      </w:r>
      <w:r>
        <w:t xml:space="preserve"> </w:t>
      </w:r>
      <w:r>
        <w:rPr>
          <w:i/>
          <w:iCs/>
        </w:rPr>
        <w:t xml:space="preserve">International Journal of Production Economics</w:t>
      </w:r>
      <w:r>
        <w:t xml:space="preserve">, vol. 138, no. 1, pp. 89–101, 2014, doi:</w:t>
      </w:r>
      <w:r>
        <w:t xml:space="preserve"> </w:t>
      </w:r>
      <w:hyperlink r:id="rId158">
        <w:r>
          <w:rPr>
            <w:rStyle w:val="Hyperlink"/>
          </w:rPr>
          <w:t xml:space="preserve">10.1016/j.ijpe.2012.03.005</w:t>
        </w:r>
      </w:hyperlink>
      <w:r>
        <w:t xml:space="preserve">.</w:t>
      </w:r>
    </w:p>
    <w:bookmarkEnd w:id="159"/>
    <w:bookmarkStart w:id="161" w:name="ref-AkbariAghghaleh2025"/>
    <w:p>
      <w:pPr>
        <w:pStyle w:val="Bibliography"/>
      </w:pPr>
      <w:r>
        <w:t xml:space="preserve">[15]</w:t>
      </w:r>
      <w:r>
        <w:t xml:space="preserve"> </w:t>
      </w:r>
      <w:r>
        <w:t xml:space="preserve">	</w:t>
      </w:r>
      <w:r>
        <w:t xml:space="preserve">Z. Akbari-Aghghaleh, M. M. Paydar, and P. Ghasemi,</w:t>
      </w:r>
      <w:r>
        <w:t xml:space="preserve"> </w:t>
      </w:r>
      <w:r>
        <w:t xml:space="preserve">“Designing a closed-loop poultry supply chain network considering perishability and sustainability,”</w:t>
      </w:r>
      <w:r>
        <w:t xml:space="preserve"> </w:t>
      </w:r>
      <w:r>
        <w:rPr>
          <w:i/>
          <w:iCs/>
        </w:rPr>
        <w:t xml:space="preserve">Environment, Development and Sustainability</w:t>
      </w:r>
      <w:r>
        <w:t xml:space="preserve">, 2025, doi:</w:t>
      </w:r>
      <w:r>
        <w:t xml:space="preserve"> </w:t>
      </w:r>
      <w:hyperlink r:id="rId160">
        <w:r>
          <w:rPr>
            <w:rStyle w:val="Hyperlink"/>
          </w:rPr>
          <w:t xml:space="preserve">10.1007/s10668-024-05847-y</w:t>
        </w:r>
      </w:hyperlink>
      <w:r>
        <w:t xml:space="preserve">.</w:t>
      </w:r>
    </w:p>
    <w:bookmarkEnd w:id="161"/>
    <w:bookmarkStart w:id="163" w:name="ref-Slama2021"/>
    <w:p>
      <w:pPr>
        <w:pStyle w:val="Bibliography"/>
      </w:pPr>
      <w:r>
        <w:t xml:space="preserve">[16]</w:t>
      </w:r>
      <w:r>
        <w:t xml:space="preserve"> </w:t>
      </w:r>
      <w:r>
        <w:t xml:space="preserve">	</w:t>
      </w:r>
      <w:r>
        <w:t xml:space="preserve">I. Slama, O. Ben-Ammar, F. Masmoudi, and A. Dolgui,</w:t>
      </w:r>
      <w:r>
        <w:t xml:space="preserve"> </w:t>
      </w:r>
      <w:r>
        <w:t xml:space="preserve">“Genetic algorithm and monte carlo simulation for a stochastic capacitated disassembly lot-sizing problem under random lead times,”</w:t>
      </w:r>
      <w:r>
        <w:t xml:space="preserve"> </w:t>
      </w:r>
      <w:r>
        <w:rPr>
          <w:i/>
          <w:iCs/>
        </w:rPr>
        <w:t xml:space="preserve">Computers &amp; Industrial Engineering</w:t>
      </w:r>
      <w:r>
        <w:t xml:space="preserve">, vol. 159, p. 107468, 2021, doi:</w:t>
      </w:r>
      <w:r>
        <w:t xml:space="preserve"> </w:t>
      </w:r>
      <w:hyperlink r:id="rId162">
        <w:r>
          <w:rPr>
            <w:rStyle w:val="Hyperlink"/>
          </w:rPr>
          <w:t xml:space="preserve">10.1016/j.cie.2021.107468</w:t>
        </w:r>
      </w:hyperlink>
      <w:r>
        <w:t xml:space="preserve">.</w:t>
      </w:r>
    </w:p>
    <w:bookmarkEnd w:id="163"/>
    <w:bookmarkStart w:id="165" w:name="ref-Sel2015"/>
    <w:p>
      <w:pPr>
        <w:pStyle w:val="Bibliography"/>
      </w:pPr>
      <w:r>
        <w:t xml:space="preserve">[17]</w:t>
      </w:r>
      <w:r>
        <w:t xml:space="preserve"> </w:t>
      </w:r>
      <w:r>
        <w:t xml:space="preserve">	</w:t>
      </w:r>
      <w:r>
        <w:t xml:space="preserve">Ç. Sel, B. Bilgen, J. M. Bloemhof-Ruwaard, and J. G. A. J. van der Vorst,</w:t>
      </w:r>
      <w:r>
        <w:t xml:space="preserve"> </w:t>
      </w:r>
      <w:r>
        <w:t xml:space="preserve">“Multi-bucket optimization for integrated planning and scheduling in the perishable dairy supply chain,”</w:t>
      </w:r>
      <w:r>
        <w:t xml:space="preserve"> </w:t>
      </w:r>
      <w:r>
        <w:rPr>
          <w:i/>
          <w:iCs/>
        </w:rPr>
        <w:t xml:space="preserve">Computers &amp; Chemical Engineering</w:t>
      </w:r>
      <w:r>
        <w:t xml:space="preserve">, vol. 77, pp. 59–73, 2015, doi:</w:t>
      </w:r>
      <w:r>
        <w:t xml:space="preserve"> </w:t>
      </w:r>
      <w:hyperlink r:id="rId164">
        <w:r>
          <w:rPr>
            <w:rStyle w:val="Hyperlink"/>
          </w:rPr>
          <w:t xml:space="preserve">10.1016/j.compchemeng.2015.03.020</w:t>
        </w:r>
      </w:hyperlink>
      <w:r>
        <w:t xml:space="preserve">.</w:t>
      </w:r>
    </w:p>
    <w:bookmarkEnd w:id="165"/>
    <w:bookmarkStart w:id="167" w:name="ref-Claassen2016"/>
    <w:p>
      <w:pPr>
        <w:pStyle w:val="Bibliography"/>
      </w:pPr>
      <w:r>
        <w:t xml:space="preserve">[18]</w:t>
      </w:r>
      <w:r>
        <w:t xml:space="preserve"> </w:t>
      </w:r>
      <w:r>
        <w:t xml:space="preserve">	</w:t>
      </w:r>
      <w:r>
        <w:t xml:space="preserve">G. D. H. Claassen,</w:t>
      </w:r>
      <w:r>
        <w:t xml:space="preserve"> </w:t>
      </w:r>
      <w:r>
        <w:t xml:space="preserve">“A note on production planning and scheduling in the food processing industry,”</w:t>
      </w:r>
      <w:r>
        <w:t xml:space="preserve"> </w:t>
      </w:r>
      <w:r>
        <w:rPr>
          <w:i/>
          <w:iCs/>
        </w:rPr>
        <w:t xml:space="preserve">International Journal of Production Research</w:t>
      </w:r>
      <w:r>
        <w:t xml:space="preserve">, vol. 54, no. 22, pp. 6881–6893, 2016, doi:</w:t>
      </w:r>
      <w:r>
        <w:t xml:space="preserve"> </w:t>
      </w:r>
      <w:hyperlink r:id="rId166">
        <w:r>
          <w:rPr>
            <w:rStyle w:val="Hyperlink"/>
          </w:rPr>
          <w:t xml:space="preserve">10.1080/00207543.2016.1193251</w:t>
        </w:r>
      </w:hyperlink>
      <w:r>
        <w:t xml:space="preserve">.</w:t>
      </w:r>
    </w:p>
    <w:bookmarkEnd w:id="167"/>
    <w:bookmarkStart w:id="169" w:name="ref-FAO2023"/>
    <w:p>
      <w:pPr>
        <w:pStyle w:val="Bibliography"/>
      </w:pPr>
      <w:r>
        <w:t xml:space="preserve">[19]</w:t>
      </w:r>
      <w:r>
        <w:t xml:space="preserve"> </w:t>
      </w:r>
      <w:r>
        <w:t xml:space="preserve">	</w:t>
      </w:r>
      <w:r>
        <w:t xml:space="preserve">FAO,</w:t>
      </w:r>
      <w:r>
        <w:t xml:space="preserve"> </w:t>
      </w:r>
      <w:r>
        <w:t xml:space="preserve">“Poultry production and trade statistics,”</w:t>
      </w:r>
      <w:r>
        <w:t xml:space="preserve"> </w:t>
      </w:r>
      <w:r>
        <w:t xml:space="preserve">Food; Agriculture Organization of the United Nations, 2023. Available:</w:t>
      </w:r>
      <w:r>
        <w:t xml:space="preserve"> </w:t>
      </w:r>
      <w:hyperlink r:id="rId168">
        <w:r>
          <w:rPr>
            <w:rStyle w:val="Hyperlink"/>
          </w:rPr>
          <w:t xml:space="preserve">https://www.fao.org</w:t>
        </w:r>
      </w:hyperlink>
    </w:p>
    <w:bookmarkEnd w:id="169"/>
    <w:bookmarkStart w:id="171" w:name="ref-Darghouth2021"/>
    <w:p>
      <w:pPr>
        <w:pStyle w:val="Bibliography"/>
      </w:pPr>
      <w:r>
        <w:t xml:space="preserve">[20]</w:t>
      </w:r>
      <w:r>
        <w:t xml:space="preserve"> </w:t>
      </w:r>
      <w:r>
        <w:t xml:space="preserve">	</w:t>
      </w:r>
      <w:r>
        <w:t xml:space="preserve">M. N. Darghouth</w:t>
      </w:r>
      <w:r>
        <w:t xml:space="preserve"> </w:t>
      </w:r>
      <w:r>
        <w:rPr>
          <w:i/>
          <w:iCs/>
        </w:rPr>
        <w:t xml:space="preserve">et al.</w:t>
      </w:r>
      <w:r>
        <w:t xml:space="preserve">,</w:t>
      </w:r>
      <w:r>
        <w:t xml:space="preserve"> </w:t>
      </w:r>
      <w:r>
        <w:t xml:space="preserve">“A capacitated disassembly scheduling problem considering processing technology selection and parts commonality,”</w:t>
      </w:r>
      <w:r>
        <w:t xml:space="preserve"> </w:t>
      </w:r>
      <w:r>
        <w:rPr>
          <w:i/>
          <w:iCs/>
        </w:rPr>
        <w:t xml:space="preserve">Journal of Remanufacturing</w:t>
      </w:r>
      <w:r>
        <w:t xml:space="preserve">, vol. 11, pp. 243–261, 2021, doi:</w:t>
      </w:r>
      <w:r>
        <w:t xml:space="preserve"> </w:t>
      </w:r>
      <w:hyperlink r:id="rId170">
        <w:r>
          <w:rPr>
            <w:rStyle w:val="Hyperlink"/>
          </w:rPr>
          <w:t xml:space="preserve">10.1007/s13243-021-00104-3</w:t>
        </w:r>
      </w:hyperlink>
      <w:r>
        <w:t xml:space="preserve">.</w:t>
      </w:r>
    </w:p>
    <w:bookmarkEnd w:id="171"/>
    <w:bookmarkStart w:id="173" w:name="ref-SensorsPoultry2022"/>
    <w:p>
      <w:pPr>
        <w:pStyle w:val="Bibliography"/>
      </w:pPr>
      <w:r>
        <w:t xml:space="preserve">[21]</w:t>
      </w:r>
      <w:r>
        <w:t xml:space="preserve"> </w:t>
      </w:r>
      <w:r>
        <w:t xml:space="preserve">	</w:t>
      </w:r>
      <w:r>
        <w:t xml:space="preserve">J.-H. Kim, S.-M. Park, H.-J. Lee,</w:t>
      </w:r>
      <w:r>
        <w:t xml:space="preserve"> </w:t>
      </w:r>
      <w:r>
        <w:rPr>
          <w:i/>
          <w:iCs/>
        </w:rPr>
        <w:t xml:space="preserve">et al.</w:t>
      </w:r>
      <w:r>
        <w:t xml:space="preserve">,</w:t>
      </w:r>
      <w:r>
        <w:t xml:space="preserve"> </w:t>
      </w:r>
      <w:r>
        <w:t xml:space="preserve">“Smart sensor applications in poultry processing: A comprehensive review,”</w:t>
      </w:r>
      <w:r>
        <w:t xml:space="preserve"> </w:t>
      </w:r>
      <w:r>
        <w:rPr>
          <w:i/>
          <w:iCs/>
        </w:rPr>
        <w:t xml:space="preserve">Sensors</w:t>
      </w:r>
      <w:r>
        <w:t xml:space="preserve">, vol. 22, no. 10, p. 3920, 2022, doi:</w:t>
      </w:r>
      <w:r>
        <w:t xml:space="preserve"> </w:t>
      </w:r>
      <w:hyperlink r:id="rId172">
        <w:r>
          <w:rPr>
            <w:rStyle w:val="Hyperlink"/>
          </w:rPr>
          <w:t xml:space="preserve">10.3390/s22103920</w:t>
        </w:r>
      </w:hyperlink>
      <w:r>
        <w:t xml:space="preserve">.</w:t>
      </w:r>
    </w:p>
    <w:bookmarkEnd w:id="173"/>
    <w:bookmarkStart w:id="175" w:name="ref-AutomationSystems2023"/>
    <w:p>
      <w:pPr>
        <w:pStyle w:val="Bibliography"/>
      </w:pPr>
      <w:r>
        <w:t xml:space="preserve">[22]</w:t>
      </w:r>
      <w:r>
        <w:t xml:space="preserve"> </w:t>
      </w:r>
      <w:r>
        <w:t xml:space="preserve">	</w:t>
      </w:r>
      <w:r>
        <w:t xml:space="preserve">L. García López, R. Fernández-Ruiz, and M. López-Martínez,</w:t>
      </w:r>
      <w:r>
        <w:t xml:space="preserve"> </w:t>
      </w:r>
      <w:r>
        <w:t xml:space="preserve">“Automation systems in food processing: Current trends and future perspectives,”</w:t>
      </w:r>
      <w:r>
        <w:t xml:space="preserve"> </w:t>
      </w:r>
      <w:r>
        <w:rPr>
          <w:i/>
          <w:iCs/>
        </w:rPr>
        <w:t xml:space="preserve">Automation</w:t>
      </w:r>
      <w:r>
        <w:t xml:space="preserve">, vol. 4, no. 2, pp. 150–175, 2023, doi:</w:t>
      </w:r>
      <w:r>
        <w:t xml:space="preserve"> </w:t>
      </w:r>
      <w:hyperlink r:id="rId174">
        <w:r>
          <w:rPr>
            <w:rStyle w:val="Hyperlink"/>
          </w:rPr>
          <w:t xml:space="preserve">10.3390/automation4020021</w:t>
        </w:r>
      </w:hyperlink>
      <w:r>
        <w:t xml:space="preserve">.</w:t>
      </w:r>
    </w:p>
    <w:bookmarkEnd w:id="175"/>
    <w:bookmarkStart w:id="177" w:name="ref-Birge2011"/>
    <w:p>
      <w:pPr>
        <w:pStyle w:val="Bibliography"/>
      </w:pPr>
      <w:r>
        <w:t xml:space="preserve">[23]</w:t>
      </w:r>
      <w:r>
        <w:t xml:space="preserve"> </w:t>
      </w:r>
      <w:r>
        <w:t xml:space="preserve">	</w:t>
      </w:r>
      <w:r>
        <w:t xml:space="preserve">J. R. Birge and F. Louveaux,</w:t>
      </w:r>
      <w:r>
        <w:t xml:space="preserve"> </w:t>
      </w:r>
      <w:r>
        <w:t xml:space="preserve">“Introduction to stochastic programming,”</w:t>
      </w:r>
      <w:r>
        <w:t xml:space="preserve"> </w:t>
      </w:r>
      <w:r>
        <w:rPr>
          <w:i/>
          <w:iCs/>
        </w:rPr>
        <w:t xml:space="preserve">Springer Series in Operations Research and Financial Engineering</w:t>
      </w:r>
      <w:r>
        <w:t xml:space="preserve">, 2011, doi:</w:t>
      </w:r>
      <w:r>
        <w:t xml:space="preserve"> </w:t>
      </w:r>
      <w:hyperlink r:id="rId176">
        <w:r>
          <w:rPr>
            <w:rStyle w:val="Hyperlink"/>
          </w:rPr>
          <w:t xml:space="preserve">10.1007/978-1-4614-0237-4</w:t>
        </w:r>
      </w:hyperlink>
      <w:r>
        <w:t xml:space="preserve">.</w:t>
      </w:r>
    </w:p>
    <w:bookmarkEnd w:id="177"/>
    <w:bookmarkStart w:id="179" w:name="ref-MirzapourAlHashem2011"/>
    <w:p>
      <w:pPr>
        <w:pStyle w:val="Bibliography"/>
      </w:pPr>
      <w:r>
        <w:t xml:space="preserve">[24]</w:t>
      </w:r>
      <w:r>
        <w:t xml:space="preserve"> </w:t>
      </w:r>
      <w:r>
        <w:t xml:space="preserve">	</w:t>
      </w:r>
      <w:r>
        <w:t xml:space="preserve">S. M. J. Mirzapour Al-e-Hashem, H. Malekly, and M. B. Aryanezhad,</w:t>
      </w:r>
      <w:r>
        <w:t xml:space="preserve"> </w:t>
      </w:r>
      <w:r>
        <w:t xml:space="preserve">“A multi-objective robust optimization model for multi-product multi-site aggregate production planning in a supply chain under uncertainty,”</w:t>
      </w:r>
      <w:r>
        <w:t xml:space="preserve"> </w:t>
      </w:r>
      <w:r>
        <w:rPr>
          <w:i/>
          <w:iCs/>
        </w:rPr>
        <w:t xml:space="preserve">International Journal of Production Economics</w:t>
      </w:r>
      <w:r>
        <w:t xml:space="preserve">, vol. 134, no. 1, pp. 28–42, 2011, doi:</w:t>
      </w:r>
      <w:r>
        <w:t xml:space="preserve"> </w:t>
      </w:r>
      <w:hyperlink r:id="rId178">
        <w:r>
          <w:rPr>
            <w:rStyle w:val="Hyperlink"/>
          </w:rPr>
          <w:t xml:space="preserve">10.1016/j.ijpe.2011.01.027</w:t>
        </w:r>
      </w:hyperlink>
      <w:r>
        <w:t xml:space="preserve">.</w:t>
      </w:r>
    </w:p>
    <w:bookmarkEnd w:id="179"/>
    <w:bookmarkStart w:id="181" w:name="ref-Arteaga2025"/>
    <w:p>
      <w:pPr>
        <w:pStyle w:val="Bibliography"/>
      </w:pPr>
      <w:r>
        <w:t xml:space="preserve">[25]</w:t>
      </w:r>
      <w:r>
        <w:t xml:space="preserve"> </w:t>
      </w:r>
      <w:r>
        <w:t xml:space="preserve">	</w:t>
      </w:r>
      <w:r>
        <w:t xml:space="preserve">E. Arteaga-Cabrera, C. Ramírez-Márquez, E. Sánchez-Ramírez, J. G. Segovia-Hernández, O. Osorio-Mora, and J. A. Gómez-Salazar,</w:t>
      </w:r>
      <w:r>
        <w:t xml:space="preserve"> </w:t>
      </w:r>
      <w:r>
        <w:t xml:space="preserve">“Advancing optimization strategies in the food industry: From traditional approaches to multi-objective and technology-integrated solutions,”</w:t>
      </w:r>
      <w:r>
        <w:t xml:space="preserve"> </w:t>
      </w:r>
      <w:r>
        <w:rPr>
          <w:i/>
          <w:iCs/>
        </w:rPr>
        <w:t xml:space="preserve">Applied Sciences</w:t>
      </w:r>
      <w:r>
        <w:t xml:space="preserve">, vol. 15, no. 7, p. 3846, 2025, doi:</w:t>
      </w:r>
      <w:r>
        <w:t xml:space="preserve"> </w:t>
      </w:r>
      <w:hyperlink r:id="rId180">
        <w:r>
          <w:rPr>
            <w:rStyle w:val="Hyperlink"/>
          </w:rPr>
          <w:t xml:space="preserve">10.3390/app15073846</w:t>
        </w:r>
      </w:hyperlink>
      <w:r>
        <w:t xml:space="preserve">.</w:t>
      </w:r>
    </w:p>
    <w:bookmarkEnd w:id="181"/>
    <w:bookmarkStart w:id="183" w:name="ref-Entrup2005"/>
    <w:p>
      <w:pPr>
        <w:pStyle w:val="Bibliography"/>
      </w:pPr>
      <w:r>
        <w:t xml:space="preserve">[26]</w:t>
      </w:r>
      <w:r>
        <w:t xml:space="preserve"> </w:t>
      </w:r>
      <w:r>
        <w:t xml:space="preserve">	</w:t>
      </w:r>
      <w:r>
        <w:t xml:space="preserve">M. L. Entrup, H.-O. Gunther, P. Van Beek, M. Grunow, and T. Seiler,</w:t>
      </w:r>
      <w:r>
        <w:t xml:space="preserve"> </w:t>
      </w:r>
      <w:r>
        <w:t xml:space="preserve">“Mixed-integer linear programming approaches to shelf-life-integrated planning and scheduling in yoghurt production,”</w:t>
      </w:r>
      <w:r>
        <w:t xml:space="preserve"> </w:t>
      </w:r>
      <w:r>
        <w:rPr>
          <w:i/>
          <w:iCs/>
        </w:rPr>
        <w:t xml:space="preserve">International Journal of Production Research</w:t>
      </w:r>
      <w:r>
        <w:t xml:space="preserve">, vol. 43, no. 23, pp. 5071–5100, 2005, doi:</w:t>
      </w:r>
      <w:r>
        <w:t xml:space="preserve"> </w:t>
      </w:r>
      <w:hyperlink r:id="rId182">
        <w:r>
          <w:rPr>
            <w:rStyle w:val="Hyperlink"/>
          </w:rPr>
          <w:t xml:space="preserve">10.1080/00207540500161068</w:t>
        </w:r>
      </w:hyperlink>
      <w:r>
        <w:t xml:space="preserve">.</w:t>
      </w:r>
    </w:p>
    <w:bookmarkEnd w:id="183"/>
    <w:bookmarkStart w:id="185" w:name="ref-Rong2011"/>
    <w:p>
      <w:pPr>
        <w:pStyle w:val="Bibliography"/>
      </w:pPr>
      <w:r>
        <w:t xml:space="preserve">[27]</w:t>
      </w:r>
      <w:r>
        <w:t xml:space="preserve"> </w:t>
      </w:r>
      <w:r>
        <w:t xml:space="preserve">	</w:t>
      </w:r>
      <w:r>
        <w:t xml:space="preserve">A. Rong, R. Akkerman, and M. Grunow,</w:t>
      </w:r>
      <w:r>
        <w:t xml:space="preserve"> </w:t>
      </w:r>
      <w:r>
        <w:t xml:space="preserve">“An optimization approach for managing fresh food quality throughout the supply chain,”</w:t>
      </w:r>
      <w:r>
        <w:t xml:space="preserve"> </w:t>
      </w:r>
      <w:r>
        <w:rPr>
          <w:i/>
          <w:iCs/>
        </w:rPr>
        <w:t xml:space="preserve">International Journal of Production Economics</w:t>
      </w:r>
      <w:r>
        <w:t xml:space="preserve">, vol. 131, no. 1, pp. 421–429, 2011, doi:</w:t>
      </w:r>
      <w:r>
        <w:t xml:space="preserve"> </w:t>
      </w:r>
      <w:hyperlink r:id="rId184">
        <w:r>
          <w:rPr>
            <w:rStyle w:val="Hyperlink"/>
          </w:rPr>
          <w:t xml:space="preserve">10.1016/j.ijpe.2009.11.026</w:t>
        </w:r>
      </w:hyperlink>
      <w:r>
        <w:t xml:space="preserve">.</w:t>
      </w:r>
    </w:p>
    <w:bookmarkEnd w:id="185"/>
    <w:bookmarkStart w:id="187" w:name="ref-MetaheuristicsPower2023"/>
    <w:p>
      <w:pPr>
        <w:pStyle w:val="Bibliography"/>
      </w:pPr>
      <w:r>
        <w:t xml:space="preserve">[28]</w:t>
      </w:r>
      <w:r>
        <w:t xml:space="preserve"> </w:t>
      </w:r>
      <w:r>
        <w:t xml:space="preserve">	</w:t>
      </w:r>
      <w:r>
        <w:t xml:space="preserve">M. Abdel-Basset</w:t>
      </w:r>
      <w:r>
        <w:t xml:space="preserve"> </w:t>
      </w:r>
      <w:r>
        <w:rPr>
          <w:i/>
          <w:iCs/>
        </w:rPr>
        <w:t xml:space="preserve">et al.</w:t>
      </w:r>
      <w:r>
        <w:t xml:space="preserve">,</w:t>
      </w:r>
      <w:r>
        <w:t xml:space="preserve"> </w:t>
      </w:r>
      <w:r>
        <w:t xml:space="preserve">“Review of metaheuristic optimization algorithms for power systems problems,”</w:t>
      </w:r>
      <w:r>
        <w:t xml:space="preserve"> </w:t>
      </w:r>
      <w:r>
        <w:rPr>
          <w:i/>
          <w:iCs/>
        </w:rPr>
        <w:t xml:space="preserve">Sustainability</w:t>
      </w:r>
      <w:r>
        <w:t xml:space="preserve">, vol. 15, no. 12, p. 9434, 2023, doi:</w:t>
      </w:r>
      <w:r>
        <w:t xml:space="preserve"> </w:t>
      </w:r>
      <w:hyperlink r:id="rId186">
        <w:r>
          <w:rPr>
            <w:rStyle w:val="Hyperlink"/>
          </w:rPr>
          <w:t xml:space="preserve">10.3390/su15129434</w:t>
        </w:r>
      </w:hyperlink>
      <w:r>
        <w:t xml:space="preserve">.</w:t>
      </w:r>
    </w:p>
    <w:bookmarkEnd w:id="187"/>
    <w:bookmarkStart w:id="189" w:name="ref-Stefansdottir2017"/>
    <w:p>
      <w:pPr>
        <w:pStyle w:val="Bibliography"/>
      </w:pPr>
      <w:r>
        <w:t xml:space="preserve">[29]</w:t>
      </w:r>
      <w:r>
        <w:t xml:space="preserve"> </w:t>
      </w:r>
      <w:r>
        <w:t xml:space="preserve">	</w:t>
      </w:r>
      <w:r>
        <w:t xml:space="preserve">B. G. Stefánsdóttir and M. Grunow,</w:t>
      </w:r>
      <w:r>
        <w:t xml:space="preserve"> </w:t>
      </w:r>
      <w:r>
        <w:t xml:space="preserve">“Selecting new product designs and processing technologies under uncertainty: Two-stage stochastic model and application to a food supply chain,”</w:t>
      </w:r>
      <w:r>
        <w:t xml:space="preserve"> </w:t>
      </w:r>
      <w:r>
        <w:rPr>
          <w:i/>
          <w:iCs/>
        </w:rPr>
        <w:t xml:space="preserve">International Journal of Production Economics</w:t>
      </w:r>
      <w:r>
        <w:t xml:space="preserve">, vol. 191, pp. 89–103, 2017, doi:</w:t>
      </w:r>
      <w:r>
        <w:t xml:space="preserve"> </w:t>
      </w:r>
      <w:hyperlink r:id="rId188">
        <w:r>
          <w:rPr>
            <w:rStyle w:val="Hyperlink"/>
          </w:rPr>
          <w:t xml:space="preserve">10.1016/j.ijpe.2017.04.013</w:t>
        </w:r>
      </w:hyperlink>
      <w:r>
        <w:t xml:space="preserve">.</w:t>
      </w:r>
    </w:p>
    <w:bookmarkEnd w:id="189"/>
    <w:bookmarkStart w:id="191" w:name="ref-GonzalezNeira2025"/>
    <w:p>
      <w:pPr>
        <w:pStyle w:val="Bibliography"/>
      </w:pPr>
      <w:r>
        <w:t xml:space="preserve">[30]</w:t>
      </w:r>
      <w:r>
        <w:t xml:space="preserve"> </w:t>
      </w:r>
      <w:r>
        <w:t xml:space="preserve">	</w:t>
      </w:r>
      <w:r>
        <w:t xml:space="preserve">E. M. González-Neira, J. R. Montoya-Torres, and D. Barrera,</w:t>
      </w:r>
      <w:r>
        <w:t xml:space="preserve"> </w:t>
      </w:r>
      <w:r>
        <w:t xml:space="preserve">“An optimization model for the poultry supply chain scheduling and distribution,”</w:t>
      </w:r>
      <w:r>
        <w:t xml:space="preserve"> </w:t>
      </w:r>
      <w:r>
        <w:rPr>
          <w:i/>
          <w:iCs/>
        </w:rPr>
        <w:t xml:space="preserve">Computers &amp; Operations Research</w:t>
      </w:r>
      <w:r>
        <w:t xml:space="preserve">, vol. 175, p. 106927, 2025, doi:</w:t>
      </w:r>
      <w:r>
        <w:t xml:space="preserve"> </w:t>
      </w:r>
      <w:hyperlink r:id="rId190">
        <w:r>
          <w:rPr>
            <w:rStyle w:val="Hyperlink"/>
          </w:rPr>
          <w:t xml:space="preserve">10.1016/j.cor.2024.106927</w:t>
        </w:r>
      </w:hyperlink>
      <w:r>
        <w:t xml:space="preserve">.</w:t>
      </w:r>
    </w:p>
    <w:bookmarkEnd w:id="191"/>
    <w:bookmarkStart w:id="193" w:name="ref-Dadaneh2024"/>
    <w:p>
      <w:pPr>
        <w:pStyle w:val="Bibliography"/>
      </w:pPr>
      <w:r>
        <w:t xml:space="preserve">[31]</w:t>
      </w:r>
      <w:r>
        <w:t xml:space="preserve"> </w:t>
      </w:r>
      <w:r>
        <w:t xml:space="preserve">	</w:t>
      </w:r>
      <w:r>
        <w:t xml:space="preserve">D. Z. Dadaneh, M. Sanei, M. Basiri, and J. Razmi,</w:t>
      </w:r>
      <w:r>
        <w:t xml:space="preserve"> </w:t>
      </w:r>
      <w:r>
        <w:t xml:space="preserve">“An integrated chance-constrained capacitated lot-sizing model for egg production planning,”</w:t>
      </w:r>
      <w:r>
        <w:t xml:space="preserve"> </w:t>
      </w:r>
      <w:r>
        <w:rPr>
          <w:i/>
          <w:iCs/>
        </w:rPr>
        <w:t xml:space="preserve">Agricultural Systems</w:t>
      </w:r>
      <w:r>
        <w:t xml:space="preserve">, vol. 221, p. 104108, 2024, doi:</w:t>
      </w:r>
      <w:r>
        <w:t xml:space="preserve"> </w:t>
      </w:r>
      <w:hyperlink r:id="rId192">
        <w:r>
          <w:rPr>
            <w:rStyle w:val="Hyperlink"/>
          </w:rPr>
          <w:t xml:space="preserve">10.1016/j.agsy.2024.104108</w:t>
        </w:r>
      </w:hyperlink>
      <w:r>
        <w:t xml:space="preserve">.</w:t>
      </w:r>
    </w:p>
    <w:bookmarkEnd w:id="193"/>
    <w:bookmarkStart w:id="195" w:name="ref-Juwitaa2024"/>
    <w:p>
      <w:pPr>
        <w:pStyle w:val="Bibliography"/>
      </w:pPr>
      <w:r>
        <w:t xml:space="preserve">[32]</w:t>
      </w:r>
      <w:r>
        <w:t xml:space="preserve"> </w:t>
      </w:r>
      <w:r>
        <w:t xml:space="preserve">	</w:t>
      </w:r>
      <w:r>
        <w:t xml:space="preserve">R. Juwitaa, S. Suprayogi, and A. H. Halim,</w:t>
      </w:r>
      <w:r>
        <w:t xml:space="preserve"> </w:t>
      </w:r>
      <w:r>
        <w:t xml:space="preserve">“Two-stage stochastic programming for broiler supply chain optimization under growth uncertainty,”</w:t>
      </w:r>
      <w:r>
        <w:t xml:space="preserve"> </w:t>
      </w:r>
      <w:r>
        <w:rPr>
          <w:i/>
          <w:iCs/>
        </w:rPr>
        <w:t xml:space="preserve">Livestock Science</w:t>
      </w:r>
      <w:r>
        <w:t xml:space="preserve">, vol. 289, p. 105586, 2024, doi:</w:t>
      </w:r>
      <w:r>
        <w:t xml:space="preserve"> </w:t>
      </w:r>
      <w:hyperlink r:id="rId194">
        <w:r>
          <w:rPr>
            <w:rStyle w:val="Hyperlink"/>
          </w:rPr>
          <w:t xml:space="preserve">10.1016/j.livsci.2024.105586</w:t>
        </w:r>
      </w:hyperlink>
      <w:r>
        <w:t xml:space="preserve">.</w:t>
      </w:r>
    </w:p>
    <w:bookmarkEnd w:id="195"/>
    <w:bookmarkStart w:id="197" w:name="ref-Roshani2017"/>
    <w:p>
      <w:pPr>
        <w:pStyle w:val="Bibliography"/>
      </w:pPr>
      <w:r>
        <w:t xml:space="preserve">[33]</w:t>
      </w:r>
      <w:r>
        <w:t xml:space="preserve"> </w:t>
      </w:r>
      <w:r>
        <w:t xml:space="preserve">	</w:t>
      </w:r>
      <w:r>
        <w:t xml:space="preserve">A. Roshani, D. Giglio, and M. Paolucci,</w:t>
      </w:r>
      <w:r>
        <w:t xml:space="preserve"> </w:t>
      </w:r>
      <w:r>
        <w:t xml:space="preserve">“A relax-and-fix heuristic for the capacitated lot-sizing problem,”</w:t>
      </w:r>
      <w:r>
        <w:t xml:space="preserve"> </w:t>
      </w:r>
      <w:r>
        <w:rPr>
          <w:i/>
          <w:iCs/>
        </w:rPr>
        <w:t xml:space="preserve">International Journal of Production Research</w:t>
      </w:r>
      <w:r>
        <w:t xml:space="preserve">, vol. 55, no. 10, pp. 2791–2804, 2017, doi:</w:t>
      </w:r>
      <w:r>
        <w:t xml:space="preserve"> </w:t>
      </w:r>
      <w:hyperlink r:id="rId196">
        <w:r>
          <w:rPr>
            <w:rStyle w:val="Hyperlink"/>
          </w:rPr>
          <w:t xml:space="preserve">10.1080/00207543.2016.1223382</w:t>
        </w:r>
      </w:hyperlink>
      <w:r>
        <w:t xml:space="preserve">.</w:t>
      </w:r>
    </w:p>
    <w:bookmarkEnd w:id="197"/>
    <w:bookmarkStart w:id="199" w:name="ref-Liang2023"/>
    <w:p>
      <w:pPr>
        <w:pStyle w:val="Bibliography"/>
      </w:pPr>
      <w:r>
        <w:t xml:space="preserve">[34]</w:t>
      </w:r>
      <w:r>
        <w:t xml:space="preserve"> </w:t>
      </w:r>
      <w:r>
        <w:t xml:space="preserve">	</w:t>
      </w:r>
      <w:r>
        <w:t xml:space="preserve">Z. Liang, Y. He, and F. Wu,</w:t>
      </w:r>
      <w:r>
        <w:t xml:space="preserve"> </w:t>
      </w:r>
      <w:r>
        <w:t xml:space="preserve">“Multi-objective optimization for meat cutting and trim operations in the meat processing industry,”</w:t>
      </w:r>
      <w:r>
        <w:t xml:space="preserve"> </w:t>
      </w:r>
      <w:r>
        <w:rPr>
          <w:i/>
          <w:iCs/>
        </w:rPr>
        <w:t xml:space="preserve">Computers and Industrial Engineering</w:t>
      </w:r>
      <w:r>
        <w:t xml:space="preserve">, vol. 175, p. 108820, 2023, doi:</w:t>
      </w:r>
      <w:r>
        <w:t xml:space="preserve"> </w:t>
      </w:r>
      <w:hyperlink r:id="rId198">
        <w:r>
          <w:rPr>
            <w:rStyle w:val="Hyperlink"/>
          </w:rPr>
          <w:t xml:space="preserve">10.1016/j.cie.2022.108820</w:t>
        </w:r>
      </w:hyperlink>
      <w:r>
        <w:t xml:space="preserve">.</w:t>
      </w:r>
    </w:p>
    <w:bookmarkEnd w:id="199"/>
    <w:bookmarkStart w:id="201" w:name="ref-Kopanos_2012"/>
    <w:p>
      <w:pPr>
        <w:pStyle w:val="Bibliography"/>
      </w:pPr>
      <w:r>
        <w:t xml:space="preserve">[35]</w:t>
      </w:r>
      <w:r>
        <w:t xml:space="preserve"> </w:t>
      </w:r>
      <w:r>
        <w:t xml:space="preserve">	</w:t>
      </w:r>
      <w:r>
        <w:t xml:space="preserve">G. M. Kopanos, L. Puigjaner, and M. C. Georgiadis,</w:t>
      </w:r>
      <w:r>
        <w:t xml:space="preserve"> </w:t>
      </w:r>
      <w:r>
        <w:t xml:space="preserve">“Efficient mathematical frameworks for detailed production scheduling in food processing industries,”</w:t>
      </w:r>
      <w:r>
        <w:t xml:space="preserve"> </w:t>
      </w:r>
      <w:r>
        <w:rPr>
          <w:i/>
          <w:iCs/>
        </w:rPr>
        <w:t xml:space="preserve">Computers &amp; Chemical Engineering</w:t>
      </w:r>
      <w:r>
        <w:t xml:space="preserve">, vol. 42, pp. 206–216, 2012, doi:</w:t>
      </w:r>
      <w:r>
        <w:t xml:space="preserve"> </w:t>
      </w:r>
      <w:hyperlink r:id="rId200">
        <w:r>
          <w:rPr>
            <w:rStyle w:val="Hyperlink"/>
          </w:rPr>
          <w:t xml:space="preserve">10.1016/j.compchemeng.2011.12.015</w:t>
        </w:r>
      </w:hyperlink>
      <w:r>
        <w:t xml:space="preserve">.</w:t>
      </w:r>
    </w:p>
    <w:bookmarkEnd w:id="201"/>
    <w:bookmarkStart w:id="203" w:name="ref-Mahalik2010"/>
    <w:p>
      <w:pPr>
        <w:pStyle w:val="Bibliography"/>
      </w:pPr>
      <w:r>
        <w:t xml:space="preserve">[36]</w:t>
      </w:r>
      <w:r>
        <w:t xml:space="preserve"> </w:t>
      </w:r>
      <w:r>
        <w:t xml:space="preserve">	</w:t>
      </w:r>
      <w:r>
        <w:t xml:space="preserve">N. P. Mahalik and A. N. Nambiar,</w:t>
      </w:r>
      <w:r>
        <w:t xml:space="preserve"> </w:t>
      </w:r>
      <w:r>
        <w:t xml:space="preserve">“Trends in food packaging and manufacturing systems and technology,”</w:t>
      </w:r>
      <w:r>
        <w:t xml:space="preserve"> </w:t>
      </w:r>
      <w:r>
        <w:rPr>
          <w:i/>
          <w:iCs/>
        </w:rPr>
        <w:t xml:space="preserve">Trends in Food Science &amp; Technology</w:t>
      </w:r>
      <w:r>
        <w:t xml:space="preserve">, vol. 21, no. 3, pp. 117–128, 2010, doi:</w:t>
      </w:r>
      <w:r>
        <w:t xml:space="preserve"> </w:t>
      </w:r>
      <w:hyperlink r:id="rId202">
        <w:r>
          <w:rPr>
            <w:rStyle w:val="Hyperlink"/>
          </w:rPr>
          <w:t xml:space="preserve">10.1016/j.tifs.2009.12.006</w:t>
        </w:r>
      </w:hyperlink>
      <w:r>
        <w:t xml:space="preserve">.</w:t>
      </w:r>
    </w:p>
    <w:bookmarkEnd w:id="203"/>
    <w:bookmarkStart w:id="205" w:name="ref-Hartono2022"/>
    <w:p>
      <w:pPr>
        <w:pStyle w:val="Bibliography"/>
      </w:pPr>
      <w:r>
        <w:t xml:space="preserve">[37]</w:t>
      </w:r>
      <w:r>
        <w:t xml:space="preserve"> </w:t>
      </w:r>
      <w:r>
        <w:t xml:space="preserve">	</w:t>
      </w:r>
      <w:r>
        <w:t xml:space="preserve">N. Hartono, F. J. Ramírez, and D. T. Pham,</w:t>
      </w:r>
      <w:r>
        <w:t xml:space="preserve"> </w:t>
      </w:r>
      <w:r>
        <w:t xml:space="preserve">“Optimisation of robotic disassembly plans using the bees algorithm,”</w:t>
      </w:r>
      <w:r>
        <w:t xml:space="preserve"> </w:t>
      </w:r>
      <w:r>
        <w:rPr>
          <w:i/>
          <w:iCs/>
        </w:rPr>
        <w:t xml:space="preserve">Robotics and Computer-Integrated Manufacturing</w:t>
      </w:r>
      <w:r>
        <w:t xml:space="preserve">, vol. 78, p. 102411, 2022, doi:</w:t>
      </w:r>
      <w:r>
        <w:t xml:space="preserve"> </w:t>
      </w:r>
      <w:hyperlink r:id="rId204">
        <w:r>
          <w:rPr>
            <w:rStyle w:val="Hyperlink"/>
          </w:rPr>
          <w:t xml:space="preserve">10.1016/j.rcim.2022.102411</w:t>
        </w:r>
      </w:hyperlink>
      <w:r>
        <w:t xml:space="preserve">.</w:t>
      </w:r>
    </w:p>
    <w:bookmarkEnd w:id="205"/>
    <w:bookmarkStart w:id="207" w:name="ref-Feng2025"/>
    <w:p>
      <w:pPr>
        <w:pStyle w:val="Bibliography"/>
      </w:pPr>
      <w:r>
        <w:t xml:space="preserve">[38]</w:t>
      </w:r>
      <w:r>
        <w:t xml:space="preserve"> </w:t>
      </w:r>
      <w:r>
        <w:t xml:space="preserve">	</w:t>
      </w:r>
      <w:r>
        <w:t xml:space="preserve">Y. Feng</w:t>
      </w:r>
      <w:r>
        <w:t xml:space="preserve"> </w:t>
      </w:r>
      <w:r>
        <w:rPr>
          <w:i/>
          <w:iCs/>
        </w:rPr>
        <w:t xml:space="preserve">et al.</w:t>
      </w:r>
      <w:r>
        <w:t xml:space="preserve">,</w:t>
      </w:r>
      <w:r>
        <w:t xml:space="preserve"> </w:t>
      </w:r>
      <w:r>
        <w:t xml:space="preserve">“Synthetic data augmentation for enhanced chicken carcass instance segmentation,”</w:t>
      </w:r>
      <w:r>
        <w:t xml:space="preserve"> </w:t>
      </w:r>
      <w:r>
        <w:rPr>
          <w:i/>
          <w:iCs/>
        </w:rPr>
        <w:t xml:space="preserve">arXiv preprint arXiv:2507.18558</w:t>
      </w:r>
      <w:r>
        <w:t xml:space="preserve">, 2025, Available:</w:t>
      </w:r>
      <w:r>
        <w:t xml:space="preserve"> </w:t>
      </w:r>
      <w:hyperlink r:id="rId206">
        <w:r>
          <w:rPr>
            <w:rStyle w:val="Hyperlink"/>
          </w:rPr>
          <w:t xml:space="preserve">https://arxiv.org/abs/2507.18558</w:t>
        </w:r>
      </w:hyperlink>
    </w:p>
    <w:bookmarkEnd w:id="207"/>
    <w:bookmarkStart w:id="209" w:name="ref-Awad2023"/>
    <w:p>
      <w:pPr>
        <w:pStyle w:val="Bibliography"/>
      </w:pPr>
      <w:r>
        <w:t xml:space="preserve">[39]</w:t>
      </w:r>
      <w:r>
        <w:t xml:space="preserve"> </w:t>
      </w:r>
      <w:r>
        <w:t xml:space="preserve">	</w:t>
      </w:r>
      <w:r>
        <w:t xml:space="preserve">M. Awad, A. Tiwari, and Y. Liu,</w:t>
      </w:r>
      <w:r>
        <w:t xml:space="preserve"> </w:t>
      </w:r>
      <w:r>
        <w:t xml:space="preserve">“The minimisation of giveaway and underweight in poultry proportioning process,”</w:t>
      </w:r>
      <w:r>
        <w:t xml:space="preserve"> </w:t>
      </w:r>
      <w:r>
        <w:rPr>
          <w:i/>
          <w:iCs/>
        </w:rPr>
        <w:t xml:space="preserve">Food Control</w:t>
      </w:r>
      <w:r>
        <w:t xml:space="preserve">, vol. 144, p. 109368, 2023, doi:</w:t>
      </w:r>
      <w:r>
        <w:t xml:space="preserve"> </w:t>
      </w:r>
      <w:hyperlink r:id="rId208">
        <w:r>
          <w:rPr>
            <w:rStyle w:val="Hyperlink"/>
          </w:rPr>
          <w:t xml:space="preserve">10.1016/j.foodcont.2022.109368</w:t>
        </w:r>
      </w:hyperlink>
      <w:r>
        <w:t xml:space="preserve">.</w:t>
      </w:r>
    </w:p>
    <w:bookmarkEnd w:id="209"/>
    <w:bookmarkStart w:id="211" w:name="ref-Tan2026"/>
    <w:p>
      <w:pPr>
        <w:pStyle w:val="Bibliography"/>
      </w:pPr>
      <w:r>
        <w:t xml:space="preserve">[40]</w:t>
      </w:r>
      <w:r>
        <w:t xml:space="preserve"> </w:t>
      </w:r>
      <w:r>
        <w:t xml:space="preserve">	</w:t>
      </w:r>
      <w:r>
        <w:t xml:space="preserve">Z. Tan, S. Guo, J. Guo, B. Du, and K. Wang,</w:t>
      </w:r>
      <w:r>
        <w:t xml:space="preserve"> </w:t>
      </w:r>
      <w:r>
        <w:t xml:space="preserve">“A discrete keplerian optimization algorithm with q-learning for human-robot collaborative partial disassembly line balancing problem,”</w:t>
      </w:r>
      <w:r>
        <w:t xml:space="preserve"> </w:t>
      </w:r>
      <w:r>
        <w:rPr>
          <w:i/>
          <w:iCs/>
        </w:rPr>
        <w:t xml:space="preserve">Applied Soft Computing</w:t>
      </w:r>
      <w:r>
        <w:t xml:space="preserve">, vol. 188, 2026, doi:</w:t>
      </w:r>
      <w:r>
        <w:t xml:space="preserve"> </w:t>
      </w:r>
      <w:hyperlink r:id="rId210">
        <w:r>
          <w:rPr>
            <w:rStyle w:val="Hyperlink"/>
          </w:rPr>
          <w:t xml:space="preserve">10.1016/j.asoc.2025.114406</w:t>
        </w:r>
      </w:hyperlink>
      <w:r>
        <w:t xml:space="preserve">.</w:t>
      </w:r>
    </w:p>
    <w:bookmarkEnd w:id="211"/>
    <w:bookmarkStart w:id="213" w:name="ref-Wang2026"/>
    <w:p>
      <w:pPr>
        <w:pStyle w:val="Bibliography"/>
      </w:pPr>
      <w:r>
        <w:t xml:space="preserve">[41]</w:t>
      </w:r>
      <w:r>
        <w:t xml:space="preserve"> </w:t>
      </w:r>
      <w:r>
        <w:t xml:space="preserve">	</w:t>
      </w:r>
      <w:r>
        <w:t xml:space="preserve">J. Wang, M. Li, F. Meng, H. Zhao, and X. Sun,</w:t>
      </w:r>
      <w:r>
        <w:t xml:space="preserve"> </w:t>
      </w:r>
      <w:r>
        <w:t xml:space="preserve">“Multi-objective reinforcement learning for dynamic balancing of two-sided human–robot collaborative disassembly lines,”</w:t>
      </w:r>
      <w:r>
        <w:t xml:space="preserve"> </w:t>
      </w:r>
      <w:r>
        <w:rPr>
          <w:i/>
          <w:iCs/>
        </w:rPr>
        <w:t xml:space="preserve">Computers and Industrial Engineering</w:t>
      </w:r>
      <w:r>
        <w:t xml:space="preserve">, vol. 212, 2026, doi:</w:t>
      </w:r>
      <w:r>
        <w:t xml:space="preserve"> </w:t>
      </w:r>
      <w:hyperlink r:id="rId212">
        <w:r>
          <w:rPr>
            <w:rStyle w:val="Hyperlink"/>
          </w:rPr>
          <w:t xml:space="preserve">10.1016/j.cie.2025.111703</w:t>
        </w:r>
      </w:hyperlink>
      <w:r>
        <w:t xml:space="preserve">.</w:t>
      </w:r>
    </w:p>
    <w:bookmarkEnd w:id="213"/>
    <w:bookmarkEnd w:id="214"/>
    <w:p>
      <w:r>
        <w:pict>
          <v:rect style="width:0;height:1.5pt" o:hralign="center" o:hrstd="t" o:hr="t"/>
        </w:pict>
      </w:r>
    </w:p>
    <w:bookmarkEnd w:id="215"/>
    <w:bookmarkStart w:id="221" w:name="anexos"/>
    <w:p>
      <w:pPr>
        <w:pStyle w:val="Heading2"/>
      </w:pPr>
      <w:r>
        <w:t xml:space="preserve">Anexos</w:t>
      </w:r>
    </w:p>
    <w:bookmarkStart w:id="216" w:name="anexo-a-formulación-matemática-completa"/>
    <w:p>
      <w:pPr>
        <w:pStyle w:val="Heading3"/>
      </w:pPr>
      <w:r>
        <w:t xml:space="preserve">Anexo A: Formulación Matemática Completa</w:t>
      </w:r>
    </w:p>
    <w:p>
      <w:pPr>
        <w:pStyle w:val="FirstParagraph"/>
      </w:pPr>
      <w:r>
        <w:t xml:space="preserve">La formulación completa del modelo se presenta en la Sección 5 del presente documento, incluyendo los conjuntos (§5.1), la función objetivo (§5.2, Ecuación 1), las restricciones (§5.3, Ecuaciones 2-8) y la estructura de dos etapas (§5.4).</w:t>
      </w:r>
    </w:p>
    <w:bookmarkEnd w:id="216"/>
    <w:bookmarkStart w:id="217" w:name="anexo-b-pseudocódigos-de-algoritmos"/>
    <w:p>
      <w:pPr>
        <w:pStyle w:val="Heading3"/>
      </w:pPr>
      <w:r>
        <w:t xml:space="preserve">Anexo B: Pseudocódigos de Algoritmos</w:t>
      </w:r>
    </w:p>
    <w:p>
      <w:pPr>
        <w:pStyle w:val="FirstParagraph"/>
      </w:pPr>
      <w:r>
        <w:t xml:space="preserve">Los pseudocódigos detallados y diagramas de flujo de los cuatro algoritmos se presentan en la Sección 6: GA (§6.7, Figura 6), SA (§6.8, Figura 7), DE (§6.9, Figura 8) y GA-SA (§6.10, Figura 9).</w:t>
      </w:r>
    </w:p>
    <w:bookmarkEnd w:id="217"/>
    <w:bookmarkStart w:id="219" w:name="X4d931386a292e563e9a96d15bcd4f161c7ad33b"/>
    <w:p>
      <w:pPr>
        <w:pStyle w:val="Heading3"/>
      </w:pPr>
      <w:r>
        <w:t xml:space="preserve">Anexo C: Resultados Detallados por Instancia</w:t>
      </w:r>
    </w:p>
    <w:p>
      <w:pPr>
        <w:pStyle w:val="FirstParagraph"/>
      </w:pPr>
      <w:r>
        <w:t xml:space="preserve">Los resultados completos por instancia están disponibles en el archivo</w:t>
      </w:r>
      <w:r>
        <w:t xml:space="preserve"> </w:t>
      </w:r>
      <w:r>
        <w:rPr>
          <w:rStyle w:val="VerbatimChar"/>
        </w:rPr>
        <w:t xml:space="preserve">comparison.csv</w:t>
      </w:r>
      <w:r>
        <w:t xml:space="preserve"> </w:t>
      </w:r>
      <w:r>
        <w:t xml:space="preserve">del repositorio público del proyecto:</w:t>
      </w:r>
      <w:r>
        <w:t xml:space="preserve"> </w:t>
      </w:r>
      <w:hyperlink r:id="rId218">
        <w:r>
          <w:rPr>
            <w:rStyle w:val="Hyperlink"/>
          </w:rPr>
          <w:t xml:space="preserve">https://github.com/DanAndCastRod/OBC</w:t>
        </w:r>
      </w:hyperlink>
      <w:r>
        <w:t xml:space="preserve">.</w:t>
      </w:r>
    </w:p>
    <w:bookmarkEnd w:id="219"/>
    <w:bookmarkStart w:id="220" w:name="anexo-d-herramientas-tecnológicas"/>
    <w:p>
      <w:pPr>
        <w:pStyle w:val="Heading3"/>
      </w:pPr>
      <w:r>
        <w:t xml:space="preserve">Anexo D: Herramientas Tecnológicas</w:t>
      </w:r>
    </w:p>
    <w:p>
      <w:pPr>
        <w:pStyle w:val="Compact"/>
        <w:numPr>
          <w:ilvl w:val="0"/>
          <w:numId w:val="1035"/>
        </w:numPr>
      </w:pPr>
      <w:r>
        <w:rPr>
          <w:b/>
          <w:bCs/>
        </w:rPr>
        <w:t xml:space="preserve">Lenguaje de Programación:</w:t>
      </w:r>
      <w:r>
        <w:t xml:space="preserve"> </w:t>
      </w:r>
      <w:r>
        <w:t xml:space="preserve">Python 3.11+ (con tipado estático)</w:t>
      </w:r>
    </w:p>
    <w:p>
      <w:pPr>
        <w:pStyle w:val="Compact"/>
        <w:numPr>
          <w:ilvl w:val="0"/>
          <w:numId w:val="1035"/>
        </w:numPr>
      </w:pPr>
      <w:r>
        <w:rPr>
          <w:b/>
          <w:bCs/>
        </w:rPr>
        <w:t xml:space="preserve">Solver Exacto:</w:t>
      </w:r>
      <w:r>
        <w:t xml:space="preserve"> </w:t>
      </w:r>
      <w:r>
        <w:t xml:space="preserve">PuLP 2.9.0 (CBC — COIN-OR Branch and Cut)</w:t>
      </w:r>
    </w:p>
    <w:p>
      <w:pPr>
        <w:pStyle w:val="Compact"/>
        <w:numPr>
          <w:ilvl w:val="0"/>
          <w:numId w:val="1035"/>
        </w:numPr>
      </w:pPr>
      <w:r>
        <w:rPr>
          <w:b/>
          <w:bCs/>
        </w:rPr>
        <w:t xml:space="preserve">Calibración:</w:t>
      </w:r>
      <w:r>
        <w:t xml:space="preserve"> </w:t>
      </w:r>
      <w:r>
        <w:t xml:space="preserve">Optuna 4.3.0 (TPE sampler)</w:t>
      </w:r>
    </w:p>
    <w:p>
      <w:pPr>
        <w:pStyle w:val="Compact"/>
        <w:numPr>
          <w:ilvl w:val="0"/>
          <w:numId w:val="1035"/>
        </w:numPr>
      </w:pPr>
      <w:r>
        <w:rPr>
          <w:b/>
          <w:bCs/>
        </w:rPr>
        <w:t xml:space="preserve">Datos:</w:t>
      </w:r>
      <w:r>
        <w:t xml:space="preserve"> </w:t>
      </w:r>
      <w:r>
        <w:t xml:space="preserve">NumPy 1.26.0, Pandas 2.3.2</w:t>
      </w:r>
    </w:p>
    <w:p>
      <w:pPr>
        <w:pStyle w:val="Compact"/>
        <w:numPr>
          <w:ilvl w:val="0"/>
          <w:numId w:val="1035"/>
        </w:numPr>
      </w:pPr>
      <w:r>
        <w:rPr>
          <w:b/>
          <w:bCs/>
        </w:rPr>
        <w:t xml:space="preserve">Visualización:</w:t>
      </w:r>
      <w:r>
        <w:t xml:space="preserve"> </w:t>
      </w:r>
      <w:r>
        <w:t xml:space="preserve">Matplotlib 3.10.1, Seaborn 0.13.2</w:t>
      </w:r>
    </w:p>
    <w:p>
      <w:pPr>
        <w:pStyle w:val="Compact"/>
        <w:numPr>
          <w:ilvl w:val="0"/>
          <w:numId w:val="1035"/>
        </w:numPr>
      </w:pPr>
      <w:r>
        <w:rPr>
          <w:b/>
          <w:bCs/>
        </w:rPr>
        <w:t xml:space="preserve">Estadística:</w:t>
      </w:r>
      <w:r>
        <w:t xml:space="preserve"> </w:t>
      </w:r>
      <w:r>
        <w:t xml:space="preserve">SciPy 1.15.2 (módulo stats)</w:t>
      </w:r>
    </w:p>
    <w:p>
      <w:pPr>
        <w:pStyle w:val="Compact"/>
        <w:numPr>
          <w:ilvl w:val="0"/>
          <w:numId w:val="1035"/>
        </w:numPr>
      </w:pPr>
      <w:r>
        <w:rPr>
          <w:b/>
          <w:bCs/>
        </w:rPr>
        <w:t xml:space="preserve">Testing:</w:t>
      </w:r>
      <w:r>
        <w:t xml:space="preserve"> </w:t>
      </w:r>
      <w:r>
        <w:t xml:space="preserve">Pytest 8.3.5</w:t>
      </w:r>
    </w:p>
    <w:p>
      <w:pPr>
        <w:pStyle w:val="Compact"/>
        <w:numPr>
          <w:ilvl w:val="0"/>
          <w:numId w:val="1035"/>
        </w:numPr>
      </w:pPr>
      <w:r>
        <w:rPr>
          <w:b/>
          <w:bCs/>
        </w:rPr>
        <w:t xml:space="preserve">Control de Versiones:</w:t>
      </w:r>
      <w:r>
        <w:t xml:space="preserve"> </w:t>
      </w:r>
      <w:r>
        <w:t xml:space="preserve">Git/GitHub</w:t>
      </w:r>
    </w:p>
    <w:p>
      <w:pPr>
        <w:pStyle w:val="Compact"/>
        <w:numPr>
          <w:ilvl w:val="0"/>
          <w:numId w:val="1035"/>
        </w:numPr>
      </w:pPr>
      <w:r>
        <w:rPr>
          <w:b/>
          <w:bCs/>
        </w:rPr>
        <w:t xml:space="preserve">Documentación:</w:t>
      </w:r>
      <w:r>
        <w:t xml:space="preserve"> </w:t>
      </w:r>
      <w:r>
        <w:t xml:space="preserve">Pandoc 3.x + XeLaTeX (pipeline Markdown → PDF)</w:t>
      </w:r>
    </w:p>
    <w:p>
      <w:pPr>
        <w:pStyle w:val="Compact"/>
        <w:numPr>
          <w:ilvl w:val="0"/>
          <w:numId w:val="1035"/>
        </w:numPr>
      </w:pPr>
      <w:r>
        <w:rPr>
          <w:b/>
          <w:bCs/>
        </w:rPr>
        <w:t xml:space="preserve">Generación de instancias:</w:t>
      </w:r>
      <w:r>
        <w:t xml:space="preserve"> </w:t>
      </w:r>
      <w:r>
        <w:t xml:space="preserve">YAML (PyYAML 6.0.2)</w:t>
      </w:r>
    </w:p>
    <w:bookmarkEnd w:id="220"/>
    <w:bookmarkEnd w:id="2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6" Target="media/rId76.png" /><Relationship Type="http://schemas.openxmlformats.org/officeDocument/2006/relationships/image" Id="rId95" Target="media/rId95.png" /><Relationship Type="http://schemas.openxmlformats.org/officeDocument/2006/relationships/image" Id="rId118" Target="media/rId118.png" /><Relationship Type="http://schemas.openxmlformats.org/officeDocument/2006/relationships/image" Id="rId91" Target="media/rId91.png" /><Relationship Type="http://schemas.openxmlformats.org/officeDocument/2006/relationships/image" Id="rId104" Target="media/rId104.png" /><Relationship Type="http://schemas.openxmlformats.org/officeDocument/2006/relationships/image" Id="rId100" Target="media/rId100.png" /><Relationship Type="http://schemas.openxmlformats.org/officeDocument/2006/relationships/image" Id="rId48" Target="media/rId48.png" /><Relationship Type="http://schemas.openxmlformats.org/officeDocument/2006/relationships/image" Id="rId60" Target="media/rId60.png" /><Relationship Type="http://schemas.openxmlformats.org/officeDocument/2006/relationships/image" Id="rId52" Target="media/rId52.png" /><Relationship Type="http://schemas.openxmlformats.org/officeDocument/2006/relationships/image" Id="rId112" Target="media/rId112.png" /><Relationship Type="http://schemas.openxmlformats.org/officeDocument/2006/relationships/image" Id="rId109" Target="media/rId109.png" /><Relationship Type="http://schemas.openxmlformats.org/officeDocument/2006/relationships/image" Id="rId121" Target="media/rId121.png" /><Relationship Type="http://schemas.openxmlformats.org/officeDocument/2006/relationships/image" Id="rId79" Target="media/rId79.png" /><Relationship Type="http://schemas.openxmlformats.org/officeDocument/2006/relationships/image" Id="rId87" Target="media/rId87.png" /><Relationship Type="http://schemas.openxmlformats.org/officeDocument/2006/relationships/image" Id="rId115" Target="media/rId115.png" /><Relationship Type="http://schemas.openxmlformats.org/officeDocument/2006/relationships/image" Id="rId82" Target="media/rId82.png" /><Relationship Type="http://schemas.openxmlformats.org/officeDocument/2006/relationships/image" Id="rId69" Target="media/rId69.png" /><Relationship Type="http://schemas.openxmlformats.org/officeDocument/2006/relationships/hyperlink" Id="rId206" Target="https://arxiv.org/abs/2507.18558" TargetMode="External" /><Relationship Type="http://schemas.openxmlformats.org/officeDocument/2006/relationships/hyperlink" Id="rId176" Target="https://doi.org/10.1007/978-1-4614-0237-4" TargetMode="External" /><Relationship Type="http://schemas.openxmlformats.org/officeDocument/2006/relationships/hyperlink" Id="rId160" Target="https://doi.org/10.1007/s10668-024-05847-y" TargetMode="External" /><Relationship Type="http://schemas.openxmlformats.org/officeDocument/2006/relationships/hyperlink" Id="rId152" Target="https://doi.org/10.1007/s10696-017-9291-0" TargetMode="External" /><Relationship Type="http://schemas.openxmlformats.org/officeDocument/2006/relationships/hyperlink" Id="rId138" Target="https://doi.org/10.1007/s12597-024-00846-1" TargetMode="External" /><Relationship Type="http://schemas.openxmlformats.org/officeDocument/2006/relationships/hyperlink" Id="rId170" Target="https://doi.org/10.1007/s13243-021-00104-3" TargetMode="External" /><Relationship Type="http://schemas.openxmlformats.org/officeDocument/2006/relationships/hyperlink" Id="rId192" Target="https://doi.org/10.1016/j.agsy.2024.104108" TargetMode="External" /><Relationship Type="http://schemas.openxmlformats.org/officeDocument/2006/relationships/hyperlink" Id="rId210" Target="https://doi.org/10.1016/j.asoc.2025.114406" TargetMode="External" /><Relationship Type="http://schemas.openxmlformats.org/officeDocument/2006/relationships/hyperlink" Id="rId134" Target="https://doi.org/10.1016/j.cie.2017.07.025" TargetMode="External" /><Relationship Type="http://schemas.openxmlformats.org/officeDocument/2006/relationships/hyperlink" Id="rId162" Target="https://doi.org/10.1016/j.cie.2021.107468" TargetMode="External" /><Relationship Type="http://schemas.openxmlformats.org/officeDocument/2006/relationships/hyperlink" Id="rId198" Target="https://doi.org/10.1016/j.cie.2022.108820" TargetMode="External" /><Relationship Type="http://schemas.openxmlformats.org/officeDocument/2006/relationships/hyperlink" Id="rId212" Target="https://doi.org/10.1016/j.cie.2025.111703" TargetMode="External" /><Relationship Type="http://schemas.openxmlformats.org/officeDocument/2006/relationships/hyperlink" Id="rId200" Target="https://doi.org/10.1016/j.compchemeng.2011.12.015" TargetMode="External" /><Relationship Type="http://schemas.openxmlformats.org/officeDocument/2006/relationships/hyperlink" Id="rId164" Target="https://doi.org/10.1016/j.compchemeng.2015.03.020" TargetMode="External" /><Relationship Type="http://schemas.openxmlformats.org/officeDocument/2006/relationships/hyperlink" Id="rId148" Target="https://doi.org/10.1016/j.cor.2015.10.012" TargetMode="External" /><Relationship Type="http://schemas.openxmlformats.org/officeDocument/2006/relationships/hyperlink" Id="rId150" Target="https://doi.org/10.1016/j.cor.2024.106881" TargetMode="External" /><Relationship Type="http://schemas.openxmlformats.org/officeDocument/2006/relationships/hyperlink" Id="rId190" Target="https://doi.org/10.1016/j.cor.2024.106927" TargetMode="External" /><Relationship Type="http://schemas.openxmlformats.org/officeDocument/2006/relationships/hyperlink" Id="rId156" Target="https://doi.org/10.1016/j.ejor.2008.02.014" TargetMode="External" /><Relationship Type="http://schemas.openxmlformats.org/officeDocument/2006/relationships/hyperlink" Id="rId208" Target="https://doi.org/10.1016/j.foodcont.2022.109368" TargetMode="External" /><Relationship Type="http://schemas.openxmlformats.org/officeDocument/2006/relationships/hyperlink" Id="rId132" Target="https://doi.org/10.1016/j.ifacol.2021.08.205" TargetMode="External" /><Relationship Type="http://schemas.openxmlformats.org/officeDocument/2006/relationships/hyperlink" Id="rId184" Target="https://doi.org/10.1016/j.ijpe.2009.11.026" TargetMode="External" /><Relationship Type="http://schemas.openxmlformats.org/officeDocument/2006/relationships/hyperlink" Id="rId178" Target="https://doi.org/10.1016/j.ijpe.2011.01.027" TargetMode="External" /><Relationship Type="http://schemas.openxmlformats.org/officeDocument/2006/relationships/hyperlink" Id="rId158" Target="https://doi.org/10.1016/j.ijpe.2012.03.005" TargetMode="External" /><Relationship Type="http://schemas.openxmlformats.org/officeDocument/2006/relationships/hyperlink" Id="rId188" Target="https://doi.org/10.1016/j.ijpe.2017.04.013" TargetMode="External" /><Relationship Type="http://schemas.openxmlformats.org/officeDocument/2006/relationships/hyperlink" Id="rId194" Target="https://doi.org/10.1016/j.livsci.2024.105586" TargetMode="External" /><Relationship Type="http://schemas.openxmlformats.org/officeDocument/2006/relationships/hyperlink" Id="rId204" Target="https://doi.org/10.1016/j.rcim.2022.102411" TargetMode="External" /><Relationship Type="http://schemas.openxmlformats.org/officeDocument/2006/relationships/hyperlink" Id="rId202" Target="https://doi.org/10.1016/j.tifs.2009.12.006" TargetMode="External" /><Relationship Type="http://schemas.openxmlformats.org/officeDocument/2006/relationships/hyperlink" Id="rId154" Target="https://doi.org/10.1016/j.tre.2021.102463" TargetMode="External" /><Relationship Type="http://schemas.openxmlformats.org/officeDocument/2006/relationships/hyperlink" Id="rId182" Target="https://doi.org/10.1080/00207540500161068" TargetMode="External" /><Relationship Type="http://schemas.openxmlformats.org/officeDocument/2006/relationships/hyperlink" Id="rId166" Target="https://doi.org/10.1080/00207543.2016.1193251" TargetMode="External" /><Relationship Type="http://schemas.openxmlformats.org/officeDocument/2006/relationships/hyperlink" Id="rId196" Target="https://doi.org/10.1080/00207543.2016.1223382" TargetMode="External" /><Relationship Type="http://schemas.openxmlformats.org/officeDocument/2006/relationships/hyperlink" Id="rId136" Target="https://doi.org/10.1111/itor.12861" TargetMode="External" /><Relationship Type="http://schemas.openxmlformats.org/officeDocument/2006/relationships/hyperlink" Id="rId144" Target="https://doi.org/10.1287/mnsc.26.7.669" TargetMode="External" /><Relationship Type="http://schemas.openxmlformats.org/officeDocument/2006/relationships/hyperlink" Id="rId146" Target="https://doi.org/10.1287/mnsc.28.10.1174" TargetMode="External" /><Relationship Type="http://schemas.openxmlformats.org/officeDocument/2006/relationships/hyperlink" Id="rId180" Target="https://doi.org/10.3390/app15073846" TargetMode="External" /><Relationship Type="http://schemas.openxmlformats.org/officeDocument/2006/relationships/hyperlink" Id="rId174" Target="https://doi.org/10.3390/automation4020021" TargetMode="External" /><Relationship Type="http://schemas.openxmlformats.org/officeDocument/2006/relationships/hyperlink" Id="rId172" Target="https://doi.org/10.3390/s22103920" TargetMode="External" /><Relationship Type="http://schemas.openxmlformats.org/officeDocument/2006/relationships/hyperlink" Id="rId186" Target="https://doi.org/10.3390/su15129434" TargetMode="External" /><Relationship Type="http://schemas.openxmlformats.org/officeDocument/2006/relationships/hyperlink" Id="rId140" Target="https://fenavi.org" TargetMode="External" /><Relationship Type="http://schemas.openxmlformats.org/officeDocument/2006/relationships/hyperlink" Id="rId218" Target="https://github.com/DanAndCastRod/OBC" TargetMode="External" /><Relationship Type="http://schemas.openxmlformats.org/officeDocument/2006/relationships/hyperlink" Id="rId142" Target="https://www.dane.gov.co/files/operaciones/CSAAV/bol-CSAAV-2024pr.pdf" TargetMode="External" /><Relationship Type="http://schemas.openxmlformats.org/officeDocument/2006/relationships/hyperlink" Id="rId168" Target="https://www.fao.org" TargetMode="External" /></Relationships>
</file>

<file path=word/_rels/footnotes.xml.rels><?xml version="1.0" encoding="UTF-8"?><Relationships xmlns="http://schemas.openxmlformats.org/package/2006/relationships"><Relationship Type="http://schemas.openxmlformats.org/officeDocument/2006/relationships/hyperlink" Id="rId206" Target="https://arxiv.org/abs/2507.18558" TargetMode="External" /><Relationship Type="http://schemas.openxmlformats.org/officeDocument/2006/relationships/hyperlink" Id="rId176" Target="https://doi.org/10.1007/978-1-4614-0237-4" TargetMode="External" /><Relationship Type="http://schemas.openxmlformats.org/officeDocument/2006/relationships/hyperlink" Id="rId160" Target="https://doi.org/10.1007/s10668-024-05847-y" TargetMode="External" /><Relationship Type="http://schemas.openxmlformats.org/officeDocument/2006/relationships/hyperlink" Id="rId152" Target="https://doi.org/10.1007/s10696-017-9291-0" TargetMode="External" /><Relationship Type="http://schemas.openxmlformats.org/officeDocument/2006/relationships/hyperlink" Id="rId138" Target="https://doi.org/10.1007/s12597-024-00846-1" TargetMode="External" /><Relationship Type="http://schemas.openxmlformats.org/officeDocument/2006/relationships/hyperlink" Id="rId170" Target="https://doi.org/10.1007/s13243-021-00104-3" TargetMode="External" /><Relationship Type="http://schemas.openxmlformats.org/officeDocument/2006/relationships/hyperlink" Id="rId192" Target="https://doi.org/10.1016/j.agsy.2024.104108" TargetMode="External" /><Relationship Type="http://schemas.openxmlformats.org/officeDocument/2006/relationships/hyperlink" Id="rId210" Target="https://doi.org/10.1016/j.asoc.2025.114406" TargetMode="External" /><Relationship Type="http://schemas.openxmlformats.org/officeDocument/2006/relationships/hyperlink" Id="rId134" Target="https://doi.org/10.1016/j.cie.2017.07.025" TargetMode="External" /><Relationship Type="http://schemas.openxmlformats.org/officeDocument/2006/relationships/hyperlink" Id="rId162" Target="https://doi.org/10.1016/j.cie.2021.107468" TargetMode="External" /><Relationship Type="http://schemas.openxmlformats.org/officeDocument/2006/relationships/hyperlink" Id="rId198" Target="https://doi.org/10.1016/j.cie.2022.108820" TargetMode="External" /><Relationship Type="http://schemas.openxmlformats.org/officeDocument/2006/relationships/hyperlink" Id="rId212" Target="https://doi.org/10.1016/j.cie.2025.111703" TargetMode="External" /><Relationship Type="http://schemas.openxmlformats.org/officeDocument/2006/relationships/hyperlink" Id="rId200" Target="https://doi.org/10.1016/j.compchemeng.2011.12.015" TargetMode="External" /><Relationship Type="http://schemas.openxmlformats.org/officeDocument/2006/relationships/hyperlink" Id="rId164" Target="https://doi.org/10.1016/j.compchemeng.2015.03.020" TargetMode="External" /><Relationship Type="http://schemas.openxmlformats.org/officeDocument/2006/relationships/hyperlink" Id="rId148" Target="https://doi.org/10.1016/j.cor.2015.10.012" TargetMode="External" /><Relationship Type="http://schemas.openxmlformats.org/officeDocument/2006/relationships/hyperlink" Id="rId150" Target="https://doi.org/10.1016/j.cor.2024.106881" TargetMode="External" /><Relationship Type="http://schemas.openxmlformats.org/officeDocument/2006/relationships/hyperlink" Id="rId190" Target="https://doi.org/10.1016/j.cor.2024.106927" TargetMode="External" /><Relationship Type="http://schemas.openxmlformats.org/officeDocument/2006/relationships/hyperlink" Id="rId156" Target="https://doi.org/10.1016/j.ejor.2008.02.014" TargetMode="External" /><Relationship Type="http://schemas.openxmlformats.org/officeDocument/2006/relationships/hyperlink" Id="rId208" Target="https://doi.org/10.1016/j.foodcont.2022.109368" TargetMode="External" /><Relationship Type="http://schemas.openxmlformats.org/officeDocument/2006/relationships/hyperlink" Id="rId132" Target="https://doi.org/10.1016/j.ifacol.2021.08.205" TargetMode="External" /><Relationship Type="http://schemas.openxmlformats.org/officeDocument/2006/relationships/hyperlink" Id="rId184" Target="https://doi.org/10.1016/j.ijpe.2009.11.026" TargetMode="External" /><Relationship Type="http://schemas.openxmlformats.org/officeDocument/2006/relationships/hyperlink" Id="rId178" Target="https://doi.org/10.1016/j.ijpe.2011.01.027" TargetMode="External" /><Relationship Type="http://schemas.openxmlformats.org/officeDocument/2006/relationships/hyperlink" Id="rId158" Target="https://doi.org/10.1016/j.ijpe.2012.03.005" TargetMode="External" /><Relationship Type="http://schemas.openxmlformats.org/officeDocument/2006/relationships/hyperlink" Id="rId188" Target="https://doi.org/10.1016/j.ijpe.2017.04.013" TargetMode="External" /><Relationship Type="http://schemas.openxmlformats.org/officeDocument/2006/relationships/hyperlink" Id="rId194" Target="https://doi.org/10.1016/j.livsci.2024.105586" TargetMode="External" /><Relationship Type="http://schemas.openxmlformats.org/officeDocument/2006/relationships/hyperlink" Id="rId204" Target="https://doi.org/10.1016/j.rcim.2022.102411" TargetMode="External" /><Relationship Type="http://schemas.openxmlformats.org/officeDocument/2006/relationships/hyperlink" Id="rId202" Target="https://doi.org/10.1016/j.tifs.2009.12.006" TargetMode="External" /><Relationship Type="http://schemas.openxmlformats.org/officeDocument/2006/relationships/hyperlink" Id="rId154" Target="https://doi.org/10.1016/j.tre.2021.102463" TargetMode="External" /><Relationship Type="http://schemas.openxmlformats.org/officeDocument/2006/relationships/hyperlink" Id="rId182" Target="https://doi.org/10.1080/00207540500161068" TargetMode="External" /><Relationship Type="http://schemas.openxmlformats.org/officeDocument/2006/relationships/hyperlink" Id="rId166" Target="https://doi.org/10.1080/00207543.2016.1193251" TargetMode="External" /><Relationship Type="http://schemas.openxmlformats.org/officeDocument/2006/relationships/hyperlink" Id="rId196" Target="https://doi.org/10.1080/00207543.2016.1223382" TargetMode="External" /><Relationship Type="http://schemas.openxmlformats.org/officeDocument/2006/relationships/hyperlink" Id="rId136" Target="https://doi.org/10.1111/itor.12861" TargetMode="External" /><Relationship Type="http://schemas.openxmlformats.org/officeDocument/2006/relationships/hyperlink" Id="rId144" Target="https://doi.org/10.1287/mnsc.26.7.669" TargetMode="External" /><Relationship Type="http://schemas.openxmlformats.org/officeDocument/2006/relationships/hyperlink" Id="rId146" Target="https://doi.org/10.1287/mnsc.28.10.1174" TargetMode="External" /><Relationship Type="http://schemas.openxmlformats.org/officeDocument/2006/relationships/hyperlink" Id="rId180" Target="https://doi.org/10.3390/app15073846" TargetMode="External" /><Relationship Type="http://schemas.openxmlformats.org/officeDocument/2006/relationships/hyperlink" Id="rId174" Target="https://doi.org/10.3390/automation4020021" TargetMode="External" /><Relationship Type="http://schemas.openxmlformats.org/officeDocument/2006/relationships/hyperlink" Id="rId172" Target="https://doi.org/10.3390/s22103920" TargetMode="External" /><Relationship Type="http://schemas.openxmlformats.org/officeDocument/2006/relationships/hyperlink" Id="rId186" Target="https://doi.org/10.3390/su15129434" TargetMode="External" /><Relationship Type="http://schemas.openxmlformats.org/officeDocument/2006/relationships/hyperlink" Id="rId140" Target="https://fenavi.org" TargetMode="External" /><Relationship Type="http://schemas.openxmlformats.org/officeDocument/2006/relationships/hyperlink" Id="rId218" Target="https://github.com/DanAndCastRod/OBC" TargetMode="External" /><Relationship Type="http://schemas.openxmlformats.org/officeDocument/2006/relationships/hyperlink" Id="rId142" Target="https://www.dane.gov.co/files/operaciones/CSAAV/bol-CSAAV-2024pr.pdf" TargetMode="External" /><Relationship Type="http://schemas.openxmlformats.org/officeDocument/2006/relationships/hyperlink" Id="rId168" Target="https://www.fa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2026-03-25T22:24:20Z</dcterms:created>
  <dcterms:modified xsi:type="dcterms:W3CDTF">2026-03-25T22:24:20Z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referencias_coproductos.bib</vt:lpwstr>
  </property>
  <property fmtid="{D5CDD505-2E9C-101B-9397-08002B2CF9AE}" pid="3" name="csl">
    <vt:lpwstr>ieee.csl</vt:lpwstr>
  </property>
  <property fmtid="{D5CDD505-2E9C-101B-9397-08002B2CF9AE}" pid="4" name="filters">
    <vt:lpwstr/>
  </property>
  <property fmtid="{D5CDD505-2E9C-101B-9397-08002B2CF9AE}" pid="5" name="header-includes">
    <vt:lpwstr/>
  </property>
  <property fmtid="{D5CDD505-2E9C-101B-9397-08002B2CF9AE}" pid="6" name="pdf-engine">
    <vt:lpwstr>xelatex</vt:lpwstr>
  </property>
  <property fmtid="{D5CDD505-2E9C-101B-9397-08002B2CF9AE}" pid="7" name="reference-section-title">
    <vt:lpwstr>Referencias</vt:lpwstr>
  </property>
</Properties>
</file>