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1.14 - Taxa de execução das ações previstas no Programa D.I.A (Programa de Desenvolvimento, Inclusão e Acessibilidade).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111 - Executar, até dezembro de 2025, 80% (oitenta por cento) das ações previstas para o ano vigente no programa D.I.A (Programa de Desenvolvimento, Inclusão e Acessibilidade).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57,4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79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O resultado informado corresponde ao percentual de atividades concluídas em relação as atividades previstas no cronograma da iniciativa para o ano de 2025. Abaixo estão elencadas as principais atividades que foram concluídas entre janeiro e agosto de 2025: • Disponibilização da cartilha em braile; • Elaboração do plano anual de comunicação para as campanhas de acessibilidade e inclusão • Expansão do Projeto Amigo Down, em parceria com as APAEs para alcançar novas localidades. • Em desenvolvimento o projeto Cordão de Girassol, uma iniciativa voltada ao reconhecimento facilitados de pessoas com deficiências ocultas. Os cordões de Girassol já estão disponíveis na Gerência de Saúde no Trabalho - Gersat. • Realização de visitas às comarcas para avaliar a acessibilidade dos prédios do TJMG, visando identificar necessidades de melhorias ou adequação. A primeira visita foi realizada na comarca de Pará de Minas, no dia 29/07/2025. Foram identificadas as necessidades de melhorias e adequações e enviadas para às áreas responsáveis adotarem as providências cabíveis. • Realização do Seminário Setembro Acessível: diálogos sobre inclusão no Judiciário.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1.16 - Número de pessoas beneficiadas com ações relacionadas à prevenção e combate à violência doméstica e familiar.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124 - Alcançar 20.000 (vinte mil) pessoas com ações relacionadas à prevenção e combate à violência doméstica e familiar, com a participação direta da população até dezembro de 2025.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COMSIV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3.474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13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De janeiro até agosto de 2025, diversas ações foram executadas no âmbito do projeto vinculado a meta, resultando no alcance de 3.474 pessoas. Conjunto consolidado de ações e seus alcances: • Palestra realizada na OAB: 40 pessoas. • Apresentação da cartilha: 50 pessoas. • Lançamento do baralho Afago: 70 pessoas. • Lançamento da cartilha “Você não está sozinha”: 70 pessoas. • 19 ações realizadas na 29ª e 30ª Semana Justiça pela Paz em Casa (alcance total: 1.419 pessoas), distribuídas em: 11 ações no âmbito do projeto Construindo Igualdades; 1 ação no projeto Justiça Vai à Escola; 1 ação no projeto Conhecendo o Judiciário; 1 Cine Clube “A meia luz” e; 5 ações voltadas ao combate e prevenção a violência doméstica e familiar. • Implantação do grupo reflexivo na Comarca de Jequié (Jequeri): 20 pessoas. • Apresentação da COMSIV na EJEF – Posse dos novos juízes: 50 pessoas. • Apresentação dos projetos da COMSIV: 100 pessoas. • V Encontro do Colégio de Ouvidorias Judiciais das Mulheres (COJUM) realizado TJMG e pelo TRT3 em três dias: 255 pessoas. • Curso de Capacitação para camareiras (Senac): 30 mulheres. • Palestra realizada na PUC Minas : 63 pessoas • VI Conferência Nacional de Políticas Públicas – Apresentação da COMSIV Três Pontas: 60 pessoas. • VI Conferência Nacional de Políticas Públicas – Apresentação da COMSIV Alfenas: 72 pessoas. • Reunião virtual Ordinária (Câmara Integrada de Políticas dos Direitos das Mulheres): 80 pessoas. • 1º Encontro Proc. da Mulher ALMG: 100 pessoas. • 2º Encontro Proc. Mulher ALMG: 100 pessoas. • Abertura do Curso de Capacitação em Oitiva de Mulheres Vítimas ou Testemunhas de Violência: 30 pessoas. • Inauguração da Casa da Mulher – Município de Ibirité: 120 pessoas. • Palestra de combate e prevenção à violência doméstica: 50 pessoas. • Assinatura do Acordo de Cooperação Técnica entre o Município de Contagem e o TJMG: 70 pessoas. • Roda de Conversa - Empresa Termotécnica: 80 pessoas • 7 palestras realizadas no âmbito do projeto Construindo Igualdades: 495 pessoas. • Agosto Lilás: Capacitação Integrada em Rede de Proteção em Pedro Leopoldo: 50 pessoas. Há uma expectativa de conclusão da meta, considerando o evento realizado na Praça da Estação, no Centro de Belo Horizonte, a 2ª edição do "Espaço D'Elas" e a 1ª do "Nascentes" em parceria com a Coordenadoria da Infância e da Juventude (Coinj), ainda em apuração, bem como as demais ações a serem executadas no restante do ano.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1.17 - Taxa de aumento no número de municípios que promovem o Programa Descubra.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143 - Aumentar, até 18/12/2025, em pelo menos 10% (dez por cento) o número de municípios que promovem o Programa Descubra (referência março/2025: 21 municípios).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4,7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Durante o ano de 2025, 1 município (Ouro Preto) formalizou sua adesão ao Programa Descubra, valor este que representa 4,7% de aumento em relação ao ano anterior, de forma que a meta proposta ainda não foi alcançada. Apesar disso, ressalta-se a expectativa de formalização da adesão de outros 13 municípios até final de novembro de 2025, o que representará um aumento de 66%, acima da meta estabelecida para o ano.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1.18 -  Número de parceiros cadastrados no Programa Descubra.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144 - Obter, até 18/12/2025, pelo menos 10 (dez) parceiros cadastrados no Programa Descubra.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Em 2025, 2 parceiros foram formalmente cadastrados no Programa Descubra, sendo eles a empresa Barra Sete Engenharia e a Associação Junior Achievement de Minas Gerais. Há, ainda, a expectativa de formalização de mais 4 parceiros no mês de outubro de 2025, sendo eles: Tribunal de Contas do Estado - TCE, Ordem dos Advogados do Brasil – OAB, Polícia Militar de Minas Gerais - PMMG e Polícia Civil de Minas Gerais - PCMG. Nesse sentido, a estimativa é de que a meta prevista seja concluída com 6 parceiros formalizados, de um total de 10 previstos, de forma que a meta não seria alcançada em 2025.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1.19 - Número de pessoas beneficiadas com as ações de impacto sociail fomentadas pela COINJ.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145 - Beneficiar, até 18/12/2025, pelo menos 250.000 (duzentas e cinquenta mil) pessoas com as ações de impacto social fomentadas pela COINJ.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COINJ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106.177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90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Até setembro de 2025, 106.177 pessoas foram beneficiadas com ações de impacto social promovidas pela COINJ, sendo: •144 pessoas alcançadas pelo Programa Entrega Legal (72 mães e 72 recém nascidos); •1.516 crianças beneficiadas com a realização de sessões de Depoimento Especial; •176 pessoas sensibilizadas pelo programa Família Acolhedora, resultando no cadastro e habilitação de 89 famílias e outras 87 famílias em processo de habilitação; •1.982 crianças e adolescentes em situação de acolhimento institucional participantes de atividades diversas, como cineclube promovido pelo TJMG, visitas a museus, teatro, zoológicos, entre outras atividades culturais; •500 magistrados participantes de Fóruns da Infância e Juventude; •382 adolescentes com contrato de aprendizagem formalizados no âmbito do Programa Descubra; •3 adolescentes admitidos por empresas parceiras do Programa Jovens Parceiros; •250 participantes, entre parceiros institucionais, crianças e adolescentes acolhidos e em situação de vulnerabilidade social, em ação voltada à proteção de mulheres, crianças e adolescentes, do evento “Praça da Estação” – Projetos "Espaço D'Elas" e "Nascentes"; •314 pessoas certificadas pelo webinário Entrega Legal; •325 pessoas participantes de evento de apresentação do programa Descubra, resultando na formalização da Assprom e da Junior Achievement como parceiros do Programa e do TJMG como instituição concedente de práticas; •725 pessoas alcançadas por vídeos do programa “Justiça em Questão” e do “Programa Interlocução” que trataram da edição especial em comemoração ao Dia Nacional da Adoção, da celebração dos 35 anos do Estatuto da Criança e do Adolescente – ECA, além do tema “Escuta protegida de crianças e adolescentes em situação de violência”; •600 pessoas alcançadas com a publicação do livro “Travessias da Infância e Juventude”; •99.260 pessoas alcançadas pela realização de campanhas de adoção em estádios de futebol (Cruzeiro x Atlético (18/05) e Atlético x Corinthians (24/05)).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trHeight w:val="584"/>
        </w:trPr>
        <w:tc>
          <w:tcPr>
            <w:tcW w:type="dxa" w:w="16157"/>
            <w:shd w:fill="ef6c21"/>
            <w:vAlign w:val="center"/>
            <w:tcBorders/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1 - GARANTIA DOS DIREITOS FUNDAMENTAIS E DO ESTADO DEMOCRÁTICO DE DIREITO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2122"/>
        <w:gridCol w:w="2122"/>
        <w:gridCol w:w="2122"/>
        <w:gridCol w:w="2122"/>
        <w:gridCol w:w="2122"/>
        <w:gridCol w:w="2122"/>
        <w:gridCol w:w="2122"/>
      </w:tblGrid>
      <w:tr>
        <w:trPr>
          <w:trHeight w:val="584"/>
        </w:trPr>
        <w:tc>
          <w:tcPr>
            <w:tcW w:type="dxa" w:w="5760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INDICADOR</w:t>
            </w:r>
          </w:p>
        </w:tc>
        <w:tc>
          <w:tcPr>
            <w:tcW w:type="dxa" w:w="515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META</w:t>
            </w:r>
          </w:p>
        </w:tc>
        <w:tc>
          <w:tcPr>
            <w:tcW w:type="dxa" w:w="1293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UNIDADE RESPONSÁVEL</w:t>
            </w:r>
          </w:p>
        </w:tc>
        <w:tc>
          <w:tcPr>
            <w:tcW w:type="dxa" w:w="1191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POLARIDADE</w:t>
            </w:r>
          </w:p>
        </w:tc>
        <w:tc>
          <w:tcPr>
            <w:tcW w:type="dxa" w:w="408"/>
            <w:gridSpan w:val="2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RESULTADO APURADO</w:t>
            </w:r>
          </w:p>
        </w:tc>
        <w:tc>
          <w:tcPr>
            <w:tcW w:type="dxa" w:w="1236"/>
            <w:vAlign w:val="center"/>
            <w:shd w:fill="fabf8f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200" w:after="200" w:line="240" w:lineRule="auto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INICIATIVA(S)</w:t>
            </w:r>
          </w:p>
        </w:tc>
      </w:tr>
      <w:tr>
        <w:tc>
          <w:tcPr>
            <w:tcW w:type="dxa" w:w="5760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1.20 - Taxa de execução das entregas previstas na iniciativa Fóruns Dgitais.</w:t>
            </w:r>
          </w:p>
        </w:tc>
        <w:tc>
          <w:tcPr>
            <w:tcW w:type="dxa" w:w="515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TJMG 131 - Executar 100% (cem por cento) das entregas relativas à validação do fluxo de implantação dos Fóruns Digitais e à alteração da Resolução 1.061/2023.</w:t>
            </w:r>
          </w:p>
        </w:tc>
        <w:tc>
          <w:tcPr>
            <w:tcW w:type="dxa" w:w="1293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SEGOVE</w:t>
            </w:r>
          </w:p>
        </w:tc>
        <w:tc>
          <w:tcPr>
            <w:tcW w:type="dxa" w:w="1191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Maior – melhor</w:t>
            </w:r>
          </w:p>
        </w:tc>
        <w:tc>
          <w:tcPr>
            <w:tcW w:type="dxa" w:w="1117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408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color w:val="00FF00"/>
                <w:sz w:val="32"/>
              </w:rPr>
              <w:t>●</w:t>
            </w:r>
          </w:p>
        </w:tc>
        <w:tc>
          <w:tcPr>
            <w:tcW w:type="dxa" w:w="1236"/>
            <w:vAlign w:val="center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8"/>
              </w:rPr>
              <w:t>IE 86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Ind w:w="-567" w:type="dxa"/>
      </w:tblPr>
      <w:tblGrid>
        <w:gridCol w:w="14854"/>
      </w:tblGrid>
      <w:tr>
        <w:trPr>
          <w:cantSplit/>
        </w:trPr>
        <w:tc>
          <w:tcPr>
            <w:tcW w:type="dxa" w:w="16157"/>
            <w:vAlign w:val="top"/>
            <w:tcBorders>
              <w:top w:val="single" w:sz="2" w:space="0" w:color="a6a6a6"/>
              <w:left w:val="single" w:sz="2" w:space="0" w:color="a6a6a6"/>
              <w:bottom w:val="single" w:sz="2" w:space="0" w:color="a6a6a6"/>
              <w:right w:val="single" w:sz="2" w:space="0" w:color="a6a6a6"/>
            </w:tcBorders>
          </w:tcPr>
          <w:p>
            <w:pPr>
              <w:spacing w:before="0" w:after="0"/>
              <w:jc w:val="both"/>
            </w:pPr>
            <w:r>
              <w:rPr>
                <w:rFonts w:ascii="Calibri" w:hAnsi="Calibri"/>
                <w:b/>
                <w:sz w:val="20"/>
              </w:rPr>
              <w:t xml:space="preserve">Situação: </w:t>
            </w:r>
            <w:r>
              <w:rPr>
                <w:rFonts w:ascii="Calibri" w:hAnsi="Calibri"/>
                <w:sz w:val="20"/>
              </w:rPr>
              <w:t>A meta TJMG 131 previu concluir, até dezembro de 2025, as entregas relativas à validação do fluxo de implantação dos Fóruns Digitais e à alteração da Resolução 1.061/2023 (Dispõe sobre a criação, a estrutura e o funcionamento dos Fóruns e CEJUSCs Digitais, no Poder Judiciário de Minas Gerais). Até agosto de 2025, nenhuma das duas entregas havia sido concluída, embora apresentem um estágio de desenvolvimento avançado, de forma que o valor apurado da meta até o período foi de 0%. Em relação à “alteração da Resolução 1.061/2023”, foi elaborada uma minuta de alteração do normativo, que está em análise pela Secretaria de Governança e Gestão Estratégica – SEGOVE, para, então, ser submetida à aprovação do Órgão Especial do TJMG para sua posterior publicação. Em relação à entrega de “validação do fluxo de implantação dos Fóruns Digitais”, uma primeira versão foi elaborada pelo CEPROC em 2024 e submetida à análise das unidades responsáveis, para proposição de adequações. O retorno das áreas se prolongou mais do que o previsto, implicando atraso na conclusão da entrega. Em junho de 2025, as tratativas foram retomadas em reunião entre o CEPROC e as unidades, ocasião em que se identificou a necessidade de novos ajustes e melhor detalhamento do fluxo. As correções solicitadas pelas áreas já foram realizadas e a nova versão foi submetida em agosto para validação da Secretaria de Governança e Gestão Estratégica – SEGOVE. Aguarda-se retorno para que a entrega seja dada como concluída.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417" w:right="850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0"/>
      <w:jc w:val="left"/>
    </w:pPr>
    <w:r>
      <w:rPr>
        <w:rFonts w:ascii="Calibri" w:hAnsi="Calibri"/>
        <w:sz w:val="18"/>
      </w:rPr>
      <w:t>Assessoria Técnica e Jurídica ao Planejamento e à Gestão Institucional - ASPLAG</w:t>
    </w:r>
  </w:p>
  <w:p>
    <w:pPr>
      <w:spacing w:after="0"/>
      <w:jc w:val="left"/>
    </w:pPr>
    <w:r>
      <w:rPr>
        <w:rFonts w:ascii="Calibri" w:hAnsi="Calibri"/>
        <w:sz w:val="18"/>
      </w:rPr>
      <w:t>Diretoria Executiva de Planejamento Orçamentário e Qualidade na Gestão Institucional - DEPLAG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 w:before="0"/>
      <w:jc w:val="center"/>
    </w:pPr>
    <w:r>
      <w:rPr>
        <w:rFonts w:ascii="Calibri" w:hAnsi="Calibri"/>
        <w:b/>
        <w:sz w:val="24"/>
      </w:rPr>
      <w:t>Resultados do Monitoramento de Metas Estratégicas 2025</w:t>
    </w:r>
  </w:p>
  <w:p>
    <w:pPr>
      <w:spacing w:after="0"/>
      <w:jc w:val="center"/>
    </w:pPr>
    <w:r>
      <w:rPr>
        <w:rFonts w:ascii="Calibri" w:hAnsi="Calibri"/>
        <w:sz w:val="22"/>
      </w:rPr>
      <w:t>Relatório Técnico ao Comitê de Governança e Gestão Estratégica</w:t>
    </w:r>
  </w:p>
  <w:p>
    <w:pPr>
      <w:spacing w:after="120"/>
      <w:jc w:val="center"/>
    </w:pPr>
    <w:r>
      <w:rPr>
        <w:rFonts w:ascii="Calibri" w:hAnsi="Calibri"/>
        <w:b/>
        <w:color w:val="E36C0A"/>
        <w:sz w:val="24"/>
      </w:rPr>
      <w:t>Presidência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