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79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O resultado informado corresponde ao percentual de atividades concluídas em relação as atividades previstas no cronograma da iniciativa para o ano de 2025. Abaixo estão elencadas as principais atividades que foram concluídas entre janeiro e agosto de 2025: • Disponibilização da cartilha em braile; • Elaboração do plano anual de comunicação para as campanhas de acessibilidade e inclusão • Expansão do Projeto Amigo Down, em parceria com as APAEs para alcançar novas localidades. • Em desenvolvimento o projeto Cordão de Girassol, uma iniciativa voltada ao reconhecimento facilitados de pessoas com deficiências ocultas. Os cordões de Girassol já estão disponíveis na Gerência de Saúde no Trabalho - Gersat. • Realização de visitas às comarcas para avaliar a acessibilidade dos prédios do TJMG, visando identificar necessidades de melhorias ou adequação. A primeira visita foi realizada na comarca de Pará de Minas, no dia 29/07/2025. Foram identificadas as necessidades de melhorias e adequações e enviadas para às áreas responsáveis adotarem as providências cabíveis. • Realização do Seminário Setembro Acessível: diálogos sobre inclusão no Judiciário.</w:t>
            </w:r>
          </w:p>
        </w:tc>
      </w:tr>
    </w:tbl>
    <w:p>
      <w:r>
        <w:br w:type="page"/>
      </w:r>
    </w:p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De janeiro até agosto de 2025, diversas ações foram executadas no âmbito do projeto vinculado a meta, resultando no alcance de 3.474 pessoas. Conjunto consolidado de ações e seus alcances: • Palestra realizada na OAB: 40 pessoas. • Apresentação da cartilha: 50 pessoas. • Lançamento do baralho Afago: 70 pessoas. • Lançamento da cartilha “Você não está sozinha”: 70 pessoas. •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• Implantação do grupo reflexivo na Comarca de Jequié (Jequeri): 20 pessoas. • Apresentação da COMSIV na EJEF – Posse dos novos juízes: 50 pessoas. • Apresentação dos projetos da COMSIV: 100 pessoas. • V Encontro do Colégio de Ouvidorias Judiciais das Mulheres (COJUM) realizado TJMG e pelo TRT3 em três dias: 255 pessoas. • Curso de Capacitação para camareiras (Senac): 30 mulheres. • Palestra realizada na PUC Minas : 63 pessoas • VI Conferência Nacional de Políticas Públicas – Apresentação da COMSIV Três Pontas: 60 pessoas. • VI Conferência Nacional de Políticas Públicas – Apresentação da COMSIV Alfenas: 72 pessoas. • Reunião virtual Ordinária (Câmara Integrada de Políticas dos Direitos das Mulheres): 80 pessoas. • 1º Encontro Proc. da Mulher ALMG: 100 pessoas. • 2º Encontro Proc. Mulher ALMG: 100 pessoas. • Abertura do Curso de Capacitação em Oitiva de Mulheres Vítimas ou Testemunhas de Violência: 30 pessoas. • Inauguração da Casa da Mulher – Município de Ibirité: 120 pessoas. • Palestra de combate e prevenção à violência doméstica: 50 pessoas. • Assinatura do Acordo de Cooperação Técnica entre o Município de Contagem e o TJMG: 70 pessoas. • Roda de Conversa - Empresa Termotécnica: 80 pessoas • 7 palestras realizadas no âmbito do projeto Construindo Igualdades: 495 pessoas. •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      </w:r>
          </w:p>
        </w:tc>
      </w:tr>
    </w:tbl>
    <w:p>
      <w:r>
        <w:br w:type="page"/>
      </w:r>
    </w:p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Até setembro de 2025, 106.177 pessoas foram beneficiadas com ações de impacto social promovidas pela COINJ, sendo: •144 pessoas alcançadas pelo Programa Entrega Legal (72 mães e 72 recém nascidos); •1.516 crianças beneficiadas com a realização de sessões de Depoimento Especial; •176 pessoas sensibilizadas pelo programa Família Acolhedora, resultando no cadastro e habilitação de 89 famílias e outras 87 famílias em processo de habilitação; •1.982 crianças e adolescentes em situação de acolhimento institucional participantes de atividades diversas, como cineclube promovido pelo TJMG, visitas a museus, teatro, zoológicos, entre outras atividades culturais; •500 magistrados participantes de Fóruns da Infância e Juventude; •382 adolescentes com contrato de aprendizagem formalizados no âmbito do Programa Descubra; •3 adolescentes admitidos por empresas parceiras do Programa Jovens Parceiros; •250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•314 pessoas certificadas pelo webinário Entrega Legal; •325 pessoas participantes de evento de apresentação do programa Descubra, resultando na formalização da Assprom e da Junior Achievement como parceiros do Programa e do TJMG como instituição concedente de práticas; •725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•600 pessoas alcançadas com a publicação do livro “Travessias da Infância e Juventude”; •99.260 pessoas alcançadas pela realização de campanhas de adoção em estádios de futebol (Cruzeiro x Atlético (18/05) e Atlético x Corinthians (24/05)).</w:t>
            </w:r>
          </w:p>
        </w:tc>
      </w:tr>
    </w:tbl>
    <w:p>
      <w:r>
        <w:br w:type="page"/>
      </w:r>
    </w:p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86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417" w:right="850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0"/>
      <w:jc w:val="left"/>
    </w:pPr>
    <w:r>
      <w:rPr>
        <w:rFonts w:ascii="Calibri" w:hAnsi="Calibri"/>
        <w:sz w:val="18"/>
      </w:rPr>
      <w:t>Assessoria Técnica e Jurídica ao Planejamento e à Gestão Institucional - ASPLAG</w:t>
    </w:r>
  </w:p>
  <w:p>
    <w:pPr>
      <w:spacing w:after="0"/>
      <w:jc w:val="left"/>
    </w:pPr>
    <w:r>
      <w:rPr>
        <w:rFonts w:ascii="Calibri" w:hAnsi="Calibri"/>
        <w:sz w:val="18"/>
      </w:rPr>
      <w:t>Diretoria Executiva de Planejamento Orçamentário e Qualidade na Gestão Institucional - DEPLAG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rPr>
        <w:rFonts w:ascii="Calibri" w:hAnsi="Calibri"/>
        <w:b/>
        <w:sz w:val="24"/>
      </w:rPr>
      <w:t>Resultados do Monitoramento de Metas Estratégicas 2025</w:t>
    </w:r>
  </w:p>
  <w:p>
    <w:pPr>
      <w:spacing w:after="0"/>
      <w:jc w:val="center"/>
    </w:pPr>
    <w:r>
      <w:rPr>
        <w:rFonts w:ascii="Calibri" w:hAnsi="Calibri"/>
        <w:sz w:val="22"/>
      </w:rPr>
      <w:t>Relatório Técnico ao Comitê de Governança e Gestão Estratégica</w:t>
    </w:r>
  </w:p>
  <w:p>
    <w:pPr>
      <w:spacing w:after="120"/>
      <w:jc w:val="center"/>
    </w:pPr>
    <w:r>
      <w:rPr>
        <w:rFonts w:ascii="Calibri" w:hAnsi="Calibri"/>
        <w:b/>
        <w:color w:val="E36C0A"/>
        <w:sz w:val="24"/>
      </w:rPr>
      <w:t>Presidência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