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14854"/>
      </w:tblGrid>
      <w:tr>
        <w:trPr>
          <w:trHeight w:val="584"/>
        </w:trPr>
        <w:tc>
          <w:tcPr>
            <w:tcW w:type="dxa" w:w="16157"/>
            <w:shd w:fill="ef6c21"/>
            <w:vAlign w:val="center"/>
            <w:tcBorders/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1 - GARANTIA DOS DIREITOS FUNDAMENTAIS E DO ESTADO DEMOCRÁTICO DE DIREITO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2122"/>
        <w:gridCol w:w="2122"/>
        <w:gridCol w:w="2122"/>
        <w:gridCol w:w="2122"/>
        <w:gridCol w:w="2122"/>
        <w:gridCol w:w="2122"/>
        <w:gridCol w:w="2122"/>
      </w:tblGrid>
      <w:tr>
        <w:trPr>
          <w:trHeight w:val="584"/>
        </w:trPr>
        <w:tc>
          <w:tcPr>
            <w:tcW w:type="dxa" w:w="5760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INDICADOR</w:t>
            </w:r>
          </w:p>
        </w:tc>
        <w:tc>
          <w:tcPr>
            <w:tcW w:type="dxa" w:w="5153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META</w:t>
            </w:r>
          </w:p>
        </w:tc>
        <w:tc>
          <w:tcPr>
            <w:tcW w:type="dxa" w:w="1293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UNIDADE RESPONSÁVEL</w:t>
            </w:r>
          </w:p>
        </w:tc>
        <w:tc>
          <w:tcPr>
            <w:tcW w:type="dxa" w:w="1191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POLARIDADE</w:t>
            </w:r>
          </w:p>
        </w:tc>
        <w:tc>
          <w:tcPr>
            <w:tcW w:type="dxa" w:w="408"/>
            <w:gridSpan w:val="2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RESULTADO APURADO</w:t>
            </w:r>
          </w:p>
        </w:tc>
        <w:tc>
          <w:tcPr>
            <w:tcW w:type="dxa" w:w="1236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INICIATIVA(S)</w:t>
            </w:r>
          </w:p>
        </w:tc>
      </w:tr>
      <w:tr>
        <w:tc>
          <w:tcPr>
            <w:tcW w:type="dxa" w:w="5760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1.14 - Taxa de execução das ações previstas no Programa D.I.A (Programa de Desenvolvimento, Inclusão e Acessibilidade).</w:t>
            </w:r>
          </w:p>
        </w:tc>
        <w:tc>
          <w:tcPr>
            <w:tcW w:type="dxa" w:w="515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TJMG 111 - Executar, até dezembro de 2025, 80% (oitenta por cento) das ações previstas para o ano vigente no programa D.I.A (Programa de Desenvolvimento, Inclusão e Acessibilidade).</w:t>
            </w:r>
          </w:p>
        </w:tc>
        <w:tc>
          <w:tcPr>
            <w:tcW w:type="dxa" w:w="129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SEGOVE</w:t>
            </w:r>
          </w:p>
        </w:tc>
        <w:tc>
          <w:tcPr>
            <w:tcW w:type="dxa" w:w="1191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117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57,4</w:t>
            </w:r>
          </w:p>
        </w:tc>
        <w:tc>
          <w:tcPr>
            <w:tcW w:type="dxa" w:w="408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FF00"/>
                <w:sz w:val="32"/>
              </w:rPr>
              <w:t>●</w:t>
            </w:r>
          </w:p>
        </w:tc>
        <w:tc>
          <w:tcPr>
            <w:tcW w:type="dxa" w:w="1236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IE 79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14854"/>
      </w:tblGrid>
      <w:tr>
        <w:trPr>
          <w:cantSplit/>
        </w:trPr>
        <w:tc>
          <w:tcPr>
            <w:tcW w:type="dxa" w:w="16157"/>
            <w:vAlign w:val="top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both"/>
            </w:pPr>
            <w:r>
              <w:rPr>
                <w:rFonts w:ascii="Calibri" w:hAnsi="Calibri"/>
                <w:b/>
                <w:sz w:val="20"/>
              </w:rPr>
              <w:t xml:space="preserve">Situação: </w:t>
            </w:r>
            <w:r>
              <w:rPr>
                <w:rFonts w:ascii="Calibri" w:hAnsi="Calibri"/>
                <w:sz w:val="20"/>
              </w:rPr>
              <w:t xml:space="preserve">O resultado informado corresponde ao percentual de atividades concluídas em relação as atividades previstas no cronograma da iniciativa para o ano de 2025. Abaixo estão elencadas as principais atividades que foram concluídas entre janeiro e agosto de 2025: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Disponibilização da cartilha em braile;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Elaboração do plano anual de comunicação para as campanhas de acessibilidade e inclusão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Expansão do Projeto Amigo Down, em parceria com as APAEs para alcançar novas localidades.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Em desenvolvimento o projeto Cordão de Girassol, uma iniciativa voltada ao reconhecimento facilitados de pessoas com deficiências ocultas. Os cordões de Girassol já estão disponíveis na Gerência de Saúde no Trabalho - Gersat.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Realização de visitas às comarcas para avaliar a acessibilidade dos prédios do TJMG, visando identificar necessidades de melhorias ou adequação. A primeira visita foi realizada na comarca de Pará de Minas, no dia 29/07/2025. Foram identificadas as necessidades de melhorias e adequações e enviadas para às áreas responsáveis adotarem as providências cabíveis.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Realização do Seminário Setembro Acessível: diálogos sobre inclusão no Judiciário.</w:t>
            </w:r>
          </w:p>
        </w:tc>
      </w:tr>
    </w:tbl>
    <w:p>
      <w:r>
        <w:br w:type="page"/>
      </w:r>
    </w:p>
    <w:p>
      <w:pPr>
        <w:spacing w:before="0" w:after="240"/>
      </w:pPr>
    </w:p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14854"/>
      </w:tblGrid>
      <w:tr>
        <w:trPr>
          <w:trHeight w:val="584"/>
        </w:trPr>
        <w:tc>
          <w:tcPr>
            <w:tcW w:type="dxa" w:w="16157"/>
            <w:shd w:fill="ef6c21"/>
            <w:vAlign w:val="center"/>
            <w:tcBorders/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1 - GARANTIA DOS DIREITOS FUNDAMENTAIS E DO ESTADO DEMOCRÁTICO DE DIREITO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2122"/>
        <w:gridCol w:w="2122"/>
        <w:gridCol w:w="2122"/>
        <w:gridCol w:w="2122"/>
        <w:gridCol w:w="2122"/>
        <w:gridCol w:w="2122"/>
        <w:gridCol w:w="2122"/>
      </w:tblGrid>
      <w:tr>
        <w:trPr>
          <w:trHeight w:val="584"/>
        </w:trPr>
        <w:tc>
          <w:tcPr>
            <w:tcW w:type="dxa" w:w="5760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INDICADOR</w:t>
            </w:r>
          </w:p>
        </w:tc>
        <w:tc>
          <w:tcPr>
            <w:tcW w:type="dxa" w:w="5153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META</w:t>
            </w:r>
          </w:p>
        </w:tc>
        <w:tc>
          <w:tcPr>
            <w:tcW w:type="dxa" w:w="1293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UNIDADE RESPONSÁVEL</w:t>
            </w:r>
          </w:p>
        </w:tc>
        <w:tc>
          <w:tcPr>
            <w:tcW w:type="dxa" w:w="1191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POLARIDADE</w:t>
            </w:r>
          </w:p>
        </w:tc>
        <w:tc>
          <w:tcPr>
            <w:tcW w:type="dxa" w:w="408"/>
            <w:gridSpan w:val="2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RESULTADO APURADO</w:t>
            </w:r>
          </w:p>
        </w:tc>
        <w:tc>
          <w:tcPr>
            <w:tcW w:type="dxa" w:w="1236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INICIATIVA(S)</w:t>
            </w:r>
          </w:p>
        </w:tc>
      </w:tr>
      <w:tr>
        <w:tc>
          <w:tcPr>
            <w:tcW w:type="dxa" w:w="5760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1.16 - Número de pessoas beneficiadas com ações relacionadas à prevenção e combate à violência doméstica e familiar.</w:t>
            </w:r>
          </w:p>
        </w:tc>
        <w:tc>
          <w:tcPr>
            <w:tcW w:type="dxa" w:w="515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TJMG 124 - Alcançar 20.000 (vinte mil) pessoas com ações relacionadas à prevenção e combate à violência doméstica e familiar, com a participação direta da população até dezembro de 2025.</w:t>
            </w:r>
          </w:p>
        </w:tc>
        <w:tc>
          <w:tcPr>
            <w:tcW w:type="dxa" w:w="129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COMSIV</w:t>
            </w:r>
          </w:p>
        </w:tc>
        <w:tc>
          <w:tcPr>
            <w:tcW w:type="dxa" w:w="1191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117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3.474</w:t>
            </w:r>
          </w:p>
        </w:tc>
        <w:tc>
          <w:tcPr>
            <w:tcW w:type="dxa" w:w="408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FF00"/>
                <w:sz w:val="32"/>
              </w:rPr>
              <w:t>●</w:t>
            </w:r>
          </w:p>
        </w:tc>
        <w:tc>
          <w:tcPr>
            <w:tcW w:type="dxa" w:w="1236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IE 13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14854"/>
      </w:tblGrid>
      <w:tr>
        <w:trPr>
          <w:cantSplit/>
        </w:trPr>
        <w:tc>
          <w:tcPr>
            <w:tcW w:type="dxa" w:w="16157"/>
            <w:vAlign w:val="top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both"/>
            </w:pPr>
            <w:r>
              <w:rPr>
                <w:rFonts w:ascii="Calibri" w:hAnsi="Calibri"/>
                <w:b/>
                <w:sz w:val="20"/>
              </w:rPr>
              <w:t xml:space="preserve">Situação: </w:t>
            </w:r>
            <w:r>
              <w:rPr>
                <w:rFonts w:ascii="Calibri" w:hAnsi="Calibri"/>
                <w:sz w:val="20"/>
              </w:rPr>
              <w:t xml:space="preserve">De janeiro até agosto de 2025, diversas ações foram executadas no âmbito do projeto vinculado a meta, resultando no alcance de 3.474 pessoas. Conjunto consolidado de ações e seus alcances: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Palestra realizada na OAB: 40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Apresentação da cartilha: 50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Lançamento do baralho Afago: 70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Lançamento da cartilha “Você não está sozinha”: 70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19 ações realizadas na 29ª e 30ª Semana Justiça pela Paz em Casa (alcance total: 1.419 pessoas), distribuídas em: 11 ações no âmbito do projeto Construindo Igualdades; 1 ação no projeto Justiça Vai à Escola; 1 ação no projeto Conhecendo o Judiciário; 1 Cine Clube “A meia luz” e; 5 ações voltadas ao combate e prevenção a violência doméstica e familiar.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Implantação do grupo reflexivo na Comarca de Jequié (Jequeri): 20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Apresentação da COMSIV na EJEF – Posse dos novos juízes: 50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Apresentação dos projetos da COMSIV: 100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V Encontro do Colégio de Ouvidorias Judiciais das Mulheres (COJUM) realizado TJMG e pelo TRT3 em três dias: 255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Curso de Capacitação para camareiras (Senac): 30 mulheres.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Palestra realizada na PUC Minas : 63 pessoas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VI Conferência Nacional de Políticas Públicas – Apresentação da COMSIV Três Pontas: 60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VI Conferência Nacional de Políticas Públicas – Apresentação da COMSIV Alfenas: 72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Reunião virtual Ordinária (Câmara Integrada de Políticas dos Direitos das Mulheres): 80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1º Encontro Proc. da Mulher ALMG: 100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2º Encontro Proc. Mulher ALMG: 100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Abertura do Curso de Capacitação em Oitiva de Mulheres Vítimas ou Testemunhas de Violência: 30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Inauguração da Casa da Mulher – Município de Ibirité: 120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Palestra de combate e prevenção à violência doméstica: 50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Assinatura do Acordo de Cooperação Técnica entre o Município de Contagem e o TJMG: 70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Roda de Conversa - Empresa Termotécnica: 80 pessoas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7 palestras realizadas no âmbito do projeto Construindo Igualdades: 495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Agosto Lilás: Capacitação Integrada em Rede de Proteção em Pedro Leopoldo: 50 pessoas. Há uma expectativa de conclusão da meta, considerando o evento realizado na Praça da Estação, no Centro de Belo Horizonte, a 2ª edição do "Espaço D'Elas" e a 1ª do "Nascentes" em parceria com a Coordenadoria da Infância e da Juventude (Coinj), ainda em apuração, bem como as demais ações a serem executadas no restante do ano.</w:t>
            </w:r>
          </w:p>
        </w:tc>
      </w:tr>
    </w:tbl>
    <w:p>
      <w:r>
        <w:br w:type="page"/>
      </w:r>
    </w:p>
    <w:p>
      <w:pPr>
        <w:spacing w:before="0" w:after="240"/>
      </w:pPr>
    </w:p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14854"/>
      </w:tblGrid>
      <w:tr>
        <w:trPr>
          <w:trHeight w:val="584"/>
        </w:trPr>
        <w:tc>
          <w:tcPr>
            <w:tcW w:type="dxa" w:w="16157"/>
            <w:shd w:fill="ef6c21"/>
            <w:vAlign w:val="center"/>
            <w:tcBorders/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1 - GARANTIA DOS DIREITOS FUNDAMENTAIS E DO ESTADO DEMOCRÁTICO DE DIREITO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2122"/>
        <w:gridCol w:w="2122"/>
        <w:gridCol w:w="2122"/>
        <w:gridCol w:w="2122"/>
        <w:gridCol w:w="2122"/>
        <w:gridCol w:w="2122"/>
        <w:gridCol w:w="2122"/>
      </w:tblGrid>
      <w:tr>
        <w:trPr>
          <w:trHeight w:val="584"/>
        </w:trPr>
        <w:tc>
          <w:tcPr>
            <w:tcW w:type="dxa" w:w="5760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INDICADOR</w:t>
            </w:r>
          </w:p>
        </w:tc>
        <w:tc>
          <w:tcPr>
            <w:tcW w:type="dxa" w:w="5153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META</w:t>
            </w:r>
          </w:p>
        </w:tc>
        <w:tc>
          <w:tcPr>
            <w:tcW w:type="dxa" w:w="1293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UNIDADE RESPONSÁVEL</w:t>
            </w:r>
          </w:p>
        </w:tc>
        <w:tc>
          <w:tcPr>
            <w:tcW w:type="dxa" w:w="1191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POLARIDADE</w:t>
            </w:r>
          </w:p>
        </w:tc>
        <w:tc>
          <w:tcPr>
            <w:tcW w:type="dxa" w:w="408"/>
            <w:gridSpan w:val="2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RESULTADO APURADO</w:t>
            </w:r>
          </w:p>
        </w:tc>
        <w:tc>
          <w:tcPr>
            <w:tcW w:type="dxa" w:w="1236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INICIATIVA(S)</w:t>
            </w:r>
          </w:p>
        </w:tc>
      </w:tr>
      <w:tr>
        <w:tc>
          <w:tcPr>
            <w:tcW w:type="dxa" w:w="5760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1.17 - Taxa de aumento no número de municípios que promovem o Programa Descubra.</w:t>
            </w:r>
          </w:p>
        </w:tc>
        <w:tc>
          <w:tcPr>
            <w:tcW w:type="dxa" w:w="515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TJMG 143 - Aumentar, até 18/12/2025, em pelo menos 10% (dez por cento) o número de municípios que promovem o Programa Descubra (referência março/2025: 21 municípios).</w:t>
            </w:r>
          </w:p>
        </w:tc>
        <w:tc>
          <w:tcPr>
            <w:tcW w:type="dxa" w:w="129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COINJ</w:t>
            </w:r>
          </w:p>
        </w:tc>
        <w:tc>
          <w:tcPr>
            <w:tcW w:type="dxa" w:w="1191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117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4,7</w:t>
            </w:r>
          </w:p>
        </w:tc>
        <w:tc>
          <w:tcPr>
            <w:tcW w:type="dxa" w:w="408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FF00"/>
                <w:sz w:val="32"/>
              </w:rPr>
              <w:t>●</w:t>
            </w:r>
          </w:p>
        </w:tc>
        <w:tc>
          <w:tcPr>
            <w:tcW w:type="dxa" w:w="1236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IE 90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14854"/>
      </w:tblGrid>
      <w:tr>
        <w:trPr>
          <w:cantSplit/>
        </w:trPr>
        <w:tc>
          <w:tcPr>
            <w:tcW w:type="dxa" w:w="16157"/>
            <w:vAlign w:val="top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both"/>
            </w:pPr>
            <w:r>
              <w:rPr>
                <w:rFonts w:ascii="Calibri" w:hAnsi="Calibri"/>
                <w:b/>
                <w:sz w:val="20"/>
              </w:rPr>
              <w:t xml:space="preserve">Situação: </w:t>
            </w:r>
            <w:r>
              <w:rPr>
                <w:rFonts w:ascii="Calibri" w:hAnsi="Calibri"/>
                <w:sz w:val="20"/>
              </w:rPr>
              <w:t>Durante o ano de 2025, 1 município (Ouro Preto) formalizou sua adesão ao Programa Descubra, valor este que representa 4,7% de aumento em relação ao ano anterior, de forma que a meta proposta ainda não foi alcançada. Apesar disso, ressalta-se a expectativa de formalização da adesão de outros 13 municípios até final de novembro de 2025, o que representará um aumento de 66%, acima da meta estabelecida para o ano.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2122"/>
        <w:gridCol w:w="2122"/>
        <w:gridCol w:w="2122"/>
        <w:gridCol w:w="2122"/>
        <w:gridCol w:w="2122"/>
        <w:gridCol w:w="2122"/>
        <w:gridCol w:w="2122"/>
      </w:tblGrid>
      <w:tr>
        <w:tc>
          <w:tcPr>
            <w:tcW w:type="dxa" w:w="5760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1.18 -  Número de parceiros cadastrados no Programa Descubra.</w:t>
            </w:r>
          </w:p>
        </w:tc>
        <w:tc>
          <w:tcPr>
            <w:tcW w:type="dxa" w:w="515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TJMG 144 - Obter, até 18/12/2025, pelo menos 10 (dez) parceiros cadastrados no Programa Descubra.</w:t>
            </w:r>
          </w:p>
        </w:tc>
        <w:tc>
          <w:tcPr>
            <w:tcW w:type="dxa" w:w="129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COINJ</w:t>
            </w:r>
          </w:p>
        </w:tc>
        <w:tc>
          <w:tcPr>
            <w:tcW w:type="dxa" w:w="1191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117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2</w:t>
            </w:r>
          </w:p>
        </w:tc>
        <w:tc>
          <w:tcPr>
            <w:tcW w:type="dxa" w:w="408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FF00"/>
                <w:sz w:val="32"/>
              </w:rPr>
              <w:t>●</w:t>
            </w:r>
          </w:p>
        </w:tc>
        <w:tc>
          <w:tcPr>
            <w:tcW w:type="dxa" w:w="1236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IE 90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14854"/>
      </w:tblGrid>
      <w:tr>
        <w:trPr>
          <w:cantSplit/>
        </w:trPr>
        <w:tc>
          <w:tcPr>
            <w:tcW w:type="dxa" w:w="16157"/>
            <w:vAlign w:val="top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both"/>
            </w:pPr>
            <w:r>
              <w:rPr>
                <w:rFonts w:ascii="Calibri" w:hAnsi="Calibri"/>
                <w:b/>
                <w:sz w:val="20"/>
              </w:rPr>
              <w:t xml:space="preserve">Situação: </w:t>
            </w:r>
            <w:r>
              <w:rPr>
                <w:rFonts w:ascii="Calibri" w:hAnsi="Calibri"/>
                <w:sz w:val="20"/>
              </w:rPr>
              <w:t>Em 2025, 2 parceiros foram formalmente cadastrados no Programa Descubra, sendo eles a empresa Barra Sete Engenharia e a Associação Junior Achievement de Minas Gerais. Há, ainda, a expectativa de formalização de mais 4 parceiros no mês de outubro de 2025, sendo eles: Tribunal de Contas do Estado - TCE, Ordem dos Advogados do Brasil – OAB, Polícia Militar de Minas Gerais - PMMG e Polícia Civil de Minas Gerais - PCMG. Nesse sentido, a estimativa é de que a meta prevista seja concluída com 6 parceiros formalizados, de um total de 10 previstos, de forma que a meta não seria alcançada em 2025.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2122"/>
        <w:gridCol w:w="2122"/>
        <w:gridCol w:w="2122"/>
        <w:gridCol w:w="2122"/>
        <w:gridCol w:w="2122"/>
        <w:gridCol w:w="2122"/>
        <w:gridCol w:w="2122"/>
      </w:tblGrid>
      <w:tr>
        <w:tc>
          <w:tcPr>
            <w:tcW w:type="dxa" w:w="5760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1.19 - Número de pessoas beneficiadas com as ações de impacto sociail fomentadas pela COINJ.</w:t>
            </w:r>
          </w:p>
        </w:tc>
        <w:tc>
          <w:tcPr>
            <w:tcW w:type="dxa" w:w="515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TJMG 145 - Beneficiar, até 18/12/2025, pelo menos 250.000 (duzentas e cinquenta mil) pessoas com as ações de impacto social fomentadas pela COINJ.</w:t>
            </w:r>
          </w:p>
        </w:tc>
        <w:tc>
          <w:tcPr>
            <w:tcW w:type="dxa" w:w="129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COINJ</w:t>
            </w:r>
          </w:p>
        </w:tc>
        <w:tc>
          <w:tcPr>
            <w:tcW w:type="dxa" w:w="1191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117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106.177</w:t>
            </w:r>
          </w:p>
        </w:tc>
        <w:tc>
          <w:tcPr>
            <w:tcW w:type="dxa" w:w="408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FF00"/>
                <w:sz w:val="32"/>
              </w:rPr>
              <w:t>●</w:t>
            </w:r>
          </w:p>
        </w:tc>
        <w:tc>
          <w:tcPr>
            <w:tcW w:type="dxa" w:w="1236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IE 90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14854"/>
      </w:tblGrid>
      <w:tr>
        <w:trPr>
          <w:cantSplit/>
        </w:trPr>
        <w:tc>
          <w:tcPr>
            <w:tcW w:type="dxa" w:w="16157"/>
            <w:vAlign w:val="top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both"/>
            </w:pPr>
            <w:r>
              <w:rPr>
                <w:rFonts w:ascii="Calibri" w:hAnsi="Calibri"/>
                <w:b/>
                <w:sz w:val="20"/>
              </w:rPr>
              <w:t xml:space="preserve">Situação: </w:t>
            </w:r>
            <w:r>
              <w:rPr>
                <w:rFonts w:ascii="Calibri" w:hAnsi="Calibri"/>
                <w:sz w:val="20"/>
              </w:rPr>
              <w:t xml:space="preserve">Até setembro de 2025, 106.177 pessoas foram beneficiadas com ações de impacto social promovidas pela COINJ, sendo: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144 pessoas alcançadas pelo Programa Entrega Legal (72 mães e 72 recém nascidos);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1.516 crianças beneficiadas com a realização de sessões de Depoimento Especial;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176 pessoas sensibilizadas pelo programa Família Acolhedora, resultando no cadastro e habilitação de 89 famílias e outras 87 famílias em processo de habilitação;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1.982 crianças e adolescentes em situação de acolhimento institucional participantes de atividades diversas, como cineclube promovido pelo TJMG, visitas a museus, teatro, zoológicos, entre outras atividades culturais;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500 magistrados participantes de Fóruns da Infância e Juventude;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382 adolescentes com contrato de aprendizagem formalizados no âmbito do Programa Descubra;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3 adolescentes admitidos por empresas parceiras do Programa Jovens Parceiros;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250 participantes, entre parceiros institucionais, crianças e adolescentes acolhidos e em situação de vulnerabilidade social, em ação voltada à proteção de mulheres, crianças e adolescentes, do evento “Praça da Estação” – Projetos "Espaço D'Elas" e "Nascentes";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314 pessoas certificadas pelo webinário Entrega Legal;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325 pessoas participantes de evento de apresentação do programa Descubra, resultando na formalização da Assprom e da Junior Achievement como parceiros do Programa e do TJMG como instituição concedente de práticas;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725 pessoas alcançadas por vídeos do programa “Justiça em Questão” e do “Programa Interlocução” que trataram da edição especial em comemoração ao Dia Nacional da Adoção, da celebração dos 35 anos do Estatuto da Criança e do Adolescente – ECA, além do tema “Escuta protegida de crianças e adolescentes em situação de violência”;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600 pessoas alcançadas com a publicação do livro “Travessias da Infância e Juventude”;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>99.260 pessoas alcançadas pela realização de campanhas de adoção em estádios de futebol (Cruzeiro x Atlético (18/05) e Atlético x Corinthians (24/05)).</w:t>
            </w:r>
          </w:p>
        </w:tc>
      </w:tr>
    </w:tbl>
    <w:p>
      <w:r>
        <w:br w:type="page"/>
      </w:r>
    </w:p>
    <w:p>
      <w:pPr>
        <w:spacing w:before="0" w:after="240"/>
      </w:pPr>
    </w:p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14854"/>
      </w:tblGrid>
      <w:tr>
        <w:trPr>
          <w:trHeight w:val="584"/>
        </w:trPr>
        <w:tc>
          <w:tcPr>
            <w:tcW w:type="dxa" w:w="16157"/>
            <w:shd w:fill="ef6c21"/>
            <w:vAlign w:val="center"/>
            <w:tcBorders/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1 - GARANTIA DOS DIREITOS FUNDAMENTAIS E DO ESTADO DEMOCRÁTICO DE DIREITO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2122"/>
        <w:gridCol w:w="2122"/>
        <w:gridCol w:w="2122"/>
        <w:gridCol w:w="2122"/>
        <w:gridCol w:w="2122"/>
        <w:gridCol w:w="2122"/>
        <w:gridCol w:w="2122"/>
      </w:tblGrid>
      <w:tr>
        <w:trPr>
          <w:trHeight w:val="584"/>
        </w:trPr>
        <w:tc>
          <w:tcPr>
            <w:tcW w:type="dxa" w:w="5760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INDICADOR</w:t>
            </w:r>
          </w:p>
        </w:tc>
        <w:tc>
          <w:tcPr>
            <w:tcW w:type="dxa" w:w="5153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META</w:t>
            </w:r>
          </w:p>
        </w:tc>
        <w:tc>
          <w:tcPr>
            <w:tcW w:type="dxa" w:w="1293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UNIDADE RESPONSÁVEL</w:t>
            </w:r>
          </w:p>
        </w:tc>
        <w:tc>
          <w:tcPr>
            <w:tcW w:type="dxa" w:w="1191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POLARIDADE</w:t>
            </w:r>
          </w:p>
        </w:tc>
        <w:tc>
          <w:tcPr>
            <w:tcW w:type="dxa" w:w="408"/>
            <w:gridSpan w:val="2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RESULTADO APURADO</w:t>
            </w:r>
          </w:p>
        </w:tc>
        <w:tc>
          <w:tcPr>
            <w:tcW w:type="dxa" w:w="1236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INICIATIVA(S)</w:t>
            </w:r>
          </w:p>
        </w:tc>
      </w:tr>
      <w:tr>
        <w:tc>
          <w:tcPr>
            <w:tcW w:type="dxa" w:w="5760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1.20 - Taxa de execução das entregas previstas na iniciativa Fóruns Dgitais.</w:t>
            </w:r>
          </w:p>
        </w:tc>
        <w:tc>
          <w:tcPr>
            <w:tcW w:type="dxa" w:w="515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TJMG 131 - Executar 100% (cem por cento) das entregas relativas à validação do fluxo de implantação dos Fóruns Digitais e à alteração da Resolução 1.061/2023.</w:t>
            </w:r>
          </w:p>
        </w:tc>
        <w:tc>
          <w:tcPr>
            <w:tcW w:type="dxa" w:w="129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SEGOVE</w:t>
            </w:r>
          </w:p>
        </w:tc>
        <w:tc>
          <w:tcPr>
            <w:tcW w:type="dxa" w:w="1191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117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0</w:t>
            </w:r>
          </w:p>
        </w:tc>
        <w:tc>
          <w:tcPr>
            <w:tcW w:type="dxa" w:w="408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FF00"/>
                <w:sz w:val="32"/>
              </w:rPr>
              <w:t>●</w:t>
            </w:r>
          </w:p>
        </w:tc>
        <w:tc>
          <w:tcPr>
            <w:tcW w:type="dxa" w:w="1236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IE 86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14854"/>
      </w:tblGrid>
      <w:tr>
        <w:trPr>
          <w:cantSplit/>
        </w:trPr>
        <w:tc>
          <w:tcPr>
            <w:tcW w:type="dxa" w:w="16157"/>
            <w:vAlign w:val="top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both"/>
            </w:pPr>
            <w:r>
              <w:rPr>
                <w:rFonts w:ascii="Calibri" w:hAnsi="Calibri"/>
                <w:b/>
                <w:sz w:val="20"/>
              </w:rPr>
              <w:t xml:space="preserve">Situação: </w:t>
            </w:r>
            <w:r>
              <w:rPr>
                <w:rFonts w:ascii="Calibri" w:hAnsi="Calibri"/>
                <w:sz w:val="20"/>
              </w:rPr>
              <w:t>A meta TJMG 131 previu concluir, até dezembro de 2025, as entregas relativas à validação do fluxo de implantação dos Fóruns Digitais e à alteração da Resolução 1.061/2023 (Dispõe sobre a criação, a estrutura e o funcionamento dos Fóruns e CEJUSCs Digitais, no Poder Judiciário de Minas Gerais). Até agosto de 2025, nenhuma das duas entregas havia sido concluída, embora apresentem um estágio de desenvolvimento avançado, de forma que o valor apurado da meta até o período foi de 0%. Em relação à “alteração da Resolução 1.061/2023”, foi elaborada uma minuta de alteração do normativo, que está em análise pela Secretaria de Governança e Gestão Estratégica – SEGOVE, para, então, ser submetida à aprovação do Órgão Especial do TJMG para sua posterior publicação. Em relação à entrega de “validação do fluxo de implantação dos Fóruns Digitais”, uma primeira versão foi elaborada pelo CEPROC em 2024 e submetida à análise das unidades responsáveis, para proposição de adequações. O retorno das áreas se prolongou mais do que o previsto, implicando atraso na conclusão da entrega. Em junho de 2025, as tratativas foram retomadas em reunião entre o CEPROC e as unidades, ocasião em que se identificou a necessidade de novos ajustes e melhor detalhamento do fluxo. As correções solicitadas pelas áreas já foram realizadas e a nova versão foi submetida em agosto para validação da Secretaria de Governança e Gestão Estratégica – SEGOVE. Aguarda-se retorno para que a entrega seja dada como concluída.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1417" w:right="850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spacing w:after="0"/>
      <w:jc w:val="left"/>
    </w:pPr>
    <w:r>
      <w:rPr>
        <w:rFonts w:ascii="Calibri" w:hAnsi="Calibri"/>
        <w:sz w:val="18"/>
      </w:rPr>
      <w:t>Assessoria Técnica e Jurídica ao Planejamento e à Gestão Institucional - ASPLAG</w:t>
    </w:r>
  </w:p>
  <w:p>
    <w:pPr>
      <w:spacing w:after="0"/>
      <w:jc w:val="left"/>
    </w:pPr>
    <w:r>
      <w:rPr>
        <w:rFonts w:ascii="Calibri" w:hAnsi="Calibri"/>
        <w:sz w:val="18"/>
      </w:rPr>
      <w:t>Diretoria Executiva de Planejamento Orçamentário e Qualidade na Gestão Institucional - DEPLAG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 w:before="0"/>
      <w:jc w:val="center"/>
    </w:pPr>
    <w:r>
      <w:rPr>
        <w:rFonts w:ascii="Calibri" w:hAnsi="Calibri"/>
        <w:b/>
        <w:sz w:val="24"/>
      </w:rPr>
      <w:t>Resultados do Monitoramento de Metas Estratégicas 2025</w:t>
    </w:r>
  </w:p>
  <w:p>
    <w:pPr>
      <w:spacing w:after="0"/>
      <w:jc w:val="center"/>
    </w:pPr>
    <w:r>
      <w:rPr>
        <w:rFonts w:ascii="Calibri" w:hAnsi="Calibri"/>
        <w:sz w:val="22"/>
      </w:rPr>
      <w:t>Relatório Técnico ao Comitê de Governança e Gestão Estratégica</w:t>
    </w:r>
  </w:p>
  <w:p>
    <w:pPr>
      <w:spacing w:after="120"/>
      <w:jc w:val="center"/>
    </w:pPr>
    <w:r>
      <w:rPr>
        <w:rFonts w:ascii="Calibri" w:hAnsi="Calibri"/>
        <w:b/>
        <w:color w:val="E36C0A"/>
        <w:sz w:val="24"/>
      </w:rPr>
      <w:t>Presidência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