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O resultado informado corresponde ao percentual de atividades concluídas em relação as atividades previstas no cronograma da iniciativa para o ano de 2025. Abaixo estão elencadas as principais atividades que foram concluídas entre janeiro e agosto de 2025: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Disponibilização da cartilha em braile;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Elaboração do plano anual de comunicação para as campanhas de acessibilidade e inclusão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Expansão do Projeto Amigo Down, em parceria com as APAEs para alcançar novas localidades.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Em desenvolvimento o projeto Cordão de Girassol, uma iniciativa voltada ao reconhecimento facilitados de pessoas com deficiências ocultas. Os cordões de Girassol já estão disponíveis na Gerência de Saúde no Trabalho - Gersat.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do Seminário Setembro Acessível: diálogos sobre inclusão no Judiciário.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De janeiro até agosto de 2025, diversas ações foram executadas no âmbito do projeto vinculado a meta, resultando no alcance de 3.474 pessoas. Conjunto consolidado de ações e seus alcances: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OAB: 40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cartilha: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do baralho Afago: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da cartilha “Você não está sozinha”: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Implantação do grupo reflexivo na Comarca de Jequié (Jequeri): 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COMSIV na EJEF – Posse dos novos juízes: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dos projetos da COMSIV: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 Encontro do Colégio de Ouvidorias Judiciais das Mulheres (COJUM) realizado TJMG e pelo TRT3 em três dias: 255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Curso de Capacitação para camareiras (Senac): 30 mulheres.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PUC Minas : 63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Três Pontas: 60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Alfenas: 72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Reunião virtual Ordinária (Câmara Integrada de Políticas dos Direitos das Mulheres): 80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1º Encontro Proc. da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2º Encontro Proc.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Abertura do Curso de Capacitação em Oitiva de Mulheres Vítimas ou Testemunhas de Violência: 30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Inauguração da Casa da Mulher – Município de Ibirité: 120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de combate e prevenção à violência doméstica: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Assinatura do Acordo de Cooperação Técnica entre o Município de Contagem e o TJMG: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Roda de Conversa - Empresa Termotécnica: 80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7 palestras realizadas no âmbito do projeto Construindo Igualdades: 495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Até setembro de 2025, 106.177 pessoas foram beneficiadas com ações de impacto social promovidas pela COINJ, sendo: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144 pessoas alcançadas pelo Programa Entrega Legal (72 mães e 72 recém nascidos);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1.516 crianças beneficiadas com a realização de sessões de Depoimento Especial;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176 pessoas sensibilizadas pelo programa Família Acolhedora, resultando no cadastro e habilitação de 89 famílias e outras 87 famílias em processo de habilitação;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1.982 crianças e adolescentes em situação de acolhimento institucional participantes de atividades diversas, como cineclube promovido pelo TJMG, visitas a museus, teatro, zoológicos, entre outras atividades culturais;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500 magistrados participantes de Fóruns da Infância e Juventude;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382 adolescentes com contrato de aprendizagem formalizados no âmbito do Programa Descubra;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 adolescentes admitidos por empresas parceiras do Programa Jovens Parceiros;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314 pessoas certificadas pelo webinário Entrega Legal;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325 pessoas participantes de evento de apresentação do programa Descubra, resultando na formalização da Assprom e da Junior Achievement como parceiros do Programa e do TJMG como instituição concedente de práticas;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600 pessoas alcançadas com a publicação do livro “Travessias da Infância e Juventude”;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>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