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1606"/>
        <w:gridCol w:w="1606"/>
        <w:gridCol w:w="1606"/>
        <w:gridCol w:w="1606"/>
        <w:gridCol w:w="1606"/>
        <w:gridCol w:w="1606"/>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
    <w:tbl>
      <w:tblPr>
        <w:tblStyle w:val="TableGrid"/>
        <w:tblW w:type="auto" w:w="0"/>
        <w:tblLook w:firstColumn="1" w:firstRow="1" w:lastColumn="0" w:lastRow="0" w:noHBand="0" w:noVBand="1" w:val="04A0"/>
        <w:tblInd w:w="-397" w:type="dxa"/>
      </w:tblPr>
      <w:tblGrid>
        <w:gridCol w:w="1928"/>
        <w:gridCol w:w="1928"/>
        <w:gridCol w:w="1928"/>
        <w:gridCol w:w="1928"/>
        <w:gridCol w:w="1928"/>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
    <w:tbl>
      <w:tblPr>
        <w:tblStyle w:val="TableGrid"/>
        <w:tblW w:type="auto" w:w="0"/>
        <w:tblLook w:firstColumn="1" w:firstRow="1" w:lastColumn="0" w:lastRow="0" w:noHBand="0" w:noVBand="1" w:val="04A0"/>
        <w:tblInd w:w="850" w:type="dxa"/>
      </w:tblPr>
      <w:tblGrid>
        <w:gridCol w:w="3213"/>
        <w:gridCol w:w="3213"/>
        <w:gridCol w:w="3213"/>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ectPr>
          <w:headerReference w:type="default" r:id="rId9"/>
          <w:footerReference w:type="default" r:id="rId10"/>
          <w:pgSz w:w="11906" w:h="16838"/>
          <w:pgMar w:top="1417" w:right="1134" w:bottom="1417" w:left="1134" w:header="283" w:footer="283"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1"/>
          <w:footerReference w:type="default" r:id="rId12"/>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3"/>
          <w:footerReference w:type="default" r:id="rId14"/>
          <w:pgSz w:w="16838" w:h="11906" w:orient="landscape"/>
          <w:pgMar w:top="1417" w:right="850" w:bottom="1417" w:left="850" w:header="595" w:footer="595" w:gutter="0"/>
          <w:cols w:space="720"/>
          <w:docGrid w:linePitch="360"/>
        </w:sectPr>
      </w:pP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5"/>
          <w:footerReference w:type="default" r:id="rId16"/>
          <w:pgSz w:w="16838" w:h="11906" w:orient="landscape"/>
          <w:pgMar w:top="1417" w:right="850" w:bottom="1417" w:left="850" w:header="595" w:footer="595" w:gutter="0"/>
          <w:cols w:space="720"/>
          <w:docGrid w:linePitch="360"/>
        </w:sectPr>
      </w:pP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7"/>
          <w:footerReference w:type="default" r:id="rId18"/>
          <w:pgSz w:w="16838" w:h="11906" w:orient="landscape"/>
          <w:pgMar w:top="1417" w:right="850" w:bottom="1417" w:left="850" w:header="595" w:footer="595" w:gutter="0"/>
          <w:cols w:space="720"/>
          <w:docGrid w:linePitch="360"/>
        </w:sectPr>
      </w:pP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19"/>
      <w:footerReference w:type="default" r:id="rId20"/>
      <w:pgSz w:w="16838" w:h="11906" w:orient="landscape"/>
      <w:pgMar w:top="1417" w:right="850" w:bottom="1417" w:left="850"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b/>
        <w:sz w:val="22"/>
      </w:rPr>
      <w:t>MONITORAMENTO DE METAS ESTRATÉGICAS - 2024</w:t>
    </w:r>
  </w:p>
  <w:p>
    <w:pPr>
      <w:spacing w:after="120"/>
      <w:jc w:val="center"/>
    </w:pPr>
    <w:r>
      <w:rPr>
        <w:rFonts w:ascii="Calibri" w:hAnsi="Calibri"/>
        <w:b w:val="0"/>
        <w:sz w:val="22"/>
      </w:rPr>
      <w:t>Relatório Técnico ao Comitê de Governança e Gestão Estratégica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