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val="0"/>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val="0"/>
                <w:sz w:val="22"/>
              </w:rPr>
              <w:t>20</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0</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val="0"/>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48</w:t>
            </w:r>
          </w:p>
        </w:tc>
      </w:tr>
    </w:tbl>
    <w:p/>
    <w:p/>
    <w:tbl>
      <w:tblPr>
        <w:tblStyle w:val="TableGrid"/>
        <w:tblW w:type="auto" w:w="0"/>
        <w:tblLook w:firstColumn="1" w:firstRow="1" w:lastColumn="0" w:lastRow="0" w:noHBand="0" w:noVBand="1" w:val="04A0"/>
        <w:tblInd w:w="850" w:type="dxa"/>
      </w:tblPr>
      <w:tblGrid>
        <w:gridCol w:w="3213"/>
        <w:gridCol w:w="3213"/>
        <w:gridCol w:w="321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ectPr>
          <w:headerReference w:type="default" r:id="rId9"/>
          <w:pgSz w:w="11906" w:h="16838"/>
          <w:pgMar w:top="1417" w:right="1134" w:bottom="1417" w:left="1134" w:header="850" w:footer="850"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0"/>
          <w:footerReference w:type="default" r:id="rId11"/>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2"/>
          <w:footerReference w:type="default" r:id="rId13"/>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4"/>
          <w:footerReference w:type="default" r:id="rId15"/>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6"/>
          <w:footerReference w:type="default" r:id="rId17"/>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pPr>
        <w:sectPr>
          <w:headerReference w:type="default" r:id="rId18"/>
          <w:footerReference w:type="default" r:id="rId19"/>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20"/>
      <w:footerReference w:type="default" r:id="rId21"/>
      <w:pgSz w:w="16838" w:h="11906" w:orient="landscape"/>
      <w:pgMar w:top="1417" w:right="850"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120"/>
      <w:jc w:val="center"/>
    </w:pPr>
    <w:r>
      <w:rPr>
        <w:rFonts w:ascii="Calibri" w:hAnsi="Calibri"/>
        <w:b/>
        <w:sz w:val="28"/>
      </w:rPr>
      <w:t>Resultados do Monitoramento de Metas Estratégicas 2025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header" Target="header7.xml"/><Relationship Id="rId2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