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COMSIV</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3.474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COINJ</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106.177</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51.638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SEGOVE</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NUGIN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92,13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DENGEP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ASPREC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68</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DIRFIN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DIRTEC</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9"/>
          <w:footerReference w:type="default" r:id="rId10"/>
          <w:pgSz w:w="16838" w:h="11906" w:orient="landscape"/>
          <w:pgMar w:top="1417" w:right="850" w:bottom="1417" w:left="1134" w:header="595" w:footer="0"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94,6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71,71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90,5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DIRSUP</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23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SEPAD</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76</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1"/>
          <w:footerReference w:type="default" r:id="rId12"/>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2ª Vice Presidência</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84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3"/>
          <w:footerReference w:type="default" r:id="rId14"/>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1.935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Superintendência da Gestão de Inovação</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-36,54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5"/>
          <w:footerReference w:type="default" r:id="rId16"/>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40,02</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65,64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100</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DIRCOR</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-36,3</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19</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00FF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p>
      <w:pPr>
        <w:sectPr>
          <w:headerReference w:type="default" r:id="rId17"/>
          <w:footerReference w:type="default" r:id="rId18"/>
          <w:pgSz w:w="16838" w:h="11906" w:orient="landscape"/>
          <w:pgMar w:top="1417" w:right="850" w:bottom="1417" w:left="1134" w:header="595" w:footer="595" w:gutter="0"/>
          <w:cols w:space="720"/>
          <w:docGrid w:linePitch="360"/>
        </w:sectPr>
      </w:pPr>
    </w:p>
    <w:tbl>
      <w:tblPr>
        <w:tblW w:type="auto" w:w="0"/>
        <w:tblLook w:firstColumn="1" w:firstRow="1" w:lastColumn="0" w:lastRow="0" w:noHBand="0" w:noVBand="1" w:val="04A0"/>
        <w:tblInd w:w="-567" w:type="dxa"/>
      </w:tblPr>
      <w:tblGrid>
        <w:gridCol w:w="14854"/>
      </w:tblGrid>
      <w:tr>
        <w:trPr>
          <w:trHeight w:val="584"/>
        </w:trPr>
        <w:tc>
          <w:tcPr>
            <w:tcW w:type="dxa" w:w="16157"/>
            <w:shd w:fill="ef6c21"/>
            <w:vAlign w:val="center"/>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567" w:type="dxa"/>
      </w:tblPr>
      <w:tblGrid>
        <w:gridCol w:w="2122"/>
        <w:gridCol w:w="2122"/>
        <w:gridCol w:w="2122"/>
        <w:gridCol w:w="2122"/>
        <w:gridCol w:w="2122"/>
        <w:gridCol w:w="2122"/>
        <w:gridCol w:w="2122"/>
      </w:tblGrid>
      <w:tr>
        <w:trPr>
          <w:trHeight w:val="584"/>
        </w:trPr>
        <w:tc>
          <w:tcPr>
            <w:tcW w:type="dxa" w:w="5760"/>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space="0" w:color="a6a6a6"/>
              <w:left w:val="single" w:sz="2" w:space="0" w:color="a6a6a6"/>
              <w:bottom w:val="single" w:sz="2" w:space="0" w:color="a6a6a6"/>
              <w:right w:val="single" w:sz="2" w:space="0" w:color="a6a6a6"/>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3.31</w:t>
            </w:r>
            <w:r>
              <w:rPr>
                <w:rFonts w:ascii="Calibri" w:hAnsi="Calibri"/>
                <w:sz w:val="18"/>
              </w:rPr>
              <w:t xml:space="preserve"> - Taxa de execução do plano de Integração do Sistema PJe com o e-Carta Correios.</w:t>
            </w:r>
          </w:p>
        </w:tc>
        <w:tc>
          <w:tcPr>
            <w:tcW w:type="dxa" w:w="5153"/>
            <w:vAlign w:val="center"/>
            <w:tcBorders>
              <w:top w:val="single" w:sz="2" w:space="0" w:color="a6a6a6"/>
              <w:left w:val="single" w:sz="2" w:space="0" w:color="a6a6a6"/>
              <w:bottom w:val="single" w:sz="2" w:space="0" w:color="a6a6a6"/>
              <w:right w:val="single" w:sz="2" w:space="0" w:color="a6a6a6"/>
            </w:tcBorders>
          </w:tcPr>
          <w:p>
            <w:pPr>
              <w:spacing w:before="0" w:after="0"/>
              <w:jc w:val="left"/>
            </w:pPr>
            <w:r/>
            <w:r>
              <w:rPr>
                <w:rFonts w:ascii="Calibri" w:hAnsi="Calibri"/>
                <w:b/>
                <w:sz w:val="18"/>
              </w:rPr>
              <w:t>TJMG 79</w:t>
            </w:r>
            <w:r>
              <w:rPr>
                <w:rFonts w:ascii="Calibri" w:hAnsi="Calibri"/>
                <w:sz w:val="18"/>
              </w:rPr>
              <w:t xml:space="preserve"> - Executar, até 2025, 100% (cem por cento) das atividades previstas no plano de Integração do Sistema PJe com o e-Carta Correios.</w:t>
            </w:r>
          </w:p>
        </w:tc>
        <w:tc>
          <w:tcPr>
            <w:tcW w:type="dxa" w:w="1293"/>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SEPLAN</w:t>
            </w:r>
          </w:p>
        </w:tc>
        <w:tc>
          <w:tcPr>
            <w:tcW w:type="dxa" w:w="1191"/>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Maior – melhor</w:t>
            </w:r>
          </w:p>
        </w:tc>
        <w:tc>
          <w:tcPr>
            <w:tcW w:type="dxa" w:w="1117"/>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b/>
                <w:sz w:val="18"/>
              </w:rPr>
              <w:t>45,5</w:t>
            </w:r>
          </w:p>
        </w:tc>
        <w:tc>
          <w:tcPr>
            <w:tcW w:type="dxa" w:w="408"/>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color w:val="FF0000"/>
                <w:sz w:val="32"/>
              </w:rPr>
              <w:t>●</w:t>
            </w:r>
          </w:p>
        </w:tc>
        <w:tc>
          <w:tcPr>
            <w:tcW w:type="dxa" w:w="1236"/>
            <w:vAlign w:val="center"/>
            <w:tcBorders>
              <w:top w:val="single" w:sz="2" w:space="0" w:color="a6a6a6"/>
              <w:left w:val="single" w:sz="2" w:space="0" w:color="a6a6a6"/>
              <w:bottom w:val="single" w:sz="2" w:space="0" w:color="a6a6a6"/>
              <w:right w:val="single" w:sz="2" w:space="0" w:color="a6a6a6"/>
            </w:tcBorders>
          </w:tcPr>
          <w:p>
            <w:pPr>
              <w:spacing w:before="0" w:after="0"/>
              <w:jc w:val="center"/>
            </w:pPr>
            <w:r>
              <w:rPr>
                <w:rFonts w:ascii="Calibri" w:hAnsi="Calibri"/>
                <w:sz w:val="18"/>
              </w:rPr>
              <w:t>IE 67</w:t>
            </w:r>
          </w:p>
        </w:tc>
      </w:tr>
    </w:tbl>
    <w:tbl>
      <w:tblPr>
        <w:tblW w:type="auto" w:w="0"/>
        <w:tblLook w:firstColumn="1" w:firstRow="1" w:lastColumn="0" w:lastRow="0" w:noHBand="0" w:noVBand="1" w:val="04A0"/>
        <w:tblInd w:w="-567" w:type="dxa"/>
      </w:tblPr>
      <w:tblGrid>
        <w:gridCol w:w="14854"/>
      </w:tblGrid>
      <w:tr>
        <w:tc>
          <w:tcPr>
            <w:tcW w:type="dxa" w:w="16157"/>
            <w:vAlign w:val="top"/>
            <w:tcBorders>
              <w:top w:val="single" w:sz="2" w:space="0" w:color="a6a6a6"/>
              <w:left w:val="single" w:sz="2" w:space="0" w:color="a6a6a6"/>
              <w:bottom w:val="single" w:sz="2" w:space="0" w:color="a6a6a6"/>
              <w:right w:val="single" w:sz="2" w:space="0" w:color="a6a6a6"/>
            </w:tcBorders>
          </w:tcPr>
          <w:p>
            <w:pPr>
              <w:spacing w:before="0" w:after="0"/>
              <w:jc w:val="both"/>
            </w:pPr>
            <w:r>
              <w:rPr>
                <w:rFonts w:ascii="Calibri" w:hAnsi="Calibri"/>
                <w:b/>
                <w:sz w:val="20"/>
              </w:rPr>
              <w:t xml:space="preserve">Situação: </w:t>
            </w:r>
            <w:r>
              <w:rPr>
                <w:rFonts w:ascii="Calibri" w:hAnsi="Calibri"/>
                <w:sz w:val="20"/>
              </w:rPr>
              <w:t>Em 2024, foi implantado o piloto da integração do Sistema Judicial Eletrônico - PJe com o e-Carta Correios na Comarca de Arinos, com expectativa de expansão as demais comarcas do Estado dentro do mesmo ano. Entretanto, embora os fluxos de envio e o retorno de informações dos Correios estivessem funcionando corretamente, verificou-se a necessidade de corrigir questões técnicas que inviabilizavam a expansão do projeto, sendo elas: a implementação do QRCode no PJE para viabilizar a contrafé eletrônica e também a implementação da contagem de prazos de forma automática pelo sistema, melhor detalhadas no monitoramento da iniciativa estratégica. Com vistas à resolução da questão, a Diretoria Executiva de Tecnologia da Informação e Comunicação – DIRTEC foi acionada e apresentou o prazo de 30 de setembro para análise e providências das questões identificadas. Diante disso, em junho de 2025, as áreas técnicas envolvidas no projeto se reuniram para discutir a viabilidade de manutenção da iniciativa considerando fatores como: a atual diretriz institucional voltada à implantação e expansão do sistema eproc, atualmente em curso neste Tribunal; o fato de o sistema eproc já possuir integração plena com o E-carta; a rápida expansão do eproc, que, a partir de setembro, será estendida para mais 39 comarcas, com previsão de conclusão da implantação em todas as varas cíveis e JESP até maio do próximo ano, e; a liberação do migrador para transportar processos do PJe para o eproc, previsto para agosto de 2025, prazo anterior ao apresentado pela DIRTEC para a correção dos problemas. Pelo exposto, deliberou-se pelo encerramento das demandas de adequação junto à DIRTEC, bem como da expansão do projeto para as comarcas do Estado, resultando no consequente encerramento desta iniciativa, conforme a Decisão 18610 do processo SEI 0936530-72.2022.8.13.0000. Até o encerramento do projeto, 45,5% das atividades previstas no Plano de Integração do Sistema PJe com o e-Carta Correios, foram concluídas, de forma que a meta estabelecida para o ano de 2025 (100%) não foi alcançada.</w:t>
            </w:r>
          </w:p>
        </w:tc>
      </w:tr>
    </w:tbl>
    <w:sectPr w:rsidR="00FC693F" w:rsidRPr="0006063C" w:rsidSect="00034616">
      <w:headerReference w:type="default" r:id="rId19"/>
      <w:footerReference w:type="default" r:id="rId20"/>
      <w:pgSz w:w="16838" w:h="11906" w:orient="landscape"/>
      <w:pgMar w:top="1417" w:right="850"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SEM CLASSIFICAÇÃO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